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68230F" w:rsidTr="00037DF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68230F" w:rsidRDefault="00807D21" w:rsidP="0042369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68230F" w:rsidRDefault="00807D21" w:rsidP="00C070F4">
            <w:pPr>
              <w:spacing w:after="80" w:line="300" w:lineRule="exact"/>
              <w:rPr>
                <w:sz w:val="28"/>
              </w:rPr>
            </w:pPr>
            <w:r w:rsidRPr="0068230F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68230F" w:rsidRDefault="00423690" w:rsidP="00423690">
            <w:pPr>
              <w:jc w:val="right"/>
            </w:pPr>
            <w:r w:rsidRPr="0068230F">
              <w:rPr>
                <w:sz w:val="40"/>
              </w:rPr>
              <w:t>CAT</w:t>
            </w:r>
            <w:r w:rsidRPr="0068230F">
              <w:t>/OP/28/1</w:t>
            </w:r>
          </w:p>
        </w:tc>
      </w:tr>
      <w:tr w:rsidR="00807D21" w:rsidRPr="0068230F" w:rsidTr="00C070F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68230F" w:rsidRDefault="00807D21" w:rsidP="00C070F4">
            <w:pPr>
              <w:spacing w:before="120"/>
              <w:jc w:val="center"/>
            </w:pPr>
            <w:r w:rsidRPr="0068230F">
              <w:rPr>
                <w:noProof/>
                <w:lang w:eastAsia="fr-CH"/>
              </w:rPr>
              <w:drawing>
                <wp:inline distT="0" distB="0" distL="0" distR="0" wp14:anchorId="3DB4D58A" wp14:editId="5D70F44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68230F" w:rsidRDefault="00423690" w:rsidP="00423690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68230F">
              <w:rPr>
                <w:b/>
                <w:sz w:val="34"/>
                <w:szCs w:val="34"/>
              </w:rPr>
              <w:t xml:space="preserve">Protocole facultatif se rapportant </w:t>
            </w:r>
            <w:r w:rsidRPr="0068230F">
              <w:rPr>
                <w:b/>
                <w:sz w:val="34"/>
                <w:szCs w:val="34"/>
              </w:rPr>
              <w:br/>
              <w:t xml:space="preserve">à la Convention contre la torture </w:t>
            </w:r>
            <w:r w:rsidRPr="0068230F">
              <w:rPr>
                <w:b/>
                <w:sz w:val="34"/>
                <w:szCs w:val="34"/>
              </w:rPr>
              <w:br/>
              <w:t xml:space="preserve">et autres peines ou traitements cruels, </w:t>
            </w:r>
            <w:r w:rsidRPr="0068230F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68230F" w:rsidRDefault="00423690" w:rsidP="00C070F4">
            <w:pPr>
              <w:spacing w:before="240"/>
            </w:pPr>
            <w:r w:rsidRPr="0068230F">
              <w:t>Distr. générale</w:t>
            </w:r>
          </w:p>
          <w:p w:rsidR="00423690" w:rsidRPr="0068230F" w:rsidRDefault="00423690" w:rsidP="00423690">
            <w:pPr>
              <w:spacing w:line="240" w:lineRule="exact"/>
            </w:pPr>
            <w:r w:rsidRPr="0068230F">
              <w:t>25 avril 2016</w:t>
            </w:r>
          </w:p>
          <w:p w:rsidR="00423690" w:rsidRPr="0068230F" w:rsidRDefault="00423690" w:rsidP="00423690">
            <w:pPr>
              <w:spacing w:line="240" w:lineRule="exact"/>
            </w:pPr>
            <w:r w:rsidRPr="0068230F">
              <w:t>Français</w:t>
            </w:r>
          </w:p>
          <w:p w:rsidR="00423690" w:rsidRPr="0068230F" w:rsidRDefault="00423690" w:rsidP="00423690">
            <w:pPr>
              <w:spacing w:line="240" w:lineRule="exact"/>
            </w:pPr>
            <w:r w:rsidRPr="0068230F">
              <w:t xml:space="preserve">Original : anglais </w:t>
            </w:r>
          </w:p>
          <w:p w:rsidR="00423690" w:rsidRPr="0068230F" w:rsidRDefault="00423690" w:rsidP="00423690">
            <w:pPr>
              <w:spacing w:line="240" w:lineRule="exact"/>
            </w:pPr>
            <w:r w:rsidRPr="0068230F">
              <w:t>Anglais, espagnol et français seulement</w:t>
            </w:r>
          </w:p>
        </w:tc>
      </w:tr>
    </w:tbl>
    <w:p w:rsidR="00423690" w:rsidRPr="0068230F" w:rsidRDefault="00423690" w:rsidP="00423690">
      <w:pPr>
        <w:spacing w:before="120"/>
        <w:rPr>
          <w:b/>
          <w:bCs/>
          <w:sz w:val="24"/>
          <w:szCs w:val="24"/>
        </w:rPr>
      </w:pPr>
      <w:r w:rsidRPr="0068230F">
        <w:rPr>
          <w:b/>
          <w:bCs/>
          <w:sz w:val="24"/>
          <w:szCs w:val="24"/>
        </w:rPr>
        <w:t xml:space="preserve">Sous-Comité pour la prévention de la torture </w:t>
      </w:r>
      <w:r w:rsidRPr="0068230F">
        <w:rPr>
          <w:b/>
          <w:bCs/>
          <w:sz w:val="24"/>
          <w:szCs w:val="24"/>
        </w:rPr>
        <w:br/>
        <w:t xml:space="preserve">et autres peines ou traitements cruels, </w:t>
      </w:r>
      <w:r w:rsidRPr="0068230F">
        <w:rPr>
          <w:b/>
          <w:bCs/>
          <w:sz w:val="24"/>
          <w:szCs w:val="24"/>
        </w:rPr>
        <w:br/>
        <w:t>inhumains ou dégradants</w:t>
      </w:r>
    </w:p>
    <w:p w:rsidR="00423690" w:rsidRPr="0068230F" w:rsidRDefault="00423690" w:rsidP="00423690">
      <w:pPr>
        <w:pStyle w:val="HChG"/>
      </w:pPr>
      <w:r w:rsidRPr="0068230F">
        <w:tab/>
      </w:r>
      <w:r w:rsidRPr="0068230F">
        <w:tab/>
        <w:t>Décision relative à la nécessité de disposer de temps supplémentaire pour les réunions du Sous-Comité pour la</w:t>
      </w:r>
      <w:r w:rsidRPr="0068230F">
        <w:t> </w:t>
      </w:r>
      <w:r w:rsidRPr="0068230F">
        <w:t>prévention de la torture et autres peines ou traitements cruels, inhumains ou dégradants</w:t>
      </w:r>
      <w:r w:rsidRPr="00C5676E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:rsidR="00423690" w:rsidRPr="0068230F" w:rsidRDefault="00423690" w:rsidP="00C5676E">
      <w:pPr>
        <w:pStyle w:val="ParNoG"/>
      </w:pPr>
      <w:r w:rsidRPr="0068230F">
        <w:t>Le Sous-Comité pour la prévention de la torture et autres peines ou traitements cruels, inhumains ou dégradants tient trois sessions d</w:t>
      </w:r>
      <w:r w:rsidR="002430B6">
        <w:t>’</w:t>
      </w:r>
      <w:r w:rsidRPr="0068230F">
        <w:t>une semaine par an. Il en est ainsi depuis que le Sous-Comité a commencé ses travaux, en février 2007, a</w:t>
      </w:r>
      <w:r w:rsidR="0068230F">
        <w:t>lors qu</w:t>
      </w:r>
      <w:r w:rsidR="002430B6">
        <w:t>’</w:t>
      </w:r>
      <w:r w:rsidR="0068230F">
        <w:t>il comptait 10 </w:t>
      </w:r>
      <w:r w:rsidRPr="0068230F">
        <w:t xml:space="preserve">membres et que les Parties au Protocole facultatif se rapportant à la Convention contre la torture et autres peines ou traitements cruels, inhumains ou dégradants étaient au nombre de 34. Actuellement, le Sous-Comité </w:t>
      </w:r>
      <w:r w:rsidR="00C52698">
        <w:t>comprend</w:t>
      </w:r>
      <w:r w:rsidR="0068230F">
        <w:t xml:space="preserve"> 25 membres et on compte 80 </w:t>
      </w:r>
      <w:r w:rsidRPr="0068230F">
        <w:t xml:space="preserve">États </w:t>
      </w:r>
      <w:r w:rsidR="00C52698">
        <w:t>p</w:t>
      </w:r>
      <w:r w:rsidRPr="0068230F">
        <w:t>arties au</w:t>
      </w:r>
      <w:r w:rsidR="00C5676E">
        <w:t> </w:t>
      </w:r>
      <w:bookmarkStart w:id="0" w:name="_GoBack"/>
      <w:bookmarkEnd w:id="0"/>
      <w:r w:rsidRPr="0068230F">
        <w:t>Protocole.</w:t>
      </w:r>
    </w:p>
    <w:p w:rsidR="00423690" w:rsidRPr="0068230F" w:rsidRDefault="00423690" w:rsidP="00C52698">
      <w:pPr>
        <w:pStyle w:val="ParNoG"/>
      </w:pPr>
      <w:r w:rsidRPr="0068230F">
        <w:t xml:space="preserve">Entre 2007 et 2013, le Sous-Comité </w:t>
      </w:r>
      <w:r w:rsidR="0068230F">
        <w:t>a effectué en moyenne 3,7 </w:t>
      </w:r>
      <w:r w:rsidRPr="0068230F">
        <w:t>visites pa</w:t>
      </w:r>
      <w:r w:rsidR="0068230F">
        <w:t>r an en application de l</w:t>
      </w:r>
      <w:r w:rsidR="002430B6">
        <w:t>’</w:t>
      </w:r>
      <w:r w:rsidR="0068230F">
        <w:t>alinéa a) de l</w:t>
      </w:r>
      <w:r w:rsidR="002430B6">
        <w:t>’</w:t>
      </w:r>
      <w:r w:rsidR="0068230F">
        <w:t>article </w:t>
      </w:r>
      <w:r w:rsidRPr="0068230F">
        <w:t xml:space="preserve">11 du Protocole facultatif et adopté un nombre correspondant de rapports. Il a </w:t>
      </w:r>
      <w:r w:rsidR="0068230F">
        <w:t>effectué 7 visites en 2014 et 8 </w:t>
      </w:r>
      <w:r w:rsidRPr="0068230F">
        <w:t>visites en 2015. Le Sous-Comité a l</w:t>
      </w:r>
      <w:r w:rsidR="002430B6">
        <w:t>’</w:t>
      </w:r>
      <w:r w:rsidRPr="0068230F">
        <w:t>inten</w:t>
      </w:r>
      <w:r w:rsidR="0068230F">
        <w:t>tion d</w:t>
      </w:r>
      <w:r w:rsidR="002430B6">
        <w:t>’</w:t>
      </w:r>
      <w:r w:rsidR="0068230F">
        <w:t xml:space="preserve">effectuer 10 </w:t>
      </w:r>
      <w:r w:rsidR="00C52698">
        <w:t xml:space="preserve">ou </w:t>
      </w:r>
      <w:r w:rsidR="0068230F">
        <w:t>11 </w:t>
      </w:r>
      <w:r w:rsidRPr="0068230F">
        <w:t xml:space="preserve">visites en 2016, </w:t>
      </w:r>
      <w:r w:rsidR="00C52698">
        <w:t xml:space="preserve">de sorte </w:t>
      </w:r>
      <w:r w:rsidRPr="0068230F">
        <w:t>que le nombre de visites va plus que doubler en l</w:t>
      </w:r>
      <w:r w:rsidR="002430B6">
        <w:t>’</w:t>
      </w:r>
      <w:r w:rsidRPr="0068230F">
        <w:t xml:space="preserve">espace de deux ans. </w:t>
      </w:r>
    </w:p>
    <w:p w:rsidR="00423690" w:rsidRPr="0068230F" w:rsidRDefault="00423690" w:rsidP="00C52698">
      <w:pPr>
        <w:pStyle w:val="ParNoG"/>
      </w:pPr>
      <w:r w:rsidRPr="0068230F">
        <w:t>Le nombre de documents de fond adoptés et le volume des services de conseil et d</w:t>
      </w:r>
      <w:r w:rsidR="002430B6">
        <w:t>’</w:t>
      </w:r>
      <w:r w:rsidRPr="0068230F">
        <w:t xml:space="preserve">assistance apportés aux États Parties et aux mécanismes nationaux de </w:t>
      </w:r>
      <w:r w:rsidR="0068230F">
        <w:t>prévention au titre de l</w:t>
      </w:r>
      <w:r w:rsidR="002430B6">
        <w:t>’</w:t>
      </w:r>
      <w:r w:rsidR="0068230F">
        <w:t>alinéa b) de l</w:t>
      </w:r>
      <w:r w:rsidR="002430B6">
        <w:t>’</w:t>
      </w:r>
      <w:r w:rsidR="0068230F">
        <w:t>article </w:t>
      </w:r>
      <w:r w:rsidRPr="0068230F">
        <w:t xml:space="preserve">11 du Protocole ont connu la même </w:t>
      </w:r>
      <w:r w:rsidR="0068230F">
        <w:t>progression ; celle-ci</w:t>
      </w:r>
      <w:r w:rsidRPr="0068230F">
        <w:t xml:space="preserve"> découle du nomb</w:t>
      </w:r>
      <w:r w:rsidR="0068230F">
        <w:t>re d</w:t>
      </w:r>
      <w:r w:rsidR="002430B6">
        <w:t>’</w:t>
      </w:r>
      <w:r w:rsidR="0068230F">
        <w:t xml:space="preserve">États </w:t>
      </w:r>
      <w:r w:rsidR="00C52698">
        <w:t>p</w:t>
      </w:r>
      <w:r w:rsidR="0068230F">
        <w:t>arties au Protocole</w:t>
      </w:r>
      <w:r w:rsidRPr="0068230F">
        <w:t xml:space="preserve">, </w:t>
      </w:r>
      <w:r w:rsidR="0068230F">
        <w:t>qui est passé</w:t>
      </w:r>
      <w:r w:rsidRPr="0068230F">
        <w:t xml:space="preserve"> de 61 en 2012 à 80 en 2015. Le nombre de mécanismes nationaux de prévention demandant des conseils et une aide au Sous-Comité a </w:t>
      </w:r>
      <w:r w:rsidR="0068230F">
        <w:t xml:space="preserve">augmenté </w:t>
      </w:r>
      <w:r w:rsidR="0068230F" w:rsidRPr="0068230F">
        <w:t>a</w:t>
      </w:r>
      <w:r w:rsidR="0068230F">
        <w:t>ussi, 57 </w:t>
      </w:r>
      <w:r w:rsidRPr="0068230F">
        <w:t xml:space="preserve">mécanismes étant actuellement en exercice. En outre, le Sous-Comité </w:t>
      </w:r>
      <w:r w:rsidR="0068230F">
        <w:t>aide les 23 </w:t>
      </w:r>
      <w:r w:rsidRPr="0068230F">
        <w:t xml:space="preserve">États </w:t>
      </w:r>
      <w:r w:rsidR="00C52698">
        <w:t>p</w:t>
      </w:r>
      <w:r w:rsidRPr="0068230F">
        <w:t xml:space="preserve">arties </w:t>
      </w:r>
      <w:r w:rsidR="0068230F">
        <w:t>qui ne l</w:t>
      </w:r>
      <w:r w:rsidR="002430B6">
        <w:t>’</w:t>
      </w:r>
      <w:r w:rsidR="0068230F">
        <w:t>ont pas</w:t>
      </w:r>
      <w:r w:rsidRPr="0068230F">
        <w:t xml:space="preserve"> encore fait à mettre en place un mécanisme national de prévention ainsi que le prévoit le Protocole facultatif.</w:t>
      </w:r>
    </w:p>
    <w:p w:rsidR="00423690" w:rsidRPr="0068230F" w:rsidRDefault="00423690" w:rsidP="002430B6">
      <w:pPr>
        <w:pStyle w:val="ParNoG"/>
      </w:pPr>
      <w:r w:rsidRPr="0068230F">
        <w:t>Afin de pouvoir soutenir le rythme de l</w:t>
      </w:r>
      <w:r w:rsidR="002430B6">
        <w:t>’</w:t>
      </w:r>
      <w:r w:rsidRPr="0068230F">
        <w:t>augmentation de</w:t>
      </w:r>
      <w:r w:rsidR="0068230F">
        <w:t>s activités prévues aux alinéas a) et b) de l</w:t>
      </w:r>
      <w:r w:rsidR="002430B6">
        <w:t>’</w:t>
      </w:r>
      <w:r w:rsidR="0068230F">
        <w:t>article 11 et à l</w:t>
      </w:r>
      <w:r w:rsidR="002430B6">
        <w:t>’</w:t>
      </w:r>
      <w:r w:rsidR="0068230F">
        <w:t xml:space="preserve">article 26 </w:t>
      </w:r>
      <w:r w:rsidRPr="0068230F">
        <w:t xml:space="preserve">du Protocole, le Sous-Comité pour la prévention de la torture </w:t>
      </w:r>
      <w:r w:rsidR="0068230F">
        <w:t>a besoin, dans un premier temps, d</w:t>
      </w:r>
      <w:r w:rsidR="002430B6">
        <w:t>’</w:t>
      </w:r>
      <w:r w:rsidRPr="0068230F">
        <w:t xml:space="preserve">au moins une semaine </w:t>
      </w:r>
      <w:r w:rsidR="0068230F">
        <w:t xml:space="preserve">de plus </w:t>
      </w:r>
      <w:r w:rsidR="0068230F" w:rsidRPr="0068230F">
        <w:t xml:space="preserve">par an </w:t>
      </w:r>
      <w:r w:rsidRPr="0068230F">
        <w:t xml:space="preserve">pour ses réunions et </w:t>
      </w:r>
      <w:r w:rsidR="0068230F">
        <w:t>d</w:t>
      </w:r>
      <w:r w:rsidR="002430B6">
        <w:t>’</w:t>
      </w:r>
      <w:r w:rsidR="0068230F">
        <w:t xml:space="preserve">un renfort correspondant en </w:t>
      </w:r>
      <w:r w:rsidRPr="0068230F">
        <w:t xml:space="preserve">personnel et </w:t>
      </w:r>
      <w:r w:rsidR="0068230F">
        <w:t xml:space="preserve">autres </w:t>
      </w:r>
      <w:r w:rsidRPr="0068230F">
        <w:t xml:space="preserve">ressources. </w:t>
      </w:r>
      <w:r w:rsidR="0068230F">
        <w:t>Cela lui permettra de continuer : a) </w:t>
      </w:r>
      <w:r w:rsidRPr="0068230F">
        <w:t>à effectuer davantage de visites et à adopter da</w:t>
      </w:r>
      <w:r w:rsidR="0068230F">
        <w:t>vantage de rapports ; et b) </w:t>
      </w:r>
      <w:r w:rsidR="00C52698">
        <w:t>à aider les États p</w:t>
      </w:r>
      <w:r w:rsidRPr="0068230F">
        <w:t xml:space="preserve">arties à mettre en place des mécanismes nationaux de </w:t>
      </w:r>
      <w:r w:rsidRPr="0068230F">
        <w:lastRenderedPageBreak/>
        <w:t xml:space="preserve">prévention et à en assurer le fonctionnement </w:t>
      </w:r>
      <w:r w:rsidR="002430B6">
        <w:t xml:space="preserve">conformément au </w:t>
      </w:r>
      <w:r w:rsidRPr="0068230F">
        <w:t xml:space="preserve">Protocole facultatif et </w:t>
      </w:r>
      <w:r w:rsidR="002430B6">
        <w:t xml:space="preserve">aux </w:t>
      </w:r>
      <w:r w:rsidRPr="0068230F">
        <w:rPr>
          <w:rStyle w:val="Accentuation"/>
          <w:i w:val="0"/>
          <w:iCs w:val="0"/>
        </w:rPr>
        <w:t>Principes concernant le statut des institutions nationales pour la promotion et la protection des droits de l</w:t>
      </w:r>
      <w:r w:rsidR="002430B6">
        <w:rPr>
          <w:rStyle w:val="Accentuation"/>
          <w:i w:val="0"/>
          <w:iCs w:val="0"/>
        </w:rPr>
        <w:t>’</w:t>
      </w:r>
      <w:r w:rsidRPr="0068230F">
        <w:rPr>
          <w:rStyle w:val="Accentuation"/>
          <w:i w:val="0"/>
          <w:iCs w:val="0"/>
        </w:rPr>
        <w:t>homme</w:t>
      </w:r>
      <w:r w:rsidR="0068230F" w:rsidRPr="0068230F">
        <w:rPr>
          <w:rStyle w:val="Accentuation"/>
          <w:i w:val="0"/>
          <w:iCs w:val="0"/>
        </w:rPr>
        <w:t xml:space="preserve"> </w:t>
      </w:r>
      <w:r w:rsidRPr="0068230F">
        <w:rPr>
          <w:rStyle w:val="preferred"/>
        </w:rPr>
        <w:t>(Principes de Paris</w:t>
      </w:r>
      <w:r w:rsidRPr="0068230F">
        <w:t>).</w:t>
      </w:r>
    </w:p>
    <w:p w:rsidR="00423690" w:rsidRPr="0068230F" w:rsidRDefault="002430B6" w:rsidP="002430B6">
      <w:pPr>
        <w:pStyle w:val="ParNoG"/>
      </w:pPr>
      <w:r>
        <w:t>En conséquence,</w:t>
      </w:r>
      <w:r w:rsidR="00423690" w:rsidRPr="0068230F">
        <w:t xml:space="preserve"> le Sous-Comité pour la prévention de la torture décide de demander au Secrétaire général de mentionner, le cas échéant, dans le rapport qu</w:t>
      </w:r>
      <w:r>
        <w:t>’</w:t>
      </w:r>
      <w:r w:rsidR="00423690" w:rsidRPr="0068230F">
        <w:t>il présentera en 2016 sur la mise en œuvre de la résolution 68/268 de l</w:t>
      </w:r>
      <w:r>
        <w:t>’</w:t>
      </w:r>
      <w:r w:rsidR="00423690" w:rsidRPr="0068230F">
        <w:t xml:space="preserve">Assemblée générale, la nécessité </w:t>
      </w:r>
      <w:r>
        <w:t xml:space="preserve">pour le </w:t>
      </w:r>
      <w:r w:rsidR="00423690" w:rsidRPr="0068230F">
        <w:t xml:space="preserve">Sous-Comité de </w:t>
      </w:r>
      <w:r>
        <w:t>disposer d’</w:t>
      </w:r>
      <w:r w:rsidR="00423690" w:rsidRPr="0068230F">
        <w:t xml:space="preserve">au moins une semaine </w:t>
      </w:r>
      <w:r>
        <w:t xml:space="preserve">supplémentaire </w:t>
      </w:r>
      <w:r w:rsidR="00423690" w:rsidRPr="0068230F">
        <w:t>de réunion</w:t>
      </w:r>
      <w:r>
        <w:t>s</w:t>
      </w:r>
      <w:r w:rsidR="00423690" w:rsidRPr="0068230F">
        <w:t xml:space="preserve"> par an, pour commencer, et du personnel d</w:t>
      </w:r>
      <w:r>
        <w:t>’</w:t>
      </w:r>
      <w:r w:rsidR="00423690" w:rsidRPr="0068230F">
        <w:t xml:space="preserve">appui et des ressources </w:t>
      </w:r>
      <w:r>
        <w:t>indispensables</w:t>
      </w:r>
      <w:r w:rsidR="00423690" w:rsidRPr="0068230F">
        <w:t>.</w:t>
      </w:r>
    </w:p>
    <w:p w:rsidR="00423690" w:rsidRPr="0068230F" w:rsidRDefault="00423690" w:rsidP="00423690">
      <w:pPr>
        <w:pStyle w:val="SingleTxtG"/>
        <w:spacing w:before="240" w:after="0"/>
        <w:jc w:val="center"/>
        <w:rPr>
          <w:u w:val="single"/>
        </w:rPr>
      </w:pPr>
      <w:r w:rsidRPr="0068230F">
        <w:rPr>
          <w:u w:val="single"/>
        </w:rPr>
        <w:tab/>
      </w:r>
      <w:r w:rsidRPr="0068230F">
        <w:rPr>
          <w:u w:val="single"/>
        </w:rPr>
        <w:tab/>
      </w:r>
      <w:r w:rsidRPr="0068230F">
        <w:rPr>
          <w:u w:val="single"/>
        </w:rPr>
        <w:tab/>
      </w:r>
    </w:p>
    <w:sectPr w:rsidR="00423690" w:rsidRPr="0068230F" w:rsidSect="00423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FD7" w:rsidRPr="009C4D45" w:rsidRDefault="000A2FD7" w:rsidP="009C4D45">
      <w:pPr>
        <w:pStyle w:val="Pieddepage"/>
      </w:pPr>
    </w:p>
  </w:endnote>
  <w:endnote w:type="continuationSeparator" w:id="0">
    <w:p w:rsidR="000A2FD7" w:rsidRPr="009C4D45" w:rsidRDefault="000A2FD7" w:rsidP="009C4D45">
      <w:pPr>
        <w:pStyle w:val="Pieddepage"/>
      </w:pPr>
    </w:p>
  </w:endnote>
  <w:endnote w:type="continuationNotice" w:id="1">
    <w:p w:rsidR="000A2FD7" w:rsidRDefault="000A2FD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690" w:rsidRPr="00423690" w:rsidRDefault="00423690" w:rsidP="00423690">
    <w:pPr>
      <w:pStyle w:val="Pieddepage"/>
      <w:tabs>
        <w:tab w:val="right" w:pos="9638"/>
      </w:tabs>
    </w:pPr>
    <w:r w:rsidRPr="00423690">
      <w:rPr>
        <w:b/>
        <w:sz w:val="18"/>
      </w:rPr>
      <w:fldChar w:fldCharType="begin"/>
    </w:r>
    <w:r w:rsidRPr="00423690">
      <w:rPr>
        <w:b/>
        <w:sz w:val="18"/>
      </w:rPr>
      <w:instrText xml:space="preserve"> PAGE  \* MERGEFORMAT </w:instrText>
    </w:r>
    <w:r w:rsidRPr="00423690">
      <w:rPr>
        <w:b/>
        <w:sz w:val="18"/>
      </w:rPr>
      <w:fldChar w:fldCharType="separate"/>
    </w:r>
    <w:r w:rsidR="00C5676E">
      <w:rPr>
        <w:b/>
        <w:noProof/>
        <w:sz w:val="18"/>
      </w:rPr>
      <w:t>2</w:t>
    </w:r>
    <w:r w:rsidRPr="00423690">
      <w:rPr>
        <w:b/>
        <w:sz w:val="18"/>
      </w:rPr>
      <w:fldChar w:fldCharType="end"/>
    </w:r>
    <w:r>
      <w:rPr>
        <w:b/>
        <w:sz w:val="18"/>
      </w:rPr>
      <w:tab/>
    </w:r>
    <w:r>
      <w:t>GE.16-06651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690" w:rsidRPr="00423690" w:rsidRDefault="00423690" w:rsidP="00423690">
    <w:pPr>
      <w:pStyle w:val="Pieddepage"/>
      <w:tabs>
        <w:tab w:val="right" w:pos="9638"/>
      </w:tabs>
      <w:rPr>
        <w:b/>
        <w:sz w:val="18"/>
      </w:rPr>
    </w:pPr>
    <w:r>
      <w:t>GE.16-06651</w:t>
    </w:r>
    <w:r>
      <w:tab/>
    </w:r>
    <w:r w:rsidRPr="00423690">
      <w:rPr>
        <w:b/>
        <w:sz w:val="18"/>
      </w:rPr>
      <w:fldChar w:fldCharType="begin"/>
    </w:r>
    <w:r w:rsidRPr="00423690">
      <w:rPr>
        <w:b/>
        <w:sz w:val="18"/>
      </w:rPr>
      <w:instrText xml:space="preserve"> PAGE  \* MERGEFORMAT </w:instrText>
    </w:r>
    <w:r w:rsidRPr="0042369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2369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144" w:rsidRPr="00423690" w:rsidRDefault="00423690" w:rsidP="00423690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D862930" wp14:editId="1EE7027D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16-06651  (F)</w:t>
    </w:r>
    <w:r w:rsidR="0068230F">
      <w:rPr>
        <w:sz w:val="20"/>
      </w:rPr>
      <w:t xml:space="preserve">    300516    300516</w:t>
    </w:r>
    <w:r>
      <w:rPr>
        <w:sz w:val="20"/>
      </w:rPr>
      <w:br/>
    </w:r>
    <w:r w:rsidRPr="00423690">
      <w:rPr>
        <w:rFonts w:ascii="C39T30Lfz" w:hAnsi="C39T30Lfz"/>
        <w:sz w:val="56"/>
      </w:rPr>
      <w:t></w:t>
    </w:r>
    <w:r w:rsidRPr="00423690">
      <w:rPr>
        <w:rFonts w:ascii="C39T30Lfz" w:hAnsi="C39T30Lfz"/>
        <w:sz w:val="56"/>
      </w:rPr>
      <w:t></w:t>
    </w:r>
    <w:r w:rsidRPr="00423690">
      <w:rPr>
        <w:rFonts w:ascii="C39T30Lfz" w:hAnsi="C39T30Lfz"/>
        <w:sz w:val="56"/>
      </w:rPr>
      <w:t></w:t>
    </w:r>
    <w:r w:rsidRPr="00423690">
      <w:rPr>
        <w:rFonts w:ascii="C39T30Lfz" w:hAnsi="C39T30Lfz"/>
        <w:sz w:val="56"/>
      </w:rPr>
      <w:t></w:t>
    </w:r>
    <w:r w:rsidRPr="00423690">
      <w:rPr>
        <w:rFonts w:ascii="C39T30Lfz" w:hAnsi="C39T30Lfz"/>
        <w:sz w:val="56"/>
      </w:rPr>
      <w:t></w:t>
    </w:r>
    <w:r w:rsidRPr="00423690">
      <w:rPr>
        <w:rFonts w:ascii="C39T30Lfz" w:hAnsi="C39T30Lfz"/>
        <w:sz w:val="56"/>
      </w:rPr>
      <w:t></w:t>
    </w:r>
    <w:r w:rsidRPr="00423690">
      <w:rPr>
        <w:rFonts w:ascii="C39T30Lfz" w:hAnsi="C39T30Lfz"/>
        <w:sz w:val="56"/>
      </w:rPr>
      <w:t></w:t>
    </w:r>
    <w:r w:rsidRPr="00423690">
      <w:rPr>
        <w:rFonts w:ascii="C39T30Lfz" w:hAnsi="C39T30Lfz"/>
        <w:sz w:val="56"/>
      </w:rPr>
      <w:t></w:t>
    </w:r>
    <w:r w:rsidRPr="00423690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AT/OP/28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OP/28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FD7" w:rsidRPr="009C4D45" w:rsidRDefault="000A2FD7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A2FD7" w:rsidRPr="00035AE4" w:rsidRDefault="000A2FD7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A2FD7" w:rsidRPr="00035AE4" w:rsidRDefault="000A2FD7">
      <w:pPr>
        <w:spacing w:line="240" w:lineRule="auto"/>
        <w:rPr>
          <w:sz w:val="2"/>
          <w:szCs w:val="2"/>
        </w:rPr>
      </w:pPr>
    </w:p>
  </w:footnote>
  <w:footnote w:id="2">
    <w:p w:rsidR="00423690" w:rsidRPr="0068230F" w:rsidRDefault="00423690" w:rsidP="0068230F">
      <w:pPr>
        <w:pStyle w:val="Notedebasdepage"/>
      </w:pPr>
      <w:r w:rsidRPr="0068230F">
        <w:rPr>
          <w:rStyle w:val="Appelnotedebasdep"/>
          <w:vertAlign w:val="baseline"/>
        </w:rPr>
        <w:tab/>
      </w:r>
      <w:r w:rsidRPr="0068230F">
        <w:rPr>
          <w:rStyle w:val="Appelnotedebasdep"/>
          <w:sz w:val="20"/>
          <w:vertAlign w:val="baseline"/>
        </w:rPr>
        <w:t>*</w:t>
      </w:r>
      <w:r w:rsidRPr="0068230F">
        <w:rPr>
          <w:rStyle w:val="Appelnotedebasdep"/>
          <w:sz w:val="20"/>
          <w:vertAlign w:val="baseline"/>
        </w:rPr>
        <w:tab/>
      </w:r>
      <w:r w:rsidRPr="0068230F">
        <w:t>Adoptée par le</w:t>
      </w:r>
      <w:r w:rsidR="0068230F" w:rsidRPr="0068230F">
        <w:t xml:space="preserve"> </w:t>
      </w:r>
      <w:r w:rsidRPr="0068230F">
        <w:t xml:space="preserve">Sous-Comité à sa vingt-huitième session </w:t>
      </w:r>
      <w:r w:rsidR="0068230F">
        <w:t>(15-19 </w:t>
      </w:r>
      <w:r w:rsidRPr="0068230F">
        <w:t>février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690" w:rsidRPr="00423690" w:rsidRDefault="00423690">
    <w:pPr>
      <w:pStyle w:val="En-tte"/>
    </w:pPr>
    <w:r>
      <w:t>CAT/OP/28/1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690" w:rsidRPr="00423690" w:rsidRDefault="00423690" w:rsidP="00423690">
    <w:pPr>
      <w:pStyle w:val="En-tte"/>
      <w:jc w:val="right"/>
    </w:pPr>
    <w:r>
      <w:t>CAT/OP/28/1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FD7"/>
    <w:rsid w:val="00023842"/>
    <w:rsid w:val="00035AE4"/>
    <w:rsid w:val="00037DF1"/>
    <w:rsid w:val="0007796D"/>
    <w:rsid w:val="000A2FD7"/>
    <w:rsid w:val="00101756"/>
    <w:rsid w:val="00111F2F"/>
    <w:rsid w:val="0014365E"/>
    <w:rsid w:val="00176178"/>
    <w:rsid w:val="001F525A"/>
    <w:rsid w:val="002430B6"/>
    <w:rsid w:val="00423690"/>
    <w:rsid w:val="00446FE5"/>
    <w:rsid w:val="004F046A"/>
    <w:rsid w:val="00553A1F"/>
    <w:rsid w:val="00573BE5"/>
    <w:rsid w:val="00586ED3"/>
    <w:rsid w:val="00587A52"/>
    <w:rsid w:val="005A51D3"/>
    <w:rsid w:val="005B4E23"/>
    <w:rsid w:val="00621144"/>
    <w:rsid w:val="0068230F"/>
    <w:rsid w:val="0071601D"/>
    <w:rsid w:val="007432FB"/>
    <w:rsid w:val="0080684C"/>
    <w:rsid w:val="00807D21"/>
    <w:rsid w:val="00840C6C"/>
    <w:rsid w:val="00871C75"/>
    <w:rsid w:val="008776DC"/>
    <w:rsid w:val="009705C8"/>
    <w:rsid w:val="009C4D45"/>
    <w:rsid w:val="009F531E"/>
    <w:rsid w:val="00A05770"/>
    <w:rsid w:val="00A37C92"/>
    <w:rsid w:val="00AA0CD3"/>
    <w:rsid w:val="00AB1B55"/>
    <w:rsid w:val="00AE323C"/>
    <w:rsid w:val="00BA41F4"/>
    <w:rsid w:val="00C02897"/>
    <w:rsid w:val="00C52698"/>
    <w:rsid w:val="00C5676E"/>
    <w:rsid w:val="00CA5CE1"/>
    <w:rsid w:val="00CD326D"/>
    <w:rsid w:val="00D21E12"/>
    <w:rsid w:val="00DB1831"/>
    <w:rsid w:val="00DD3BFD"/>
    <w:rsid w:val="00E554A4"/>
    <w:rsid w:val="00EA0D23"/>
    <w:rsid w:val="00EA3F83"/>
    <w:rsid w:val="00EE6EA3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customStyle="1" w:styleId="SingleTxt">
    <w:name w:val="__Single Txt"/>
    <w:basedOn w:val="Normal"/>
    <w:rsid w:val="0042369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kinsoku/>
      <w:overflowPunct/>
      <w:autoSpaceDE/>
      <w:autoSpaceDN/>
      <w:adjustRightInd/>
      <w:snapToGrid/>
      <w:spacing w:after="120" w:line="240" w:lineRule="exact"/>
      <w:ind w:left="1267" w:right="1267"/>
      <w:jc w:val="both"/>
    </w:pPr>
    <w:rPr>
      <w:rFonts w:eastAsia="Times New Roman"/>
      <w:spacing w:val="4"/>
      <w:w w:val="103"/>
      <w:kern w:val="14"/>
      <w:lang w:val="en-GB" w:eastAsia="zh-CN"/>
    </w:rPr>
  </w:style>
  <w:style w:type="character" w:customStyle="1" w:styleId="preferred">
    <w:name w:val="preferred"/>
    <w:basedOn w:val="Policepardfaut"/>
    <w:rsid w:val="00423690"/>
  </w:style>
  <w:style w:type="character" w:styleId="Accentuation">
    <w:name w:val="Emphasis"/>
    <w:basedOn w:val="Policepardfaut"/>
    <w:uiPriority w:val="20"/>
    <w:qFormat/>
    <w:rsid w:val="004236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customStyle="1" w:styleId="SingleTxt">
    <w:name w:val="__Single Txt"/>
    <w:basedOn w:val="Normal"/>
    <w:rsid w:val="0042369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kinsoku/>
      <w:overflowPunct/>
      <w:autoSpaceDE/>
      <w:autoSpaceDN/>
      <w:adjustRightInd/>
      <w:snapToGrid/>
      <w:spacing w:after="120" w:line="240" w:lineRule="exact"/>
      <w:ind w:left="1267" w:right="1267"/>
      <w:jc w:val="both"/>
    </w:pPr>
    <w:rPr>
      <w:rFonts w:eastAsia="Times New Roman"/>
      <w:spacing w:val="4"/>
      <w:w w:val="103"/>
      <w:kern w:val="14"/>
      <w:lang w:val="en-GB" w:eastAsia="zh-CN"/>
    </w:rPr>
  </w:style>
  <w:style w:type="character" w:customStyle="1" w:styleId="preferred">
    <w:name w:val="preferred"/>
    <w:basedOn w:val="Policepardfaut"/>
    <w:rsid w:val="00423690"/>
  </w:style>
  <w:style w:type="character" w:styleId="Accentuation">
    <w:name w:val="Emphasis"/>
    <w:basedOn w:val="Policepardfaut"/>
    <w:uiPriority w:val="20"/>
    <w:qFormat/>
    <w:rsid w:val="004236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2</Pages>
  <Words>521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CAT/OP/28/1</vt:lpstr>
    </vt:vector>
  </TitlesOfParts>
  <Company>DCM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CAT/OP/28/1</dc:title>
  <dc:subject/>
  <dc:creator>Morin</dc:creator>
  <cp:keywords/>
  <dc:description/>
  <cp:lastModifiedBy>Morin</cp:lastModifiedBy>
  <cp:revision>2</cp:revision>
  <dcterms:created xsi:type="dcterms:W3CDTF">2016-05-30T09:56:00Z</dcterms:created>
  <dcterms:modified xsi:type="dcterms:W3CDTF">2016-05-30T09:56:00Z</dcterms:modified>
</cp:coreProperties>
</file>