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ADBC7" w14:textId="77777777" w:rsidR="00600EE3" w:rsidRPr="00D5271C" w:rsidRDefault="00600EE3" w:rsidP="00600EE3">
      <w:pPr>
        <w:spacing w:line="240" w:lineRule="auto"/>
        <w:rPr>
          <w:sz w:val="2"/>
          <w:lang w:val="es-ES_tradnl"/>
        </w:rPr>
        <w:sectPr w:rsidR="00600EE3" w:rsidRPr="00D5271C" w:rsidSect="00172BB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5271C">
        <w:rPr>
          <w:rStyle w:val="CommentReference"/>
          <w:szCs w:val="20"/>
          <w:lang w:val="es-ES_tradnl"/>
        </w:rPr>
        <w:commentReference w:id="0"/>
      </w:r>
    </w:p>
    <w:p w14:paraId="112CF768" w14:textId="77777777" w:rsidR="00172BBF" w:rsidRPr="00D5271C" w:rsidRDefault="00172BBF" w:rsidP="00172B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D5271C">
        <w:rPr>
          <w:lang w:val="es-ES_tradnl"/>
        </w:rPr>
        <w:t>Comité para la Eliminación de la Discriminación contra la Mujer</w:t>
      </w:r>
    </w:p>
    <w:p w14:paraId="051C01DD" w14:textId="77777777" w:rsidR="00172BBF" w:rsidRPr="00D5271C" w:rsidRDefault="00172BBF" w:rsidP="00172BBF">
      <w:pPr>
        <w:pStyle w:val="Session"/>
        <w:rPr>
          <w:lang w:val="es-ES_tradnl"/>
        </w:rPr>
      </w:pPr>
      <w:r w:rsidRPr="00D5271C">
        <w:rPr>
          <w:lang w:val="es-ES_tradnl"/>
        </w:rPr>
        <w:t>85º período de sesiones</w:t>
      </w:r>
    </w:p>
    <w:p w14:paraId="1E802DCA" w14:textId="77777777" w:rsidR="00172BBF" w:rsidRPr="00D5271C" w:rsidRDefault="00172BBF" w:rsidP="00172BBF">
      <w:pPr>
        <w:pStyle w:val="AgendaItemNormal"/>
        <w:rPr>
          <w:lang w:val="es-ES_tradnl"/>
        </w:rPr>
      </w:pPr>
      <w:r w:rsidRPr="00D5271C">
        <w:rPr>
          <w:lang w:val="es-ES_tradnl"/>
        </w:rPr>
        <w:t>8 a 26 de mayo de 2023</w:t>
      </w:r>
    </w:p>
    <w:p w14:paraId="36696232" w14:textId="77777777" w:rsidR="00172BBF" w:rsidRPr="00D5271C" w:rsidRDefault="00172BBF" w:rsidP="00172BBF">
      <w:pPr>
        <w:pStyle w:val="AgendaItemNormal"/>
        <w:rPr>
          <w:lang w:val="es-ES_tradnl"/>
        </w:rPr>
      </w:pPr>
      <w:r w:rsidRPr="00D5271C">
        <w:rPr>
          <w:lang w:val="es-ES_tradnl"/>
        </w:rPr>
        <w:t>Tema 4 del programa provisional</w:t>
      </w:r>
    </w:p>
    <w:p w14:paraId="03E8DA68" w14:textId="77777777" w:rsidR="00172BBF" w:rsidRPr="00D5271C" w:rsidRDefault="00172BBF" w:rsidP="00172BBF">
      <w:pPr>
        <w:pStyle w:val="AgendaTitleH2"/>
        <w:ind w:right="4620"/>
        <w:rPr>
          <w:lang w:val="es-ES_tradnl"/>
        </w:rPr>
      </w:pPr>
      <w:r w:rsidRPr="00D5271C">
        <w:rPr>
          <w:lang w:val="es-ES_tradnl"/>
        </w:rPr>
        <w:t>Examen de los informes presentados por los Estados partes en virtud del artículo 18 de la Convención sobre la Eliminación de Todas las Formas de Discriminación contra la Mujer</w:t>
      </w:r>
    </w:p>
    <w:p w14:paraId="170F6AC7" w14:textId="736A2B66" w:rsidR="00172BBF" w:rsidRPr="00D5271C" w:rsidRDefault="00172BBF" w:rsidP="0037567F">
      <w:pPr>
        <w:pStyle w:val="SingleTxt"/>
        <w:spacing w:after="0" w:line="120" w:lineRule="exact"/>
        <w:rPr>
          <w:sz w:val="10"/>
          <w:lang w:val="es-ES_tradnl"/>
        </w:rPr>
      </w:pPr>
    </w:p>
    <w:p w14:paraId="4B0FCF9B" w14:textId="389C4859" w:rsidR="0037567F" w:rsidRPr="00D5271C" w:rsidRDefault="0037567F" w:rsidP="0037567F">
      <w:pPr>
        <w:pStyle w:val="SingleTxt"/>
        <w:spacing w:after="0" w:line="120" w:lineRule="exact"/>
        <w:rPr>
          <w:sz w:val="10"/>
          <w:lang w:val="es-ES_tradnl"/>
        </w:rPr>
      </w:pPr>
    </w:p>
    <w:p w14:paraId="5E904C68" w14:textId="60D015F5" w:rsidR="0037567F" w:rsidRPr="00D5271C" w:rsidRDefault="0037567F" w:rsidP="0037567F">
      <w:pPr>
        <w:pStyle w:val="SingleTxt"/>
        <w:spacing w:after="0" w:line="120" w:lineRule="exact"/>
        <w:rPr>
          <w:sz w:val="10"/>
          <w:lang w:val="es-ES_tradnl"/>
        </w:rPr>
      </w:pPr>
    </w:p>
    <w:p w14:paraId="29E75297" w14:textId="77777777" w:rsidR="0037567F" w:rsidRPr="00D5271C" w:rsidRDefault="0037567F" w:rsidP="0037567F">
      <w:pPr>
        <w:pStyle w:val="SingleTxt"/>
        <w:spacing w:after="0" w:line="240" w:lineRule="auto"/>
        <w:rPr>
          <w:sz w:val="2"/>
          <w:lang w:val="es-ES_tradnl"/>
        </w:rPr>
      </w:pPr>
    </w:p>
    <w:p w14:paraId="0DFD58AB" w14:textId="6D2BA2EB" w:rsidR="0037567F" w:rsidRPr="00D5271C" w:rsidRDefault="0037567F" w:rsidP="0037567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D5271C">
        <w:rPr>
          <w:noProof/>
          <w:w w:val="100"/>
          <w:lang w:val="es-ES_tradnl"/>
        </w:rPr>
        <mc:AlternateContent>
          <mc:Choice Requires="wps">
            <w:drawing>
              <wp:anchor distT="0" distB="0" distL="114300" distR="114300" simplePos="0" relativeHeight="251659264" behindDoc="0" locked="0" layoutInCell="1" allowOverlap="1" wp14:anchorId="5173639F" wp14:editId="6D4F9186">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5208D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D5271C">
        <w:rPr>
          <w:spacing w:val="5"/>
          <w:w w:val="104"/>
          <w:kern w:val="14"/>
          <w:sz w:val="17"/>
          <w:szCs w:val="20"/>
          <w:lang w:val="es-ES_tradnl"/>
        </w:rPr>
        <w:tab/>
        <w:t>*</w:t>
      </w:r>
      <w:r w:rsidRPr="00D5271C">
        <w:rPr>
          <w:spacing w:val="5"/>
          <w:w w:val="104"/>
          <w:kern w:val="14"/>
          <w:sz w:val="17"/>
          <w:szCs w:val="20"/>
          <w:lang w:val="es-ES_tradnl"/>
        </w:rPr>
        <w:tab/>
        <w:t>La versión original del presente documento no fue objeto de revisión editorial oficial.</w:t>
      </w:r>
    </w:p>
    <w:p w14:paraId="663009B0" w14:textId="77777777" w:rsidR="00172BBF" w:rsidRPr="00D5271C" w:rsidRDefault="00172BBF" w:rsidP="0037567F">
      <w:pPr>
        <w:pStyle w:val="TitleHCH"/>
        <w:ind w:right="1260"/>
        <w:rPr>
          <w:lang w:val="es-ES_tradnl"/>
        </w:rPr>
      </w:pPr>
      <w:r w:rsidRPr="00D5271C">
        <w:rPr>
          <w:lang w:val="es-ES_tradnl"/>
        </w:rPr>
        <w:tab/>
      </w:r>
      <w:r w:rsidRPr="00D5271C">
        <w:rPr>
          <w:lang w:val="es-ES_tradnl"/>
        </w:rPr>
        <w:tab/>
        <w:t>Respuestas de Islandia a la lista de cuestiones y preguntas relativa a su noveno informe periódico</w:t>
      </w:r>
      <w:r w:rsidRPr="00D5271C">
        <w:rPr>
          <w:b w:val="0"/>
          <w:bCs/>
          <w:sz w:val="24"/>
          <w:szCs w:val="24"/>
          <w:lang w:val="es-ES_tradnl"/>
        </w:rPr>
        <w:t>*</w:t>
      </w:r>
    </w:p>
    <w:p w14:paraId="5BF08FB5" w14:textId="21EF0F8A" w:rsidR="00172BBF" w:rsidRPr="00D5271C" w:rsidRDefault="00172BBF" w:rsidP="0037567F">
      <w:pPr>
        <w:pStyle w:val="SingleTxt"/>
        <w:spacing w:after="0" w:line="120" w:lineRule="exact"/>
        <w:rPr>
          <w:sz w:val="10"/>
          <w:lang w:val="es-ES_tradnl"/>
        </w:rPr>
      </w:pPr>
    </w:p>
    <w:p w14:paraId="6B33E3E4" w14:textId="40BA9BF6" w:rsidR="0037567F" w:rsidRPr="00D5271C" w:rsidRDefault="0037567F" w:rsidP="0037567F">
      <w:pPr>
        <w:pStyle w:val="SingleTxt"/>
        <w:spacing w:after="0" w:line="120" w:lineRule="exact"/>
        <w:rPr>
          <w:sz w:val="10"/>
          <w:lang w:val="es-ES_tradnl"/>
        </w:rPr>
      </w:pPr>
    </w:p>
    <w:p w14:paraId="20133D4B" w14:textId="0C8B7656" w:rsidR="00600EE3" w:rsidRPr="00D5271C" w:rsidRDefault="00172BBF" w:rsidP="0037567F">
      <w:pPr>
        <w:pStyle w:val="SingleTxt"/>
        <w:jc w:val="right"/>
        <w:rPr>
          <w:lang w:val="es-ES_tradnl"/>
        </w:rPr>
      </w:pPr>
      <w:r w:rsidRPr="00D5271C">
        <w:rPr>
          <w:lang w:val="es-ES_tradnl"/>
        </w:rPr>
        <w:t>[Fecha de recepción: 10 de octubre de 2022]</w:t>
      </w:r>
    </w:p>
    <w:p w14:paraId="5D476C40" w14:textId="50F31668" w:rsidR="0037567F" w:rsidRPr="00D5271C" w:rsidRDefault="0037567F">
      <w:pPr>
        <w:suppressAutoHyphens w:val="0"/>
        <w:spacing w:after="200" w:line="276" w:lineRule="auto"/>
        <w:rPr>
          <w:kern w:val="14"/>
          <w:lang w:val="es-ES_tradnl"/>
        </w:rPr>
      </w:pPr>
      <w:r w:rsidRPr="00D5271C">
        <w:rPr>
          <w:lang w:val="es-ES_tradnl"/>
        </w:rPr>
        <w:br w:type="page"/>
      </w:r>
    </w:p>
    <w:p w14:paraId="3D3B0DC3" w14:textId="34170F84" w:rsidR="00A82D34" w:rsidRPr="00D5271C" w:rsidRDefault="00A82D34" w:rsidP="00A82D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bCs/>
          <w:lang w:val="es-ES_tradnl"/>
        </w:rPr>
        <w:lastRenderedPageBreak/>
        <w:tab/>
      </w:r>
      <w:r w:rsidRPr="00D5271C">
        <w:rPr>
          <w:bCs/>
          <w:lang w:val="es-ES_tradnl"/>
        </w:rPr>
        <w:tab/>
        <w:t>Respuesta al párrafo 1 de la lista de cuestiones y preguntas (</w:t>
      </w:r>
      <w:hyperlink r:id="rId17" w:history="1">
        <w:r w:rsidRPr="00D5271C">
          <w:rPr>
            <w:rStyle w:val="Hyperlink"/>
            <w:lang w:val="es-ES_tradnl"/>
          </w:rPr>
          <w:t>CEDAW/C/ISL/Q/9</w:t>
        </w:r>
      </w:hyperlink>
      <w:r w:rsidRPr="00D5271C">
        <w:rPr>
          <w:bCs/>
          <w:lang w:val="es-ES_tradnl"/>
        </w:rPr>
        <w:t>)</w:t>
      </w:r>
    </w:p>
    <w:p w14:paraId="1D8BBA26" w14:textId="2181EBB9" w:rsidR="00A82D34" w:rsidRPr="00D5271C" w:rsidRDefault="00A82D34" w:rsidP="00A82D34">
      <w:pPr>
        <w:pStyle w:val="SingleTxt"/>
        <w:spacing w:after="0" w:line="120" w:lineRule="exact"/>
        <w:rPr>
          <w:sz w:val="10"/>
          <w:lang w:val="es-ES_tradnl"/>
        </w:rPr>
      </w:pPr>
    </w:p>
    <w:p w14:paraId="103CE097" w14:textId="0A80C62B" w:rsidR="00A82D34" w:rsidRPr="00D5271C" w:rsidRDefault="00A82D34" w:rsidP="00A82D34">
      <w:pPr>
        <w:pStyle w:val="SingleTxt"/>
        <w:spacing w:after="0" w:line="120" w:lineRule="exact"/>
        <w:rPr>
          <w:sz w:val="10"/>
          <w:lang w:val="es-ES_tradnl"/>
        </w:rPr>
      </w:pPr>
    </w:p>
    <w:p w14:paraId="4E6C2413" w14:textId="2C9134A4" w:rsidR="00A82D34" w:rsidRPr="00D5271C" w:rsidRDefault="00A82D34" w:rsidP="00A82D34">
      <w:pPr>
        <w:pStyle w:val="SingleTxt"/>
        <w:numPr>
          <w:ilvl w:val="0"/>
          <w:numId w:val="6"/>
        </w:numPr>
        <w:ind w:left="1267"/>
        <w:rPr>
          <w:lang w:val="es-ES_tradnl"/>
        </w:rPr>
      </w:pPr>
      <w:r w:rsidRPr="00D5271C">
        <w:rPr>
          <w:lang w:val="es-ES_tradnl"/>
        </w:rPr>
        <w:t>Véanse los párrafos 7 a 10 y 19 a 21 del noveno informe periódico de Islandia.</w:t>
      </w:r>
    </w:p>
    <w:p w14:paraId="25B0D68E" w14:textId="38651ECD" w:rsidR="00A82D34" w:rsidRPr="00D5271C" w:rsidRDefault="00A82D34" w:rsidP="00A82D34">
      <w:pPr>
        <w:pStyle w:val="SingleTxt"/>
        <w:spacing w:after="0" w:line="120" w:lineRule="exact"/>
        <w:rPr>
          <w:sz w:val="10"/>
          <w:lang w:val="es-ES_tradnl"/>
        </w:rPr>
      </w:pPr>
    </w:p>
    <w:p w14:paraId="1A5B7970" w14:textId="424E84CB" w:rsidR="00A82D34" w:rsidRPr="00D5271C" w:rsidRDefault="00A82D34" w:rsidP="00A82D34">
      <w:pPr>
        <w:pStyle w:val="SingleTxt"/>
        <w:spacing w:after="0" w:line="120" w:lineRule="exact"/>
        <w:rPr>
          <w:sz w:val="10"/>
          <w:lang w:val="es-ES_tradnl"/>
        </w:rPr>
      </w:pPr>
    </w:p>
    <w:p w14:paraId="522624FC" w14:textId="77777777" w:rsidR="00A82D34" w:rsidRPr="00D5271C" w:rsidRDefault="00A82D34" w:rsidP="00A82D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 xml:space="preserve">Respuesta al párrafo 2 de la lista de cuestiones y preguntas </w:t>
      </w:r>
    </w:p>
    <w:p w14:paraId="1C65A819" w14:textId="065940F9" w:rsidR="00A82D34" w:rsidRPr="00D5271C" w:rsidRDefault="00A82D34" w:rsidP="00A82D34">
      <w:pPr>
        <w:pStyle w:val="SingleTxt"/>
        <w:spacing w:after="0" w:line="120" w:lineRule="exact"/>
        <w:rPr>
          <w:sz w:val="10"/>
          <w:lang w:val="es-ES_tradnl"/>
        </w:rPr>
      </w:pPr>
    </w:p>
    <w:p w14:paraId="291E485B" w14:textId="09CA91DF" w:rsidR="00A82D34" w:rsidRPr="00D5271C" w:rsidRDefault="00A82D34" w:rsidP="00A82D34">
      <w:pPr>
        <w:pStyle w:val="SingleTxt"/>
        <w:spacing w:after="0" w:line="120" w:lineRule="exact"/>
        <w:rPr>
          <w:sz w:val="10"/>
          <w:lang w:val="es-ES_tradnl"/>
        </w:rPr>
      </w:pPr>
    </w:p>
    <w:p w14:paraId="1364A02A" w14:textId="2F6560E0" w:rsidR="00A82D34" w:rsidRPr="00D5271C" w:rsidRDefault="00A82D34" w:rsidP="00A82D34">
      <w:pPr>
        <w:pStyle w:val="SingleTxt"/>
        <w:numPr>
          <w:ilvl w:val="0"/>
          <w:numId w:val="6"/>
        </w:numPr>
        <w:ind w:left="1267"/>
        <w:rPr>
          <w:lang w:val="es-ES_tradnl"/>
        </w:rPr>
      </w:pPr>
      <w:r w:rsidRPr="00D5271C">
        <w:rPr>
          <w:lang w:val="es-ES_tradnl"/>
        </w:rPr>
        <w:t>Como se indica en los párrafos 16 a 18 del noveno informe periódico de Islandia al Comité, el Gobierno de Islandia ha hecho hincapié en la igualdad de género en su respuesta a la pandemia de COVID-19. En julio de 2022, las conclusiones fueron presentadas por el grupo de trabajo interministerial creado con el fin de revisar las medidas ya adoptadas, así como de proponer acciones con las que mitigar cualquier efecto negativo a largo plazo de la pandemia sobre los grupos vulnerables de la sociedad islandesa. El informe del grupo de trabajo demuestra que las asignaciones presupuestarias especiales fuera del presupuesto fijo para acciones contra la violencia durante el período 2020-2021 ascendieron a 225 millones de coronas islandesas. El importe presupuestario se destinó en gran parte a medidas preventivas, acciones y sensibilización en respuesta al aumento de la violencia doméstica contra mujeres y niños durante la pandemia. Muchas de estas actividades quedaron detalladas en el noveno informe periódico de Islandia al Comité, en los párrafos 53 y 54 entre otros. El informe recomienda seguir desarrollando la infraestructura de atención a víctimas y agresores para garantizar que se dé el apoyo adecuado y se dote permanentemente de recursos a los servicios.</w:t>
      </w:r>
    </w:p>
    <w:p w14:paraId="16613165" w14:textId="2609B983" w:rsidR="00A82D34" w:rsidRPr="00D5271C" w:rsidRDefault="00A82D34" w:rsidP="00A82D34">
      <w:pPr>
        <w:pStyle w:val="SingleTxt"/>
        <w:spacing w:after="0" w:line="120" w:lineRule="exact"/>
        <w:rPr>
          <w:sz w:val="10"/>
          <w:lang w:val="es-ES_tradnl"/>
        </w:rPr>
      </w:pPr>
    </w:p>
    <w:p w14:paraId="5E1E9501" w14:textId="56472CF7" w:rsidR="00A82D34" w:rsidRPr="00D5271C" w:rsidRDefault="00A82D34" w:rsidP="00A82D34">
      <w:pPr>
        <w:pStyle w:val="SingleTxt"/>
        <w:spacing w:after="0" w:line="120" w:lineRule="exact"/>
        <w:rPr>
          <w:sz w:val="10"/>
          <w:lang w:val="es-ES_tradnl"/>
        </w:rPr>
      </w:pPr>
    </w:p>
    <w:p w14:paraId="7BF9F18D" w14:textId="77777777" w:rsidR="00A82D34" w:rsidRPr="00D5271C" w:rsidRDefault="00A82D34" w:rsidP="00A82D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3 de la lista de cuestiones y preguntas</w:t>
      </w:r>
    </w:p>
    <w:p w14:paraId="3EB4B432" w14:textId="1CBCEA57" w:rsidR="00A82D34" w:rsidRPr="00D5271C" w:rsidRDefault="00A82D34" w:rsidP="00A82D34">
      <w:pPr>
        <w:pStyle w:val="SingleTxt"/>
        <w:spacing w:after="0" w:line="120" w:lineRule="exact"/>
        <w:rPr>
          <w:sz w:val="10"/>
          <w:lang w:val="es-ES_tradnl"/>
        </w:rPr>
      </w:pPr>
    </w:p>
    <w:p w14:paraId="1676CDC5" w14:textId="66C0C0F3" w:rsidR="00A82D34" w:rsidRPr="00D5271C" w:rsidRDefault="00A82D34" w:rsidP="00A82D34">
      <w:pPr>
        <w:pStyle w:val="SingleTxt"/>
        <w:spacing w:after="0" w:line="120" w:lineRule="exact"/>
        <w:rPr>
          <w:sz w:val="10"/>
          <w:lang w:val="es-ES_tradnl"/>
        </w:rPr>
      </w:pPr>
    </w:p>
    <w:p w14:paraId="65F8D309" w14:textId="1F42217C" w:rsidR="00A82D34" w:rsidRPr="00D5271C" w:rsidRDefault="00A82D34" w:rsidP="006778BA">
      <w:pPr>
        <w:pStyle w:val="SingleTxt"/>
        <w:numPr>
          <w:ilvl w:val="0"/>
          <w:numId w:val="8"/>
        </w:numPr>
        <w:tabs>
          <w:tab w:val="clear" w:pos="475"/>
          <w:tab w:val="right" w:pos="1022"/>
        </w:tabs>
        <w:ind w:left="1267" w:right="1260"/>
        <w:rPr>
          <w:lang w:val="es-ES_tradnl"/>
        </w:rPr>
      </w:pPr>
      <w:r w:rsidRPr="00D5271C">
        <w:rPr>
          <w:lang w:val="es-ES_tradnl"/>
        </w:rPr>
        <w:t>Como se indica en el párrafo 23 del noveno informe periódico de Islandia al Comité, el Gobierno de Islandia ha intentado aplicar la Convención, al igual que otros acuerdos internacionales, mediante la armonización legislativa, adaptando así el ordenamiento jurídico interno a esos acuerdos en lugar de incorporar instrumentos internacionales completos. Islandia promulgó su primera legislación sobre igualdad de género tras el Año Internacional de la Mujer en 1975 y la Conferencia Mundial de las Naciones Unidas del Año Internacional de la Mujer, celebrada en México ese año. Durante la revisión de esta legislación en 1984, se señaló que el comité encargado de redactar la legislación debía tomar nota de la Convención, que Islandia había firmado en 1980 pero que no ratificó hasta 1985. Desde entonces, la ley se ha actualizado periódicamente, la última vez con la Ley núm. 150/2020 de Igualdad de Condición y de Derechos con Independencia del Género. Desde la primera promulgación, las actividades de las Naciones Unidas en relación con la mujer y la igualdad han sido la base del desarrollo legislativo y de otras políticas sobre igualdad de género en Islandia. A modo de ejemplo, el primer plan de aplicación de la igualdad de género aprobado por el Gobierno de Islandia en 1986 se basaba, entre otras cosas, en la Convención y en la adopción de estrategias de futuro para el adelanto de las mujeres por parte de la Conferencia Mundial de las Naciones Unidas sobre la condición jurídica y social de la mujer, celebrada en Kenya en 1985. Los planes de implementación aprobados desde entonces también se han basado en la Convención.</w:t>
      </w:r>
    </w:p>
    <w:p w14:paraId="15C4EB58" w14:textId="37259AF5" w:rsidR="00A82D34" w:rsidRPr="00D5271C" w:rsidRDefault="00A82D34" w:rsidP="006778BA">
      <w:pPr>
        <w:pStyle w:val="SingleTxt"/>
        <w:numPr>
          <w:ilvl w:val="0"/>
          <w:numId w:val="8"/>
        </w:numPr>
        <w:tabs>
          <w:tab w:val="clear" w:pos="475"/>
          <w:tab w:val="right" w:pos="1022"/>
        </w:tabs>
        <w:ind w:left="1267" w:right="1260"/>
        <w:rPr>
          <w:lang w:val="es-ES_tradnl"/>
        </w:rPr>
      </w:pPr>
      <w:r w:rsidRPr="00D5271C">
        <w:rPr>
          <w:lang w:val="es-ES_tradnl"/>
        </w:rPr>
        <w:t xml:space="preserve">El artículo 13, sobre la conciliación de la vida laboral y familiar, y el artículo 16 3) de la Ley núm. 150/2020 de Igualdad de Condición y de Derechos con Independencia del Género son un ejemplo de la implementación de la Convención a través de la legislación. El artículo 16 3) establece que la consideración especial a la mujer en relación con el embarazo y el parto no se considerará discriminatoria. Estas disposiciones están en consonancia con lo dispuesto en el artículo 4 2) de la Convención. Otro ejemplo sería el artículo 6 (disposición general relativa a la </w:t>
      </w:r>
      <w:r w:rsidRPr="00D5271C">
        <w:rPr>
          <w:lang w:val="es-ES_tradnl"/>
        </w:rPr>
        <w:lastRenderedPageBreak/>
        <w:t>igualdad de remuneración), los artículos 7 a 10 (sobre la certificación de la igualdad de remuneración y la confirmación de la igualdad de remuneración) y el artículo 18 (sobre la prohibición de la discriminación relativa a las condiciones de empleo). Estas disposiciones se han promulgado para cumplir las estipulaciones del artículo 11 1 d) de la Convención.</w:t>
      </w:r>
    </w:p>
    <w:p w14:paraId="69096113" w14:textId="77777777" w:rsidR="00A82D34" w:rsidRPr="00D5271C" w:rsidRDefault="00A82D34" w:rsidP="00A82D34">
      <w:pPr>
        <w:pStyle w:val="SingleTxt"/>
        <w:spacing w:after="0" w:line="120" w:lineRule="exact"/>
        <w:rPr>
          <w:b/>
          <w:sz w:val="10"/>
          <w:lang w:val="es-ES_tradnl"/>
        </w:rPr>
      </w:pPr>
    </w:p>
    <w:p w14:paraId="0798CA06" w14:textId="77777777" w:rsidR="00A82D34" w:rsidRPr="00D5271C" w:rsidRDefault="00A82D34" w:rsidP="00A82D34">
      <w:pPr>
        <w:pStyle w:val="SingleTxt"/>
        <w:spacing w:after="0" w:line="120" w:lineRule="exact"/>
        <w:rPr>
          <w:b/>
          <w:sz w:val="10"/>
          <w:lang w:val="es-ES_tradnl"/>
        </w:rPr>
      </w:pPr>
    </w:p>
    <w:p w14:paraId="3E855819" w14:textId="086436D9" w:rsidR="00A82D34" w:rsidRPr="00D5271C" w:rsidRDefault="00A82D34" w:rsidP="00A82D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 xml:space="preserve">Respuesta al párrafo 4 de la lista de cuestiones y preguntas </w:t>
      </w:r>
    </w:p>
    <w:p w14:paraId="1C919BB7" w14:textId="5DEE30A9" w:rsidR="00A82D34" w:rsidRPr="00D5271C" w:rsidRDefault="00A82D34" w:rsidP="00A82D34">
      <w:pPr>
        <w:pStyle w:val="SingleTxt"/>
        <w:spacing w:after="0" w:line="120" w:lineRule="exact"/>
        <w:rPr>
          <w:sz w:val="10"/>
          <w:lang w:val="es-ES_tradnl"/>
        </w:rPr>
      </w:pPr>
    </w:p>
    <w:p w14:paraId="15CDAD6C" w14:textId="0E82BC8A" w:rsidR="00A82D34" w:rsidRPr="00D5271C" w:rsidRDefault="00A82D34" w:rsidP="00A82D34">
      <w:pPr>
        <w:pStyle w:val="SingleTxt"/>
        <w:spacing w:after="0" w:line="120" w:lineRule="exact"/>
        <w:rPr>
          <w:sz w:val="10"/>
          <w:lang w:val="es-ES_tradnl"/>
        </w:rPr>
      </w:pPr>
    </w:p>
    <w:p w14:paraId="7FCD226C" w14:textId="6EC551F7" w:rsidR="00A82D34" w:rsidRPr="00D5271C" w:rsidRDefault="00A82D34" w:rsidP="006778BA">
      <w:pPr>
        <w:pStyle w:val="SingleTxt"/>
        <w:numPr>
          <w:ilvl w:val="0"/>
          <w:numId w:val="8"/>
        </w:numPr>
        <w:tabs>
          <w:tab w:val="num" w:pos="2804"/>
        </w:tabs>
        <w:ind w:left="1267"/>
        <w:rPr>
          <w:lang w:val="es-ES_tradnl"/>
        </w:rPr>
      </w:pPr>
      <w:r w:rsidRPr="00D5271C">
        <w:rPr>
          <w:lang w:val="es-ES_tradnl"/>
        </w:rPr>
        <w:t>No está previsto trasladar la Dirección de Igualdad de Akureyri. En opinión del Ministerio, el refuerzo de la Dirección en los últimos cuatro años ha permitido equiparla adecuadamente para cumplir su función y servir a la igualdad de género en todo el país.</w:t>
      </w:r>
    </w:p>
    <w:p w14:paraId="7BAE8D68" w14:textId="162FD813" w:rsidR="00A82D34" w:rsidRPr="00D5271C" w:rsidRDefault="00A82D34" w:rsidP="006778BA">
      <w:pPr>
        <w:pStyle w:val="SingleTxt"/>
        <w:numPr>
          <w:ilvl w:val="0"/>
          <w:numId w:val="8"/>
        </w:numPr>
        <w:ind w:left="1267"/>
        <w:rPr>
          <w:lang w:val="es-ES_tradnl"/>
        </w:rPr>
      </w:pPr>
      <w:r w:rsidRPr="00D5271C">
        <w:rPr>
          <w:lang w:val="es-ES_tradnl"/>
        </w:rPr>
        <w:t>El presupuesto asignado a la Dirección de Igualdad ascendió a 135.600.000 coronas islandesas en 2021 y a 141.400.000 coronas islandesas en 2022.</w:t>
      </w:r>
    </w:p>
    <w:p w14:paraId="7273B881" w14:textId="4481020E" w:rsidR="00A82D34" w:rsidRPr="00D5271C" w:rsidRDefault="00A82D34" w:rsidP="006778BA">
      <w:pPr>
        <w:pStyle w:val="SingleTxt"/>
        <w:spacing w:after="0" w:line="120" w:lineRule="exact"/>
        <w:rPr>
          <w:sz w:val="10"/>
          <w:lang w:val="es-ES_tradnl"/>
        </w:rPr>
      </w:pPr>
    </w:p>
    <w:p w14:paraId="2438B2EC" w14:textId="2E34C76D" w:rsidR="006778BA" w:rsidRPr="00D5271C" w:rsidRDefault="006778BA" w:rsidP="006778BA">
      <w:pPr>
        <w:pStyle w:val="SingleTxt"/>
        <w:spacing w:after="0" w:line="120" w:lineRule="exact"/>
        <w:rPr>
          <w:sz w:val="10"/>
          <w:lang w:val="es-ES_tradnl"/>
        </w:rPr>
      </w:pPr>
    </w:p>
    <w:p w14:paraId="5214E57B"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5 de la lista de cuestiones y preguntas</w:t>
      </w:r>
    </w:p>
    <w:p w14:paraId="06B47375" w14:textId="2B916E58" w:rsidR="00A82D34" w:rsidRPr="00D5271C" w:rsidRDefault="00A82D34" w:rsidP="006778BA">
      <w:pPr>
        <w:pStyle w:val="SingleTxt"/>
        <w:spacing w:after="0" w:line="120" w:lineRule="exact"/>
        <w:rPr>
          <w:sz w:val="10"/>
          <w:lang w:val="es-ES_tradnl"/>
        </w:rPr>
      </w:pPr>
    </w:p>
    <w:p w14:paraId="0542ED4E" w14:textId="739679D0" w:rsidR="006778BA" w:rsidRPr="00D5271C" w:rsidRDefault="006778BA" w:rsidP="006778BA">
      <w:pPr>
        <w:pStyle w:val="SingleTxt"/>
        <w:spacing w:after="0" w:line="120" w:lineRule="exact"/>
        <w:rPr>
          <w:sz w:val="10"/>
          <w:lang w:val="es-ES_tradnl"/>
        </w:rPr>
      </w:pPr>
    </w:p>
    <w:p w14:paraId="3BF263F1" w14:textId="66EE2D31" w:rsidR="00A82D34" w:rsidRPr="00D5271C" w:rsidRDefault="00A82D34" w:rsidP="006778BA">
      <w:pPr>
        <w:pStyle w:val="SingleTxt"/>
        <w:numPr>
          <w:ilvl w:val="0"/>
          <w:numId w:val="8"/>
        </w:numPr>
        <w:ind w:left="1267"/>
        <w:rPr>
          <w:lang w:val="es-ES_tradnl"/>
        </w:rPr>
      </w:pPr>
      <w:r w:rsidRPr="00D5271C">
        <w:rPr>
          <w:lang w:val="es-ES_tradnl"/>
        </w:rPr>
        <w:t>El programa de gobierno de la actual coalición prevé la creación de una institución nacional independiente de derechos humanos que cumpla los Principios de París de las Naciones Unidas. La Oficina de la Primera Ministra trabaja actualmente en la elaboración de un libro verde sobre los derechos humanos en el marco de la preparación de esa institución. Se hace hincapié en una amplia consulta con las partes interesadas y el público, por lo que la Primera Ministra ha celebrado reuniones abiertas de consulta sobre derechos humanos en todas las partes del país. El libro verde y la información que contiene se utilizarán en la preparación de un proyecto de ley sobre una institución nacional independiente de derechos humanos que se presentará en el Althingi, el Parlamento de Islandia, durante el período de sesiones del otoño boreal de 2023.</w:t>
      </w:r>
    </w:p>
    <w:p w14:paraId="5CF0EACB" w14:textId="5A48A7A3" w:rsidR="00A82D34" w:rsidRPr="00D5271C" w:rsidRDefault="00A82D34" w:rsidP="006778BA">
      <w:pPr>
        <w:pStyle w:val="SingleTxt"/>
        <w:spacing w:after="0" w:line="120" w:lineRule="exact"/>
        <w:rPr>
          <w:sz w:val="10"/>
          <w:lang w:val="es-ES_tradnl"/>
        </w:rPr>
      </w:pPr>
    </w:p>
    <w:p w14:paraId="3053F534" w14:textId="1FF28F54" w:rsidR="006778BA" w:rsidRPr="00D5271C" w:rsidRDefault="006778BA" w:rsidP="006778BA">
      <w:pPr>
        <w:pStyle w:val="SingleTxt"/>
        <w:spacing w:after="0" w:line="120" w:lineRule="exact"/>
        <w:rPr>
          <w:sz w:val="10"/>
          <w:lang w:val="es-ES_tradnl"/>
        </w:rPr>
      </w:pPr>
    </w:p>
    <w:p w14:paraId="5267B2A3"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6 a) de la lista de cuestiones y preguntas</w:t>
      </w:r>
    </w:p>
    <w:p w14:paraId="6F3CF9D1" w14:textId="73A7F755" w:rsidR="00A82D34" w:rsidRPr="00D5271C" w:rsidRDefault="00A82D34" w:rsidP="006778BA">
      <w:pPr>
        <w:pStyle w:val="SingleTxt"/>
        <w:spacing w:after="0" w:line="120" w:lineRule="exact"/>
        <w:rPr>
          <w:sz w:val="10"/>
          <w:lang w:val="es-ES_tradnl"/>
        </w:rPr>
      </w:pPr>
    </w:p>
    <w:p w14:paraId="0DC872EA" w14:textId="5DED385F" w:rsidR="006778BA" w:rsidRPr="00D5271C" w:rsidRDefault="006778BA" w:rsidP="006778BA">
      <w:pPr>
        <w:pStyle w:val="SingleTxt"/>
        <w:spacing w:after="0" w:line="120" w:lineRule="exact"/>
        <w:rPr>
          <w:sz w:val="10"/>
          <w:lang w:val="es-ES_tradnl"/>
        </w:rPr>
      </w:pPr>
    </w:p>
    <w:p w14:paraId="30458C26" w14:textId="69641B5A" w:rsidR="00A82D34" w:rsidRPr="00D5271C" w:rsidRDefault="00A82D34" w:rsidP="006778BA">
      <w:pPr>
        <w:pStyle w:val="SingleTxt"/>
        <w:numPr>
          <w:ilvl w:val="0"/>
          <w:numId w:val="8"/>
        </w:numPr>
        <w:ind w:left="1267"/>
        <w:rPr>
          <w:lang w:val="es-ES_tradnl"/>
        </w:rPr>
      </w:pPr>
      <w:r w:rsidRPr="00D5271C">
        <w:rPr>
          <w:lang w:val="es-ES_tradnl"/>
        </w:rPr>
        <w:t xml:space="preserve">El Gobierno de Islandia utiliza datos desglosados por género para evaluar sus políticas y acciones en materia de igualdad de género, así como para evaluar la igualdad de proyectos que no promueven directamente objetivos de igualdad. Un estudio sobre la brecha salarial de género durante el período 2008-2020, llevado a cabo por la Oficina de Estadística de Islandia para la Oficina de la Primera Ministra, es un ejemplo de estudio realizado con el fin de evaluar las acciones en materia de igualdad de género. El estudio muestra una disminución de la brecha salarial de género durante el período que se refiere tanto a los ingresos laborales como a la diferencia salarial ajustada y no ajustada. La división del mercado laboral en función del género, reflejada en la segregación ocupacional por sexos, explica en gran medida la brecha salarial existente, pero el efecto de los niveles educativos y los factores demográficos sobre la brecha salarial ha disminuido, sobre todo en los últimos años. De 2008 a 2020, la brecha salarial de género disminuyó del 36,3 % al 23,5 %, la diferencia salarial no ajustada disminuyó del 20,5 % al 12,6 % y la diferencia salarial ajustada del 6,4 % al 4,1 %. La diferencia salarial ajustada refleja si hombres y mujeres con idénticas cualidades o factores reciben la misma remuneración o no. El estudio arroja la conclusión de que la brecha salarial de género está disminuyendo y que las medidas adoptadas por el Gobierno para luchar contra ella están dando resultados. Con todo, sigue siendo necesario adoptar nuevas medidas. El informe anual de situación sobre los datos del mapa de la igualdad es un ejemplo de evaluación del impacto de la igualdad en relación con acciones que no promueven directamente </w:t>
      </w:r>
      <w:r w:rsidRPr="00D5271C">
        <w:rPr>
          <w:lang w:val="es-ES_tradnl"/>
        </w:rPr>
        <w:lastRenderedPageBreak/>
        <w:t>la igualdad de género. Este informe es un resumen del impacto de las políticas y la asignación de fondos actuales. En agosto de 2022 y una vez publicadas las conclusiones del informe, el Gobierno de Islandia decidió que cada ministerio competente definiera al menos un objetivo específico de igualdad de género en el plan fiscal 2024-2028 y que trabajara sistemáticamente en su consecución, entre otras cosas mediante acciones claramente definidas en la propuesta presupuestaria para 2024. También se decidió llevar a cabo un estudio sobre el uso del tiempo en cooperación con la Oficina de Estadística de Islandia.</w:t>
      </w:r>
    </w:p>
    <w:p w14:paraId="771E6877" w14:textId="407A46BA" w:rsidR="00A82D34" w:rsidRPr="00D5271C" w:rsidRDefault="00A82D34" w:rsidP="006778BA">
      <w:pPr>
        <w:pStyle w:val="SingleTxt"/>
        <w:numPr>
          <w:ilvl w:val="0"/>
          <w:numId w:val="8"/>
        </w:numPr>
        <w:tabs>
          <w:tab w:val="num" w:pos="2804"/>
        </w:tabs>
        <w:ind w:left="1267"/>
        <w:rPr>
          <w:lang w:val="es-ES_tradnl"/>
        </w:rPr>
      </w:pPr>
      <w:r w:rsidRPr="00D5271C">
        <w:rPr>
          <w:lang w:val="es-ES_tradnl"/>
        </w:rPr>
        <w:t>El Gobierno de Islandia se esfuerza por publicar datos desglosados por género con el fin de evaluar los resultados de las acciones en favor de la igualdad de género. Por citar un ejemplo, los indicadores sociales, que son públicos, miden factores sociales con el fin de permitir al Gobierno y al público hacer un seguimiento del desarrollo social. La publicación de estos indicadores sociales corre a cargo de la Oficina de Estadística de Islandia y del Ministerio de Asuntos Sociales y Trabajo.</w:t>
      </w:r>
    </w:p>
    <w:p w14:paraId="4AD6231A" w14:textId="77777777" w:rsidR="006778BA" w:rsidRPr="00D5271C" w:rsidRDefault="006778BA" w:rsidP="006778BA">
      <w:pPr>
        <w:pStyle w:val="SingleTxt"/>
        <w:spacing w:after="0" w:line="120" w:lineRule="exact"/>
        <w:rPr>
          <w:b/>
          <w:sz w:val="10"/>
          <w:lang w:val="es-ES_tradnl"/>
        </w:rPr>
      </w:pPr>
    </w:p>
    <w:p w14:paraId="66D559C8" w14:textId="77777777" w:rsidR="006778BA" w:rsidRPr="00D5271C" w:rsidRDefault="006778BA" w:rsidP="006778BA">
      <w:pPr>
        <w:pStyle w:val="SingleTxt"/>
        <w:spacing w:after="0" w:line="120" w:lineRule="exact"/>
        <w:rPr>
          <w:b/>
          <w:sz w:val="10"/>
          <w:lang w:val="es-ES_tradnl"/>
        </w:rPr>
      </w:pPr>
    </w:p>
    <w:p w14:paraId="649A9530" w14:textId="140D8C8B"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6 b) de la lista de cuestiones y preguntas</w:t>
      </w:r>
    </w:p>
    <w:p w14:paraId="195A4B4D" w14:textId="4D4973D6" w:rsidR="00A82D34" w:rsidRPr="00D5271C" w:rsidRDefault="00A82D34" w:rsidP="006778BA">
      <w:pPr>
        <w:pStyle w:val="SingleTxt"/>
        <w:spacing w:after="0" w:line="120" w:lineRule="exact"/>
        <w:rPr>
          <w:sz w:val="10"/>
          <w:lang w:val="es-ES_tradnl"/>
        </w:rPr>
      </w:pPr>
    </w:p>
    <w:p w14:paraId="15EDC624" w14:textId="5DD70E0C" w:rsidR="006778BA" w:rsidRPr="00D5271C" w:rsidRDefault="006778BA" w:rsidP="006778BA">
      <w:pPr>
        <w:pStyle w:val="SingleTxt"/>
        <w:spacing w:after="0" w:line="120" w:lineRule="exact"/>
        <w:rPr>
          <w:sz w:val="10"/>
          <w:lang w:val="es-ES_tradnl"/>
        </w:rPr>
      </w:pPr>
    </w:p>
    <w:p w14:paraId="1229FA5C" w14:textId="30CB424F" w:rsidR="00A82D34" w:rsidRPr="00D5271C" w:rsidRDefault="00A82D34" w:rsidP="006778BA">
      <w:pPr>
        <w:pStyle w:val="SingleTxt"/>
        <w:numPr>
          <w:ilvl w:val="0"/>
          <w:numId w:val="8"/>
        </w:numPr>
        <w:ind w:left="1267"/>
        <w:rPr>
          <w:lang w:val="es-ES_tradnl"/>
        </w:rPr>
      </w:pPr>
      <w:r w:rsidRPr="00D5271C">
        <w:rPr>
          <w:lang w:val="es-ES_tradnl"/>
        </w:rPr>
        <w:t xml:space="preserve">El grupo de trabajo sobre datos estadísticos desglosados por género ha consultado a varias partes interesadas, como ministerios, organismos públicos y representantes de grupos marginados, sobre la situación de los datos estadísticos desglosados por género. Esta consulta ha puesto de manifiesto algunos retos, entre los que se incluyen la puesta en común, el tratamiento y la publicación de datos desglosados por género, el temor innecesario al tratamiento de datos por consideraciones de privacidad y la falta de datos que reflejen las cuestiones de género, por ejemplo, en relación con las tareas domésticas y los cuidados no remunerados. </w:t>
      </w:r>
    </w:p>
    <w:p w14:paraId="6F7644EE" w14:textId="00BBA047" w:rsidR="00A82D34" w:rsidRPr="00D5271C" w:rsidRDefault="00A82D34" w:rsidP="006778BA">
      <w:pPr>
        <w:pStyle w:val="SingleTxt"/>
        <w:spacing w:after="0" w:line="120" w:lineRule="exact"/>
        <w:rPr>
          <w:sz w:val="10"/>
          <w:lang w:val="es-ES_tradnl"/>
        </w:rPr>
      </w:pPr>
    </w:p>
    <w:p w14:paraId="39007386" w14:textId="615CAA34" w:rsidR="006778BA" w:rsidRPr="00D5271C" w:rsidRDefault="006778BA" w:rsidP="006778BA">
      <w:pPr>
        <w:pStyle w:val="SingleTxt"/>
        <w:spacing w:after="0" w:line="120" w:lineRule="exact"/>
        <w:rPr>
          <w:sz w:val="10"/>
          <w:lang w:val="es-ES_tradnl"/>
        </w:rPr>
      </w:pPr>
    </w:p>
    <w:p w14:paraId="42FD4A14"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6 c) de la lista de cuestiones y preguntas</w:t>
      </w:r>
    </w:p>
    <w:p w14:paraId="0A0FAB00" w14:textId="5FB44F0F" w:rsidR="00A82D34" w:rsidRPr="00D5271C" w:rsidRDefault="00A82D34" w:rsidP="006778BA">
      <w:pPr>
        <w:pStyle w:val="SingleTxt"/>
        <w:spacing w:after="0" w:line="120" w:lineRule="exact"/>
        <w:rPr>
          <w:sz w:val="10"/>
          <w:lang w:val="es-ES_tradnl"/>
        </w:rPr>
      </w:pPr>
    </w:p>
    <w:p w14:paraId="2349D32F" w14:textId="623778A8" w:rsidR="006778BA" w:rsidRPr="00D5271C" w:rsidRDefault="006778BA" w:rsidP="006778BA">
      <w:pPr>
        <w:pStyle w:val="SingleTxt"/>
        <w:spacing w:after="0" w:line="120" w:lineRule="exact"/>
        <w:rPr>
          <w:sz w:val="10"/>
          <w:lang w:val="es-ES_tradnl"/>
        </w:rPr>
      </w:pPr>
    </w:p>
    <w:p w14:paraId="5C537594" w14:textId="37ACD392" w:rsidR="00A82D34" w:rsidRPr="00D5271C" w:rsidRDefault="00A82D34" w:rsidP="006778BA">
      <w:pPr>
        <w:pStyle w:val="SingleTxt"/>
        <w:numPr>
          <w:ilvl w:val="0"/>
          <w:numId w:val="8"/>
        </w:numPr>
        <w:ind w:left="1267"/>
        <w:rPr>
          <w:lang w:val="es-ES_tradnl"/>
        </w:rPr>
      </w:pPr>
      <w:r w:rsidRPr="00D5271C">
        <w:rPr>
          <w:lang w:val="es-ES_tradnl"/>
        </w:rPr>
        <w:t>La asignación de fondos públicos a través de subvenciones es actualmente objeto de escrutinio sobre la base de la Ley núm. 150/2020 de Igualdad de Condición y de Derechos con Independencia del Género, y la Ley núm. 123/2015 de Finanzas Públicas. Esta labor ha conducido a una revisión de las normas de asignación, un aumento del registro de datos estadísticos y un incremento del porcentaje de mujeres a las que se asignan fondos públicos. A pesar de esta labor, no hay planes para desmantelar los fondos que proporcionan ayuda específica a las mujeres. Esta práctica está anclada en la base jurídica de la acción afirmativa establecida por la Ley núm. 150/2020.</w:t>
      </w:r>
    </w:p>
    <w:p w14:paraId="08D29F89" w14:textId="7C3D4C98" w:rsidR="00A82D34" w:rsidRPr="00D5271C" w:rsidRDefault="00A82D34" w:rsidP="006778BA">
      <w:pPr>
        <w:pStyle w:val="SingleTxt"/>
        <w:spacing w:after="0" w:line="120" w:lineRule="exact"/>
        <w:rPr>
          <w:sz w:val="10"/>
          <w:lang w:val="es-ES_tradnl"/>
        </w:rPr>
      </w:pPr>
    </w:p>
    <w:p w14:paraId="56B06B23" w14:textId="490B0ABC" w:rsidR="006778BA" w:rsidRPr="00D5271C" w:rsidRDefault="006778BA" w:rsidP="006778BA">
      <w:pPr>
        <w:pStyle w:val="SingleTxt"/>
        <w:spacing w:after="0" w:line="120" w:lineRule="exact"/>
        <w:rPr>
          <w:sz w:val="10"/>
          <w:lang w:val="es-ES_tradnl"/>
        </w:rPr>
      </w:pPr>
    </w:p>
    <w:p w14:paraId="74CBD01D"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7 de la lista de cuestiones y preguntas</w:t>
      </w:r>
    </w:p>
    <w:p w14:paraId="49FBDCAC" w14:textId="3CC35AC1" w:rsidR="00A82D34" w:rsidRPr="00D5271C" w:rsidRDefault="00A82D34" w:rsidP="006778BA">
      <w:pPr>
        <w:pStyle w:val="SingleTxt"/>
        <w:spacing w:after="0" w:line="120" w:lineRule="exact"/>
        <w:rPr>
          <w:sz w:val="10"/>
          <w:lang w:val="es-ES_tradnl"/>
        </w:rPr>
      </w:pPr>
    </w:p>
    <w:p w14:paraId="2D7D7FBF" w14:textId="429A8FDD" w:rsidR="006778BA" w:rsidRPr="00D5271C" w:rsidRDefault="006778BA" w:rsidP="006778BA">
      <w:pPr>
        <w:pStyle w:val="SingleTxt"/>
        <w:spacing w:after="0" w:line="120" w:lineRule="exact"/>
        <w:rPr>
          <w:sz w:val="10"/>
          <w:lang w:val="es-ES_tradnl"/>
        </w:rPr>
      </w:pPr>
    </w:p>
    <w:p w14:paraId="6331F99C" w14:textId="3BC09C31" w:rsidR="00A82D34" w:rsidRPr="00D5271C" w:rsidRDefault="00A82D34" w:rsidP="006778BA">
      <w:pPr>
        <w:pStyle w:val="SingleTxt"/>
        <w:numPr>
          <w:ilvl w:val="0"/>
          <w:numId w:val="8"/>
        </w:numPr>
        <w:ind w:left="1267"/>
        <w:rPr>
          <w:lang w:val="es-ES_tradnl"/>
        </w:rPr>
      </w:pPr>
      <w:r w:rsidRPr="00D5271C">
        <w:rPr>
          <w:lang w:val="es-ES_tradnl"/>
        </w:rPr>
        <w:t>Las autoridades de Islandia son conscientes del carácter sexista del mercado laboral del país. Numerosos proyectos en curso pretenden contrarrestar esta situación. Véanse a este respecto los párrafos 38, 73 y 185 del noveno informe periódico de Islandia. Lo que sigue se añade a la información antes mencionada:</w:t>
      </w:r>
    </w:p>
    <w:p w14:paraId="0F41D26E" w14:textId="77777777" w:rsidR="00A82D34" w:rsidRPr="00D5271C" w:rsidRDefault="00A82D34" w:rsidP="00A82D34">
      <w:pPr>
        <w:pStyle w:val="SingleTxt"/>
        <w:rPr>
          <w:lang w:val="es-ES_tradnl"/>
        </w:rPr>
      </w:pPr>
      <w:r w:rsidRPr="00D5271C">
        <w:rPr>
          <w:lang w:val="es-ES_tradnl"/>
        </w:rPr>
        <w:tab/>
        <w:t>a)</w:t>
      </w:r>
      <w:r w:rsidRPr="00D5271C">
        <w:rPr>
          <w:lang w:val="es-ES_tradnl"/>
        </w:rPr>
        <w:tab/>
        <w:t xml:space="preserve">Estudiantes universitarios han visitado centros de enseñanza secundaria superior para promover las disciplinas tecnológicas a través del proyecto GERT. El proyecto GERT ha recibido el apoyo del Ministerio y contribuye a fomentar el interés de los estudiantes por la ciencia y la tecnología, así como por los estudios y empleos relacionados con esos campos. La función del sitio web es servir de plataforma para la educación y la formación en el campo de la ciencia y la tecnología, haciendo hincapié en la relación entre la economía y las instituciones educativas. El proyecto se lleva a cabo en cooperación con Félag fagkvenna, una asociación de mujeres con </w:t>
      </w:r>
      <w:r w:rsidRPr="00D5271C">
        <w:rPr>
          <w:lang w:val="es-ES_tradnl"/>
        </w:rPr>
        <w:lastRenderedPageBreak/>
        <w:t>cualificaciones profesionales, que visitan los cursos tercero y cuarto de primaria y presentan empleos en campos profesionales dominados por los hombres para contrarrestar los estereotipos con respecto a esas profesiones;</w:t>
      </w:r>
    </w:p>
    <w:p w14:paraId="6B3289FE" w14:textId="73BB1769" w:rsidR="00A82D34" w:rsidRPr="00D5271C" w:rsidRDefault="00A82D34" w:rsidP="00A82D34">
      <w:pPr>
        <w:pStyle w:val="SingleTxt"/>
        <w:rPr>
          <w:lang w:val="es-ES_tradnl"/>
        </w:rPr>
      </w:pPr>
      <w:r w:rsidRPr="00D5271C">
        <w:rPr>
          <w:lang w:val="es-ES_tradnl"/>
        </w:rPr>
        <w:tab/>
        <w:t>b)</w:t>
      </w:r>
      <w:r w:rsidRPr="00D5271C">
        <w:rPr>
          <w:lang w:val="es-ES_tradnl"/>
        </w:rPr>
        <w:tab/>
        <w:t>El portal electrónico sobre violencia del Número Nacional de Emergencias 112 incluye información sobre violencia digital (</w:t>
      </w:r>
      <w:hyperlink r:id="rId18" w:history="1">
        <w:r w:rsidRPr="00D5271C">
          <w:rPr>
            <w:rStyle w:val="Hyperlink"/>
            <w:lang w:val="es-ES_tradnl"/>
          </w:rPr>
          <w:t>https://www.112.is/en/abuse-in-close-relationships</w:t>
        </w:r>
      </w:hyperlink>
      <w:r w:rsidRPr="00D5271C">
        <w:rPr>
          <w:lang w:val="es-ES_tradnl"/>
        </w:rPr>
        <w:t>) y ofrece asesoramiento a niños y adolescentes víctimas de abusos en línea. Se ha puesto en marcha un proyecto de educación especial y prevención para alumnos de octavo curso de primaria en relación con el proyecto dirigido por el Comisionado Nacional de la Policía de Islandia sobre medidas contra la violencia de género en línea, que funciona a través del 112. Esto se refiere al programa de acción sobre la prevención de la violencia sexual y de género contra los niños y jóvenes para el período 2021-2025, que se analiza en el párrafo 70 del noveno informe periódico de Islandia al Comité;</w:t>
      </w:r>
    </w:p>
    <w:p w14:paraId="0CE4D2C8" w14:textId="77777777" w:rsidR="00A82D34" w:rsidRPr="00D5271C" w:rsidRDefault="00A82D34" w:rsidP="00A82D34">
      <w:pPr>
        <w:pStyle w:val="SingleTxt"/>
        <w:rPr>
          <w:lang w:val="es-ES_tradnl"/>
        </w:rPr>
      </w:pPr>
      <w:r w:rsidRPr="00D5271C">
        <w:rPr>
          <w:lang w:val="es-ES_tradnl"/>
        </w:rPr>
        <w:tab/>
        <w:t>c)</w:t>
      </w:r>
      <w:r w:rsidRPr="00D5271C">
        <w:rPr>
          <w:lang w:val="es-ES_tradnl"/>
        </w:rPr>
        <w:tab/>
        <w:t>La organización Hogar y Escuela dirige el proyecto de ciberseguridad SAFT, que significa comunidad, familia y tecnología y es una labor de concienciación para promover un uso seguro y positivo de la informática y los nuevos medios entre los niños y jóvenes de Islandia.</w:t>
      </w:r>
    </w:p>
    <w:p w14:paraId="4176FFB9" w14:textId="6734D193" w:rsidR="00A82D34" w:rsidRPr="00D5271C" w:rsidRDefault="00A82D34" w:rsidP="006778BA">
      <w:pPr>
        <w:pStyle w:val="SingleTxt"/>
        <w:spacing w:after="0" w:line="120" w:lineRule="exact"/>
        <w:rPr>
          <w:sz w:val="10"/>
          <w:lang w:val="es-ES_tradnl"/>
        </w:rPr>
      </w:pPr>
    </w:p>
    <w:p w14:paraId="7058E312" w14:textId="1D0C0E3F" w:rsidR="006778BA" w:rsidRPr="00D5271C" w:rsidRDefault="006778BA" w:rsidP="006778BA">
      <w:pPr>
        <w:pStyle w:val="SingleTxt"/>
        <w:spacing w:after="0" w:line="120" w:lineRule="exact"/>
        <w:rPr>
          <w:sz w:val="10"/>
          <w:lang w:val="es-ES_tradnl"/>
        </w:rPr>
      </w:pPr>
    </w:p>
    <w:p w14:paraId="0D3D3779"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8 de la lista de cuestiones y preguntas</w:t>
      </w:r>
    </w:p>
    <w:p w14:paraId="0085D994" w14:textId="6CB921CC" w:rsidR="00A82D34" w:rsidRPr="00D5271C" w:rsidRDefault="00A82D34" w:rsidP="006778BA">
      <w:pPr>
        <w:pStyle w:val="SingleTxt"/>
        <w:spacing w:after="0" w:line="120" w:lineRule="exact"/>
        <w:rPr>
          <w:sz w:val="10"/>
          <w:lang w:val="es-ES_tradnl"/>
        </w:rPr>
      </w:pPr>
    </w:p>
    <w:p w14:paraId="155287D2" w14:textId="1A314EBF" w:rsidR="006778BA" w:rsidRPr="00D5271C" w:rsidRDefault="006778BA" w:rsidP="006778BA">
      <w:pPr>
        <w:pStyle w:val="SingleTxt"/>
        <w:spacing w:after="0" w:line="120" w:lineRule="exact"/>
        <w:rPr>
          <w:sz w:val="10"/>
          <w:lang w:val="es-ES_tradnl"/>
        </w:rPr>
      </w:pPr>
    </w:p>
    <w:p w14:paraId="45269DB0" w14:textId="60CDEA55" w:rsidR="00A82D34" w:rsidRPr="00D5271C" w:rsidRDefault="00A82D34" w:rsidP="006778BA">
      <w:pPr>
        <w:pStyle w:val="SingleTxt"/>
        <w:numPr>
          <w:ilvl w:val="0"/>
          <w:numId w:val="8"/>
        </w:numPr>
        <w:ind w:left="1267"/>
        <w:rPr>
          <w:lang w:val="es-ES_tradnl"/>
        </w:rPr>
      </w:pPr>
      <w:r w:rsidRPr="00D5271C">
        <w:rPr>
          <w:lang w:val="es-ES_tradnl"/>
        </w:rPr>
        <w:t>La resolución parlamentaria sobre medidas contra la violencia establece que la implementación del programa tendrá en cuenta la violencia, que incluye, entre otras cosas, la violencia física, sexual, mental, económica y, no menos importante, la violencia de género, así como el acoso, el discurso de odio y la publicación en medios digitales de imágenes que inciten a la violencia. Todas estas formas de violencia se incluyen en la violencia doméstica y la violencia sexual.</w:t>
      </w:r>
    </w:p>
    <w:p w14:paraId="757C4A01" w14:textId="56A3A8C0" w:rsidR="00A82D34" w:rsidRPr="00D5271C" w:rsidRDefault="00A82D34" w:rsidP="006778BA">
      <w:pPr>
        <w:pStyle w:val="SingleTxt"/>
        <w:numPr>
          <w:ilvl w:val="0"/>
          <w:numId w:val="8"/>
        </w:numPr>
        <w:tabs>
          <w:tab w:val="num" w:pos="2804"/>
        </w:tabs>
        <w:ind w:left="1267"/>
        <w:rPr>
          <w:lang w:val="es-ES_tradnl"/>
        </w:rPr>
      </w:pPr>
      <w:r w:rsidRPr="00D5271C">
        <w:rPr>
          <w:lang w:val="es-ES_tradnl"/>
        </w:rPr>
        <w:t>La resolución es aplicable a niños y adultos, así como a grupos especialmente vulnerables, como personas con discapacidad y personas de origen extranjero. Por este motivo, los grupos vulnerables han recibido una consideración especial en la implementación del programa. Un equipo de tareas especial contra la violencia, activo durante la pandemia, tomó nota de la resolución parlamentaria al tiempo que elaboraba propuestas para el Ministro sobre acciones contra la violencia, así como de la resolución parlamentaria sobre una política y un plan de acción en materia de discapacidad 2017-2021 y una resolución parlamentaria sobre un plan de aplicación para los problemas de los inmigrantes.</w:t>
      </w:r>
    </w:p>
    <w:p w14:paraId="3C300173" w14:textId="5F8DC0D7" w:rsidR="00A82D34" w:rsidRPr="00D5271C" w:rsidRDefault="00A82D34" w:rsidP="006778BA">
      <w:pPr>
        <w:pStyle w:val="SingleTxt"/>
        <w:numPr>
          <w:ilvl w:val="0"/>
          <w:numId w:val="8"/>
        </w:numPr>
        <w:tabs>
          <w:tab w:val="num" w:pos="2804"/>
        </w:tabs>
        <w:ind w:left="1267"/>
        <w:rPr>
          <w:lang w:val="es-ES_tradnl"/>
        </w:rPr>
      </w:pPr>
      <w:r w:rsidRPr="00D5271C">
        <w:rPr>
          <w:lang w:val="es-ES_tradnl"/>
        </w:rPr>
        <w:t>Entre los ejemplos de acciones se incluyen el desarrollo del portal electrónico sobre violencia del Número Nacional de Emergencias 112, con énfasis en la disponibilidad de información para personas con discapacidad, así como de origen extranjero, además de subvenciones para traducir material de referencia de los centros de víctimas y organizaciones de víctimas a lenguas extranjeras, junto con las recomendaciones de la Directora de la Fiscalía sobre los procesos por delitos sexuales cuando el autor o la víctima son una persona con discapacidad.</w:t>
      </w:r>
    </w:p>
    <w:p w14:paraId="18B460A3" w14:textId="5C2BD1F1" w:rsidR="00A82D34" w:rsidRPr="00D5271C" w:rsidRDefault="00A82D34" w:rsidP="006778BA">
      <w:pPr>
        <w:pStyle w:val="SingleTxt"/>
        <w:numPr>
          <w:ilvl w:val="0"/>
          <w:numId w:val="8"/>
        </w:numPr>
        <w:tabs>
          <w:tab w:val="num" w:pos="2804"/>
        </w:tabs>
        <w:ind w:left="1267"/>
        <w:rPr>
          <w:lang w:val="es-ES_tradnl"/>
        </w:rPr>
      </w:pPr>
      <w:r w:rsidRPr="00D5271C">
        <w:rPr>
          <w:lang w:val="es-ES_tradnl"/>
        </w:rPr>
        <w:t>En lo que se refiere a los casos registrados en la policía en todo el país por lesiones corporales, agresión con agravantes y homicidio, casi el 66 % de los casos se registran como violencia doméstica. Además, se ha registrado un número récord de incidentes denunciados a la policía durante los seis primeros meses de 2022, en comparación con el mismo período de años anteriores. No se ha asignado ninguna financiación especial a la policía en lo que respecta a los procedimientos modificados para los casos relacionados con la violencia doméstica y no se mantiene por separado la información sobre la financiación de las acciones contra la violencia de género.</w:t>
      </w:r>
    </w:p>
    <w:p w14:paraId="5AEC081B" w14:textId="38B68C23" w:rsidR="00A82D34" w:rsidRPr="00D5271C" w:rsidRDefault="00A82D34" w:rsidP="006778BA">
      <w:pPr>
        <w:pStyle w:val="SingleTxt"/>
        <w:numPr>
          <w:ilvl w:val="0"/>
          <w:numId w:val="8"/>
        </w:numPr>
        <w:tabs>
          <w:tab w:val="num" w:pos="2804"/>
        </w:tabs>
        <w:ind w:left="1267"/>
        <w:rPr>
          <w:lang w:val="es-ES_tradnl"/>
        </w:rPr>
      </w:pPr>
      <w:r w:rsidRPr="00D5271C">
        <w:rPr>
          <w:lang w:val="es-ES_tradnl"/>
        </w:rPr>
        <w:lastRenderedPageBreak/>
        <w:t>La mayoría de las llamadas de emergencia se resuelven en colaboración con los servicios sociales y de protección de la infancia sobre la base de acuerdos específicos y con espíritu de cooperación. El Ministro de Asuntos Sociales y Trabajo ha propuesto una revisión del marco jurídico de los servicios a las víctimas en cooperación con los municipios. No se dispone de información exhaustiva sobre los fondos asignados a los servicios para las víctimas organizados por los municipios, pero por regla general la financiación de los servicios y acciones para contrarrestar la violencia en Islandia se realiza por medio de un sólido sistema de bienestar social, además de medidas específicas, y las organizaciones no gubernamentales se financian íntegramente con fondos públicos. También se llama la atención sobre el hecho de que, durante el procedimiento presupuestario, se incluyen las dimensiones de género a través de la presupuestación con perspectiva de género mediante la integración de las cuestiones de igualdad de género en el procedimiento en cada uno de sus pasos. De ahí que la perspectiva de género se introduzca desde el principio al elaborar políticas y tomar decisiones y que se hagan esfuerzos para analizar el impacto de género del presupuesto. El objetivo es que las medidas de gasto público respalden el objetivo de igualdad de género del Gobierno. Durante el período 2016-2021, los gastos relacionados con acciones en favor de la igualdad de género aumentaron de media un</w:t>
      </w:r>
      <w:r w:rsidR="00271E2B">
        <w:rPr>
          <w:lang w:val="es-ES_tradnl"/>
        </w:rPr>
        <w:t> </w:t>
      </w:r>
      <w:r w:rsidRPr="00D5271C">
        <w:rPr>
          <w:lang w:val="es-ES_tradnl"/>
        </w:rPr>
        <w:t>11,4 %.</w:t>
      </w:r>
    </w:p>
    <w:p w14:paraId="2BFFEB2C" w14:textId="6BCA0DE1" w:rsidR="00A82D34" w:rsidRPr="00D5271C" w:rsidRDefault="00A82D34" w:rsidP="006778BA">
      <w:pPr>
        <w:pStyle w:val="SingleTxt"/>
        <w:numPr>
          <w:ilvl w:val="0"/>
          <w:numId w:val="8"/>
        </w:numPr>
        <w:tabs>
          <w:tab w:val="num" w:pos="2804"/>
        </w:tabs>
        <w:ind w:left="1267"/>
        <w:rPr>
          <w:lang w:val="es-ES_tradnl"/>
        </w:rPr>
      </w:pPr>
      <w:r w:rsidRPr="00D5271C">
        <w:rPr>
          <w:lang w:val="es-ES_tradnl"/>
        </w:rPr>
        <w:t>El Ministro de Asuntos Sociales e Infancia, el Ministro de Justicia y el Ministro de Salud han dado su apoyo a la Dirección de Salud, al Servicio de Asistencia Sanitaria del Área de Reikiavik y al Hospital Universitario Nacional (Landspitali), entre otros, en la elaboración de material educativo sobre habilidades parentales para ponerlo a disposición de todos los padres antes del nacimiento de su hijo y durante los primeros 1.000 días de vida del niño. Este material está disponible en el sitio web heilsuvera.is. La atención se ha centrado en promover las habilidades parentales para minimizar la probabilidad de abandono, maltrato y violencia contra los niños. Debería prestarse especial atención a los padres y niños en situación vulnerable. Entre otras cosas, se ha desarrollado un sistema electrónico de detección de la depresión posparto en las madres.</w:t>
      </w:r>
    </w:p>
    <w:p w14:paraId="13EDB806" w14:textId="41836554" w:rsidR="00A82D34" w:rsidRPr="00D5271C" w:rsidRDefault="00A82D34" w:rsidP="006778BA">
      <w:pPr>
        <w:pStyle w:val="SingleTxt"/>
        <w:numPr>
          <w:ilvl w:val="0"/>
          <w:numId w:val="8"/>
        </w:numPr>
        <w:tabs>
          <w:tab w:val="num" w:pos="2804"/>
        </w:tabs>
        <w:ind w:left="1267"/>
        <w:rPr>
          <w:lang w:val="es-ES_tradnl"/>
        </w:rPr>
      </w:pPr>
      <w:r w:rsidRPr="00D5271C">
        <w:rPr>
          <w:lang w:val="es-ES_tradnl"/>
        </w:rPr>
        <w:t>La investigación universitaria y la investigación en general son muy utilizadas para contrarrestar la violencia contra las mujeres y las niñas. Sin embargo, es importante poner de relieve que no se destinan fondos a la policía para la prevención específica de la violencia, sino que los fondos públicos para la policía se asignan anualmente a través del presupuesto estatal y se destinan a las tareas de la policía, incluida la prevención de la violencia.</w:t>
      </w:r>
    </w:p>
    <w:p w14:paraId="21B98B22" w14:textId="68D31344" w:rsidR="00A82D34" w:rsidRPr="00D5271C" w:rsidRDefault="00A82D34" w:rsidP="006778BA">
      <w:pPr>
        <w:pStyle w:val="SingleTxt"/>
        <w:numPr>
          <w:ilvl w:val="0"/>
          <w:numId w:val="8"/>
        </w:numPr>
        <w:tabs>
          <w:tab w:val="num" w:pos="2804"/>
        </w:tabs>
        <w:ind w:left="1267"/>
        <w:rPr>
          <w:lang w:val="es-ES_tradnl"/>
        </w:rPr>
      </w:pPr>
      <w:r w:rsidRPr="00D5271C">
        <w:rPr>
          <w:lang w:val="es-ES_tradnl"/>
        </w:rPr>
        <w:t>La policía realiza todos los años una encuesta entre las víctimas para conocer la experiencia del país en materia de delincuencia y la opinión de la gente sobre la policía y la seguridad de la población. La encuesta corre a cargo del Instituto de Ciencias Sociales de la Universidad de Islandia. Los resultados de la encuesta se utilizan, entre otras cosas, para prevenir la violencia.</w:t>
      </w:r>
    </w:p>
    <w:p w14:paraId="661B5FBB" w14:textId="4572DF74" w:rsidR="00A82D34" w:rsidRPr="00D5271C" w:rsidRDefault="00A82D34" w:rsidP="006778BA">
      <w:pPr>
        <w:pStyle w:val="SingleTxt"/>
        <w:spacing w:after="0" w:line="120" w:lineRule="exact"/>
        <w:rPr>
          <w:sz w:val="10"/>
          <w:lang w:val="es-ES_tradnl"/>
        </w:rPr>
      </w:pPr>
    </w:p>
    <w:p w14:paraId="62F332FD" w14:textId="26F8098D" w:rsidR="006778BA" w:rsidRPr="00D5271C" w:rsidRDefault="006778BA" w:rsidP="006778BA">
      <w:pPr>
        <w:pStyle w:val="SingleTxt"/>
        <w:spacing w:after="0" w:line="120" w:lineRule="exact"/>
        <w:rPr>
          <w:sz w:val="10"/>
          <w:lang w:val="es-ES_tradnl"/>
        </w:rPr>
      </w:pPr>
    </w:p>
    <w:p w14:paraId="4E6A38D2"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9 de la lista de cuestiones y preguntas</w:t>
      </w:r>
    </w:p>
    <w:p w14:paraId="5C12BA50" w14:textId="651D419F" w:rsidR="00A82D34" w:rsidRPr="00D5271C" w:rsidRDefault="00A82D34" w:rsidP="006778BA">
      <w:pPr>
        <w:pStyle w:val="SingleTxt"/>
        <w:spacing w:after="0" w:line="120" w:lineRule="exact"/>
        <w:rPr>
          <w:sz w:val="10"/>
          <w:lang w:val="es-ES_tradnl"/>
        </w:rPr>
      </w:pPr>
    </w:p>
    <w:p w14:paraId="2E6B57F0" w14:textId="67197098" w:rsidR="006778BA" w:rsidRPr="00D5271C" w:rsidRDefault="006778BA" w:rsidP="006778BA">
      <w:pPr>
        <w:pStyle w:val="SingleTxt"/>
        <w:spacing w:after="0" w:line="120" w:lineRule="exact"/>
        <w:rPr>
          <w:sz w:val="10"/>
          <w:lang w:val="es-ES_tradnl"/>
        </w:rPr>
      </w:pPr>
    </w:p>
    <w:p w14:paraId="5A911CC4" w14:textId="0E9D4AC4" w:rsidR="006778BA" w:rsidRPr="00D5271C" w:rsidRDefault="00A82D34" w:rsidP="006778BA">
      <w:pPr>
        <w:pStyle w:val="SingleTxt"/>
        <w:numPr>
          <w:ilvl w:val="0"/>
          <w:numId w:val="8"/>
        </w:numPr>
        <w:tabs>
          <w:tab w:val="num" w:pos="2804"/>
        </w:tabs>
        <w:ind w:left="1267"/>
        <w:rPr>
          <w:szCs w:val="20"/>
          <w:lang w:val="es-ES_tradnl"/>
        </w:rPr>
      </w:pPr>
      <w:r w:rsidRPr="00D5271C">
        <w:rPr>
          <w:lang w:val="es-ES_tradnl"/>
        </w:rPr>
        <w:t>Véanse a este respecto los párrafos 47 a 51 del noveno informe periódico de Island</w:t>
      </w:r>
      <w:r w:rsidR="006778BA" w:rsidRPr="00D5271C">
        <w:rPr>
          <w:lang w:val="es-ES_tradnl"/>
        </w:rPr>
        <w:t>ia.</w:t>
      </w:r>
    </w:p>
    <w:p w14:paraId="63C31722" w14:textId="533CA422" w:rsidR="006778BA" w:rsidRPr="00D5271C" w:rsidRDefault="006778BA" w:rsidP="006778BA">
      <w:pPr>
        <w:pStyle w:val="SingleTxt"/>
        <w:spacing w:after="0" w:line="120" w:lineRule="exact"/>
        <w:rPr>
          <w:sz w:val="10"/>
          <w:lang w:val="es-ES_tradnl"/>
        </w:rPr>
      </w:pPr>
    </w:p>
    <w:p w14:paraId="58718F41" w14:textId="1791A7D4" w:rsidR="006778BA" w:rsidRPr="00D5271C" w:rsidRDefault="006778BA" w:rsidP="006778BA">
      <w:pPr>
        <w:pStyle w:val="SingleTxt"/>
        <w:spacing w:after="0" w:line="120" w:lineRule="exact"/>
        <w:rPr>
          <w:sz w:val="10"/>
          <w:lang w:val="es-ES_tradnl"/>
        </w:rPr>
      </w:pPr>
    </w:p>
    <w:p w14:paraId="694A2558"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10 a) de la lista de cuestiones y preguntas</w:t>
      </w:r>
    </w:p>
    <w:p w14:paraId="5C8796D4" w14:textId="36263D7D" w:rsidR="00A82D34" w:rsidRPr="00D5271C" w:rsidRDefault="00A82D34" w:rsidP="006778BA">
      <w:pPr>
        <w:pStyle w:val="SingleTxt"/>
        <w:spacing w:after="0" w:line="120" w:lineRule="exact"/>
        <w:rPr>
          <w:sz w:val="10"/>
          <w:lang w:val="es-ES_tradnl"/>
        </w:rPr>
      </w:pPr>
    </w:p>
    <w:p w14:paraId="7411BC4C" w14:textId="6771B248" w:rsidR="006778BA" w:rsidRPr="00D5271C" w:rsidRDefault="006778BA" w:rsidP="006778BA">
      <w:pPr>
        <w:pStyle w:val="SingleTxt"/>
        <w:spacing w:after="0" w:line="120" w:lineRule="exact"/>
        <w:rPr>
          <w:sz w:val="10"/>
          <w:lang w:val="es-ES_tradnl"/>
        </w:rPr>
      </w:pPr>
    </w:p>
    <w:p w14:paraId="482E7F82" w14:textId="12781F70" w:rsidR="00A82D34" w:rsidRPr="00D5271C" w:rsidRDefault="00A82D34" w:rsidP="006778BA">
      <w:pPr>
        <w:pStyle w:val="SingleTxt"/>
        <w:numPr>
          <w:ilvl w:val="0"/>
          <w:numId w:val="8"/>
        </w:numPr>
        <w:ind w:left="1267"/>
        <w:rPr>
          <w:lang w:val="es-ES_tradnl"/>
        </w:rPr>
      </w:pPr>
      <w:r w:rsidRPr="00D5271C">
        <w:rPr>
          <w:lang w:val="es-ES_tradnl"/>
        </w:rPr>
        <w:t xml:space="preserve">Las modificaciones introducidas en el artículo 227 del Código Penal General se referían a la tipificación como delito de la trata de personas para aumentar aún más la protección de las víctimas, en particular los solicitantes de protección internacional, </w:t>
      </w:r>
      <w:r w:rsidRPr="00D5271C">
        <w:rPr>
          <w:lang w:val="es-ES_tradnl"/>
        </w:rPr>
        <w:lastRenderedPageBreak/>
        <w:t>los migrantes, los extranjeros y las personas con orígenes fuera de Islandia. El objetivo también era facilitar el procesamiento de los responsables de esos delitos.</w:t>
      </w:r>
    </w:p>
    <w:p w14:paraId="3ADE857A" w14:textId="255ABD4B" w:rsidR="00A82D34" w:rsidRPr="00D5271C" w:rsidRDefault="00A82D34" w:rsidP="006778BA">
      <w:pPr>
        <w:pStyle w:val="SingleTxt"/>
        <w:numPr>
          <w:ilvl w:val="0"/>
          <w:numId w:val="8"/>
        </w:numPr>
        <w:tabs>
          <w:tab w:val="num" w:pos="2804"/>
        </w:tabs>
        <w:ind w:left="1267"/>
        <w:rPr>
          <w:lang w:val="es-ES_tradnl"/>
        </w:rPr>
      </w:pPr>
      <w:r w:rsidRPr="00D5271C">
        <w:rPr>
          <w:lang w:val="es-ES_tradnl"/>
        </w:rPr>
        <w:t>Hubo dos tipos de modificaciones. En primer lugar, se añadieron nuevas formas de trata de personas a los modelos de explotación catalogados y conocidos para ofrecer protección a las víctimas de matrimonio forzado, mendicidad forzada o explotación delictiva forzada. Esto refleja los comentarios del informe de evaluación del GRETA sobre Islandia de marzo de 2019.</w:t>
      </w:r>
    </w:p>
    <w:p w14:paraId="05B37EB4" w14:textId="5CFE0AE9" w:rsidR="00A82D34" w:rsidRPr="00D5271C" w:rsidRDefault="00A82D34" w:rsidP="006778BA">
      <w:pPr>
        <w:pStyle w:val="SingleTxt"/>
        <w:numPr>
          <w:ilvl w:val="0"/>
          <w:numId w:val="8"/>
        </w:numPr>
        <w:tabs>
          <w:tab w:val="num" w:pos="2804"/>
        </w:tabs>
        <w:ind w:left="1267"/>
        <w:rPr>
          <w:lang w:val="es-ES_tradnl"/>
        </w:rPr>
      </w:pPr>
      <w:r w:rsidRPr="00D5271C">
        <w:rPr>
          <w:lang w:val="es-ES_tradnl"/>
        </w:rPr>
        <w:t>Además, se añadió el término “servidumbre” a la definición legal, de acuerdo con el artículo 3 del Protocolo de Palermo y los comentarios del informe del GRETA. La disposición menciona específicamente que la mendicidad está incluida en la definición. Lo mismo ocurre con la servidumbre doméstica, en relación por ejemplo con las tareas del hogar. También se ha añadido “esclavitud” a la definición, de conformidad con el artículo 3 del Protocolo de Palermo y los comentarios del informe del GRETA. La esclavitud puede incluir la servidumbre por deudas, en la que se obliga a las personas a trabajar para saldar deudas que quizás nunca se paguen en su totalidad, o la servidumbre residencial, en la que la persona depende de que el agresor le dé vivienda. La trata laboral incluye el trabajo forzoso, la penuria, la esclavitud u</w:t>
      </w:r>
      <w:r w:rsidR="00271E2B">
        <w:rPr>
          <w:lang w:val="es-ES_tradnl"/>
        </w:rPr>
        <w:t> </w:t>
      </w:r>
      <w:r w:rsidRPr="00D5271C">
        <w:rPr>
          <w:lang w:val="es-ES_tradnl"/>
        </w:rPr>
        <w:t>otros abusos de la fuerza de trabajo, con sujeción a las condiciones del artículo 227</w:t>
      </w:r>
      <w:r w:rsidR="00A0181C" w:rsidRPr="00D5271C">
        <w:rPr>
          <w:lang w:val="es-ES_tradnl"/>
        </w:rPr>
        <w:t> </w:t>
      </w:r>
      <w:r w:rsidRPr="00D5271C">
        <w:rPr>
          <w:lang w:val="es-ES_tradnl"/>
        </w:rPr>
        <w:t>1) a). La “prostitución” queda tipificada como delito punible, mientras que antes se incluía en el ámbito de aplicación de la expresión “con fines sexuales”.</w:t>
      </w:r>
    </w:p>
    <w:p w14:paraId="521069A6" w14:textId="18F562F7" w:rsidR="00A82D34" w:rsidRPr="00D5271C" w:rsidRDefault="00A82D34" w:rsidP="006778BA">
      <w:pPr>
        <w:pStyle w:val="SingleTxt"/>
        <w:numPr>
          <w:ilvl w:val="0"/>
          <w:numId w:val="8"/>
        </w:numPr>
        <w:tabs>
          <w:tab w:val="num" w:pos="2804"/>
        </w:tabs>
        <w:ind w:left="1267"/>
        <w:rPr>
          <w:lang w:val="es-ES_tradnl"/>
        </w:rPr>
      </w:pPr>
      <w:r w:rsidRPr="00D5271C">
        <w:rPr>
          <w:lang w:val="es-ES_tradnl"/>
        </w:rPr>
        <w:t>La disposición modificada reza así: “Toda persona culpable de uno o varios de los actos siguientes con el fin de explotar a otra persona mediante la prostitución, o de otra forma sexual, mediante el matrimonio forzado, la esclavitud o la servidumbre, el trabajo o el servicio forzosos, incluida la mendicidad, para cometer un acto delictivo, o para extraerle órganos, será castigada por trata de personas con pena de prisión de hasta 12 años</w:t>
      </w:r>
      <w:r w:rsidR="0051125D" w:rsidRPr="00D5271C">
        <w:rPr>
          <w:lang w:val="es-ES_tradnl"/>
        </w:rPr>
        <w:t>”</w:t>
      </w:r>
      <w:r w:rsidRPr="00D5271C">
        <w:rPr>
          <w:lang w:val="es-ES_tradnl"/>
        </w:rPr>
        <w:t>.</w:t>
      </w:r>
    </w:p>
    <w:p w14:paraId="5AB1F03A" w14:textId="2B75F25A" w:rsidR="00A82D34" w:rsidRPr="00D5271C" w:rsidRDefault="00A82D34" w:rsidP="006778BA">
      <w:pPr>
        <w:pStyle w:val="SingleTxt"/>
        <w:numPr>
          <w:ilvl w:val="0"/>
          <w:numId w:val="8"/>
        </w:numPr>
        <w:tabs>
          <w:tab w:val="num" w:pos="2804"/>
        </w:tabs>
        <w:ind w:left="1267"/>
        <w:rPr>
          <w:lang w:val="es-ES_tradnl"/>
        </w:rPr>
      </w:pPr>
      <w:r w:rsidRPr="00D5271C">
        <w:rPr>
          <w:lang w:val="es-ES_tradnl"/>
        </w:rPr>
        <w:t>En segundo lugar, se propusieron modificaciones en cuanto a la definición de los métodos de comisión con respecto a la trata de personas. Por un lado, se eliminaron las referencias a disposiciones individuales del Código Penal General por considerarse demasiado restrictivas y, por otro, se añadieron nuevos métodos de comisión a la definición legal, como la violencia y el secuestro. Las palabras “o aprovechándose de la situación de vulnerabilidad de la persona en cuestión” se sustituyeron por “o aprovechándose de la situación de vulnerabilidad, ignorancia o indefensión de la persona en cuestión, o aprovechándose de una posición de superioridad con respecto a la persona”. El método de comisión, que consiste en aprovecharse de la difícil situación de la víctima de la trata de personas, de su ignorancia o vulnerabilidad, o de una posición de superioridad con respecto a ella, corresponde al “abuso de poder o de una situación de vulnerabilidad” del artículo 3 del Protocolo de Palermo. Las notas explicativas del Protocolo interpretan que el método de comisión incluye los casos en los que la víctima de la trata de personas no tiene otra opción que someterse a la voluntad del autor. Ahora que se añadieron la “ignorancia”, la “indefensión” y el aprovechamiento “de una posición de superioridad”, las autoridades deberían tener más armas para luchar contra la trata laboral, ya que estas situaciones son características de los delitos de trata de solicitantes de asilo, refugiados, migrantes y ciudadanos extranjeros. Una posición de superioridad puede incluir que la víctima de trata dependa económicamente del delincuente.</w:t>
      </w:r>
    </w:p>
    <w:p w14:paraId="7759C2A0" w14:textId="6764DE92" w:rsidR="00A82D34" w:rsidRPr="00D5271C" w:rsidRDefault="00A82D34" w:rsidP="006778BA">
      <w:pPr>
        <w:pStyle w:val="SingleTxt"/>
        <w:spacing w:after="0" w:line="120" w:lineRule="exact"/>
        <w:rPr>
          <w:sz w:val="10"/>
          <w:lang w:val="es-ES_tradnl"/>
        </w:rPr>
      </w:pPr>
    </w:p>
    <w:p w14:paraId="23BB8179" w14:textId="6B62D127" w:rsidR="006778BA" w:rsidRPr="00D5271C" w:rsidRDefault="006778BA" w:rsidP="006778BA">
      <w:pPr>
        <w:pStyle w:val="SingleTxt"/>
        <w:spacing w:after="0" w:line="120" w:lineRule="exact"/>
        <w:rPr>
          <w:sz w:val="10"/>
          <w:lang w:val="es-ES_tradnl"/>
        </w:rPr>
      </w:pPr>
    </w:p>
    <w:p w14:paraId="2971EDA1"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10 b) de la lista de cuestiones y preguntas</w:t>
      </w:r>
    </w:p>
    <w:p w14:paraId="12B60EE9" w14:textId="4D2E9C47" w:rsidR="00A82D34" w:rsidRPr="00D5271C" w:rsidRDefault="00A82D34" w:rsidP="006778BA">
      <w:pPr>
        <w:pStyle w:val="SingleTxt"/>
        <w:spacing w:after="0" w:line="120" w:lineRule="exact"/>
        <w:rPr>
          <w:sz w:val="10"/>
          <w:lang w:val="es-ES_tradnl"/>
        </w:rPr>
      </w:pPr>
    </w:p>
    <w:p w14:paraId="102E1D46" w14:textId="5425B2DC" w:rsidR="006778BA" w:rsidRPr="00D5271C" w:rsidRDefault="006778BA" w:rsidP="006778BA">
      <w:pPr>
        <w:pStyle w:val="SingleTxt"/>
        <w:spacing w:after="0" w:line="120" w:lineRule="exact"/>
        <w:rPr>
          <w:sz w:val="10"/>
          <w:lang w:val="es-ES_tradnl"/>
        </w:rPr>
      </w:pPr>
    </w:p>
    <w:p w14:paraId="18805648" w14:textId="360B569B" w:rsidR="00A82D34" w:rsidRPr="00D5271C" w:rsidRDefault="00A82D34" w:rsidP="006778BA">
      <w:pPr>
        <w:pStyle w:val="SingleTxt"/>
        <w:numPr>
          <w:ilvl w:val="0"/>
          <w:numId w:val="8"/>
        </w:numPr>
        <w:ind w:left="1267"/>
        <w:rPr>
          <w:lang w:val="es-ES_tradnl"/>
        </w:rPr>
      </w:pPr>
      <w:r w:rsidRPr="00D5271C">
        <w:rPr>
          <w:lang w:val="es-ES_tradnl"/>
        </w:rPr>
        <w:t xml:space="preserve">En la lucha contra la trata de personas y otras formas de explotación se contemplan puntos focales del Gobierno, si bien las medidas preventivas y las </w:t>
      </w:r>
      <w:r w:rsidRPr="00D5271C">
        <w:rPr>
          <w:lang w:val="es-ES_tradnl"/>
        </w:rPr>
        <w:lastRenderedPageBreak/>
        <w:t xml:space="preserve">acciones para atajar la trata de personas son ininterrumpidas. El programa de gobierno de la actual coalición declara expresamente que en Islandia nunca se tolerarán la trata de personas, el </w:t>
      </w:r>
      <w:r w:rsidRPr="00D5271C">
        <w:rPr>
          <w:i/>
          <w:iCs/>
          <w:lang w:val="es-ES_tradnl"/>
        </w:rPr>
        <w:t>dumping</w:t>
      </w:r>
      <w:r w:rsidRPr="00D5271C">
        <w:rPr>
          <w:lang w:val="es-ES_tradnl"/>
        </w:rPr>
        <w:t xml:space="preserve"> social ni el abuso de los trabajadores extranjeros. Por lo que se refiere a la financiación de las acciones de lucha contra la trata de personas y en beneficio de las víctimas, todos los años se acuerda financiación pública para las instituciones y organizaciones que asumen responsabilidades a este respecto, como la policía, la fiscalía, los tribunales, los servicios sociales y los sistemas de bienestar, así como las instituciones que controlan el mercado laboral, como el Servicio de Impuestos Internos, la Dirección de Trabajo y otras, además de las organizaciones no gubernamentales que reciben subvenciones del sector público para ejercer su misión. Además, los proyectos individuales diseñados para combatir todas las formas de violencia y apoyar tanto a las víctimas como a los autores de la violencia reciben financiación pública. Algunos ejemplos son el portal electrónico sobre violencia del Número Nacional de Emergencias 112, donde las personas pueden acceder a información y recursos sobre la trata de personas y la violencia, incluida la violencia sexual. También se ha creado un grupo asesor de la policía, dirigido por el Comisionado Nacional de la Policía de Islandia, cuya función es asesorar a todos los departamentos de policía del país en materia de trata de personas, tanto en lo que respecta al análisis de casos como a la investigación.</w:t>
      </w:r>
    </w:p>
    <w:p w14:paraId="0E7AC06E" w14:textId="6C064841" w:rsidR="00A82D34" w:rsidRPr="00D5271C" w:rsidRDefault="00A82D34" w:rsidP="006778BA">
      <w:pPr>
        <w:pStyle w:val="SingleTxt"/>
        <w:spacing w:after="0" w:line="120" w:lineRule="exact"/>
        <w:rPr>
          <w:sz w:val="10"/>
          <w:lang w:val="es-ES_tradnl"/>
        </w:rPr>
      </w:pPr>
    </w:p>
    <w:p w14:paraId="480EDE8C" w14:textId="7D7C814A" w:rsidR="006778BA" w:rsidRPr="00D5271C" w:rsidRDefault="006778BA" w:rsidP="006778BA">
      <w:pPr>
        <w:pStyle w:val="SingleTxt"/>
        <w:spacing w:after="0" w:line="120" w:lineRule="exact"/>
        <w:rPr>
          <w:sz w:val="10"/>
          <w:lang w:val="es-ES_tradnl"/>
        </w:rPr>
      </w:pPr>
    </w:p>
    <w:p w14:paraId="0A30F213"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10 c) de la lista de cuestiones y preguntas</w:t>
      </w:r>
    </w:p>
    <w:p w14:paraId="12C382BF" w14:textId="145B954C" w:rsidR="00A82D34" w:rsidRPr="00D5271C" w:rsidRDefault="00A82D34" w:rsidP="006778BA">
      <w:pPr>
        <w:pStyle w:val="SingleTxt"/>
        <w:spacing w:after="0" w:line="120" w:lineRule="exact"/>
        <w:rPr>
          <w:sz w:val="10"/>
          <w:lang w:val="es-ES_tradnl"/>
        </w:rPr>
      </w:pPr>
    </w:p>
    <w:p w14:paraId="187B3949" w14:textId="4A517398" w:rsidR="006778BA" w:rsidRPr="00D5271C" w:rsidRDefault="006778BA" w:rsidP="006778BA">
      <w:pPr>
        <w:pStyle w:val="SingleTxt"/>
        <w:spacing w:after="0" w:line="120" w:lineRule="exact"/>
        <w:rPr>
          <w:sz w:val="10"/>
          <w:lang w:val="es-ES_tradnl"/>
        </w:rPr>
      </w:pPr>
    </w:p>
    <w:p w14:paraId="2A735BFF" w14:textId="11BCB4F6" w:rsidR="00A82D34" w:rsidRPr="00D5271C" w:rsidRDefault="00A82D34" w:rsidP="006778BA">
      <w:pPr>
        <w:pStyle w:val="SingleTxt"/>
        <w:numPr>
          <w:ilvl w:val="0"/>
          <w:numId w:val="8"/>
        </w:numPr>
        <w:ind w:left="1267"/>
        <w:rPr>
          <w:lang w:val="es-ES_tradnl"/>
        </w:rPr>
      </w:pPr>
      <w:r w:rsidRPr="00D5271C">
        <w:rPr>
          <w:lang w:val="es-ES_tradnl"/>
        </w:rPr>
        <w:t>En 2020, el Ministerio de Asuntos Sociales y Trabajo suscribió un acuerdo de donación con Bjarkarhlíð para que esta organización administrara el equipo de ejecución encargado de los casos de trata de personas, cuya dirección ha recaído en el Ministerio durante los últimos años. El equipo se reúne cuando surgen casos de trata de personas, o cuando se sospecha que existe trata, para coordinar las labores y la respuesta de las partes implicadas en los servicios sociales a las víctimas de trata durante las primeras fases de un caso. El equipo de ejecución está compuesto por miembros de la Policía Metropolitana de Reikiavik, la Dirección de Inmigración, los servicios sociales del municipio en el que se haya producido el caso, además de los servicios sociales del municipio en el que la víctima tenga su domicilio legal, el Refugio para Mujeres, la Dirección de Trabajo, los sindicatos, la asistencia sanitaria y otras entidades, según las circunstancias.</w:t>
      </w:r>
    </w:p>
    <w:p w14:paraId="269D051A" w14:textId="0F7701E2" w:rsidR="00A82D34" w:rsidRPr="00D5271C" w:rsidRDefault="00A82D34" w:rsidP="006778BA">
      <w:pPr>
        <w:pStyle w:val="SingleTxt"/>
        <w:numPr>
          <w:ilvl w:val="0"/>
          <w:numId w:val="8"/>
        </w:numPr>
        <w:tabs>
          <w:tab w:val="num" w:pos="2804"/>
        </w:tabs>
        <w:ind w:left="1267"/>
        <w:rPr>
          <w:lang w:val="es-ES_tradnl"/>
        </w:rPr>
      </w:pPr>
      <w:r w:rsidRPr="00D5271C">
        <w:rPr>
          <w:lang w:val="es-ES_tradnl"/>
        </w:rPr>
        <w:t>Durante este período, Bjarkarhlíð ha recibido notificación de 23 casos. Casi todos los casos registrados tenían que ver con la trata de personas en el mercado laboral y el resto con la prostitución y la trata con fines de explotación sexual.</w:t>
      </w:r>
    </w:p>
    <w:p w14:paraId="70D98A83" w14:textId="638FFDA3" w:rsidR="00A82D34" w:rsidRPr="00D5271C" w:rsidRDefault="00A82D34" w:rsidP="006778BA">
      <w:pPr>
        <w:pStyle w:val="SingleTxt"/>
        <w:numPr>
          <w:ilvl w:val="0"/>
          <w:numId w:val="8"/>
        </w:numPr>
        <w:tabs>
          <w:tab w:val="num" w:pos="2804"/>
        </w:tabs>
        <w:ind w:left="1267"/>
        <w:rPr>
          <w:lang w:val="es-ES_tradnl"/>
        </w:rPr>
      </w:pPr>
      <w:r w:rsidRPr="00D5271C">
        <w:rPr>
          <w:lang w:val="es-ES_tradnl"/>
        </w:rPr>
        <w:t>Antes de denunciar estos casos a Bjarkarhlíð, la mayoría de las partes habían estado en contacto con los sindicatos, los servicios sociales municipales, la Dirección de Inmigración, la policía, Stígamót (víctimas de violencia sexual) y el centro de justicia familiar Bjarmahlíð para víctimas de violencia en la región norte de Islandia. En la mayoría de los casos, el centro Bjarkarhlíð redirigió los casos a la policía o a los servicios sociales para recibir más ayuda, ya fuera de carácter financiero, vivienda o permisos de trabajo y residencia.</w:t>
      </w:r>
    </w:p>
    <w:p w14:paraId="64A3BC26" w14:textId="4FE53E6E" w:rsidR="00A82D34" w:rsidRPr="00D5271C" w:rsidRDefault="00A82D34" w:rsidP="006778BA">
      <w:pPr>
        <w:pStyle w:val="SingleTxt"/>
        <w:spacing w:after="0" w:line="120" w:lineRule="exact"/>
        <w:rPr>
          <w:sz w:val="10"/>
          <w:lang w:val="es-ES_tradnl"/>
        </w:rPr>
      </w:pPr>
    </w:p>
    <w:p w14:paraId="2898D43C" w14:textId="0A12C636" w:rsidR="006778BA" w:rsidRPr="00D5271C" w:rsidRDefault="006778BA" w:rsidP="006778BA">
      <w:pPr>
        <w:pStyle w:val="SingleTxt"/>
        <w:spacing w:after="0" w:line="120" w:lineRule="exact"/>
        <w:rPr>
          <w:sz w:val="10"/>
          <w:lang w:val="es-ES_tradnl"/>
        </w:rPr>
      </w:pPr>
    </w:p>
    <w:p w14:paraId="5D5FD548" w14:textId="77777777" w:rsidR="00A82D34" w:rsidRPr="00D5271C" w:rsidRDefault="00A82D34" w:rsidP="001E77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10 d) de la lista de cuestiones y preguntas</w:t>
      </w:r>
    </w:p>
    <w:p w14:paraId="40861BC6" w14:textId="1DF9B8D7" w:rsidR="00A82D34" w:rsidRPr="00D5271C" w:rsidRDefault="00A82D34" w:rsidP="006778BA">
      <w:pPr>
        <w:pStyle w:val="SingleTxt"/>
        <w:spacing w:after="0" w:line="120" w:lineRule="exact"/>
        <w:rPr>
          <w:sz w:val="10"/>
          <w:lang w:val="es-ES_tradnl"/>
        </w:rPr>
      </w:pPr>
    </w:p>
    <w:p w14:paraId="1034E4ED" w14:textId="583F2340" w:rsidR="006778BA" w:rsidRPr="00D5271C" w:rsidRDefault="006778BA" w:rsidP="006778BA">
      <w:pPr>
        <w:pStyle w:val="SingleTxt"/>
        <w:spacing w:after="0" w:line="120" w:lineRule="exact"/>
        <w:rPr>
          <w:sz w:val="10"/>
          <w:lang w:val="es-ES_tradnl"/>
        </w:rPr>
      </w:pPr>
    </w:p>
    <w:p w14:paraId="199D7ADA" w14:textId="2E89F0B2" w:rsidR="00A82D34" w:rsidRPr="00D5271C" w:rsidRDefault="00A82D34" w:rsidP="006778BA">
      <w:pPr>
        <w:pStyle w:val="SingleTxt"/>
        <w:numPr>
          <w:ilvl w:val="0"/>
          <w:numId w:val="8"/>
        </w:numPr>
        <w:ind w:left="1267"/>
        <w:rPr>
          <w:lang w:val="es-ES_tradnl"/>
        </w:rPr>
      </w:pPr>
      <w:r w:rsidRPr="00D5271C">
        <w:rPr>
          <w:lang w:val="es-ES_tradnl"/>
        </w:rPr>
        <w:t xml:space="preserve">La prostitución suele ser una de las manifestaciones de la delincuencia organizada, como la trata de personas. En marzo de 2020, la oficina del Comisionado Nacional de Policía publicó información y directrices de aplicación actualizadas para la policía en materia de trata de personas. Estas hacen referencia a las directrices publicadas inicialmente en 2010 por el Comisionado Nacional de Policía. Las </w:t>
      </w:r>
      <w:r w:rsidRPr="00D5271C">
        <w:rPr>
          <w:lang w:val="es-ES_tradnl"/>
        </w:rPr>
        <w:lastRenderedPageBreak/>
        <w:t>directrices anteriores, y las actualizadas a partir de 2020, están parcialmente adaptadas del manual de la policía noruega sobre la trata de personas y sobre cómo identificar a las posibles víctimas y trabajar con ellas. Durante el examen y la revisión de la información y las instrucciones se tuvieron en cuenta los conocimientos existentes y la experiencia de la policía en casos de trata de personas, así como el procedimiento reconocido que debe seguirse en las entrevistas realizadas en las dependencias policiales. Todo ello se adaptó en la medida de lo posible a las circunstancias y el entorno de Islandia. Esta labor da fe de la creciente atención policial a esta categoría de delitos. Por lo que respecta a la prostitución, las iniciativas son de suma importancia, y las víctimas de la prostitución deben disponer de recursos que las ayuden a abandonar la prostitución o a emanciparse.</w:t>
      </w:r>
    </w:p>
    <w:p w14:paraId="497ECA4C" w14:textId="7CE3B3CD" w:rsidR="00A82D34" w:rsidRPr="00D5271C" w:rsidRDefault="00A82D34" w:rsidP="006778BA">
      <w:pPr>
        <w:pStyle w:val="SingleTxt"/>
        <w:numPr>
          <w:ilvl w:val="0"/>
          <w:numId w:val="8"/>
        </w:numPr>
        <w:tabs>
          <w:tab w:val="num" w:pos="2804"/>
        </w:tabs>
        <w:ind w:left="1267"/>
        <w:rPr>
          <w:lang w:val="es-ES_tradnl"/>
        </w:rPr>
      </w:pPr>
      <w:r w:rsidRPr="00D5271C">
        <w:rPr>
          <w:lang w:val="es-ES_tradnl"/>
        </w:rPr>
        <w:t>La policía ha hecho hincapié en la colaboración con los responsables de prestar servicios a las víctimas, especialmente las organizaciones no gubernamentales, las autoridades locales y los ministerios responsables de las cuestiones de bienestar. Se ha reducido el margen para las iniciativas debido al gran aumento de las denuncias de violencia de género, tanto de violencia doméstica como de delitos sexuales.</w:t>
      </w:r>
    </w:p>
    <w:p w14:paraId="20239BEE" w14:textId="4675C931" w:rsidR="00A82D34" w:rsidRPr="00D5271C" w:rsidRDefault="00A82D34" w:rsidP="006778BA">
      <w:pPr>
        <w:pStyle w:val="SingleTxt"/>
        <w:numPr>
          <w:ilvl w:val="0"/>
          <w:numId w:val="8"/>
        </w:numPr>
        <w:tabs>
          <w:tab w:val="num" w:pos="2804"/>
        </w:tabs>
        <w:ind w:left="1267"/>
        <w:rPr>
          <w:lang w:val="es-ES_tradnl"/>
        </w:rPr>
      </w:pPr>
      <w:r w:rsidRPr="00D5271C">
        <w:rPr>
          <w:lang w:val="es-ES_tradnl"/>
        </w:rPr>
        <w:t>El procedimiento policial con respecto a las personas que ejercen la prostitución cuando la policía entra en contacto con ellas implica entrevistarlas como víctimas y preguntarles si están siendo forzadas, amenazadas o si actúan por miedo a otra persona. Luego se les pregunta cómo se ganan la vida y si están obligadas a entregar fondos a otra persona. Para ayudarlas a encontrar la salida de la prostitución, se les ofrece orientación y la asistencia, por ejemplo, de los servicios sociales, el Refugio de Mujeres y el centro Bjarkarhlíð, que en un único lugar y dirigido a las víctimas ofrece un servicio integral, por ejemplo, con las funciones de trabajadores sociales, abogados, asesoramiento entre iguales, etc. También se les hace saber que la policía siempre está dispuesta y que puede ayudarlas y se les explica el procedimiento para ponerse en contacto con ella. Desgraciadamente, la experiencia policial ha demostrado que pocas de las personas que ejercen la prostitución están dispuestas a aceptar la ayuda ofrecida.</w:t>
      </w:r>
    </w:p>
    <w:p w14:paraId="1121B688" w14:textId="2FB4313F" w:rsidR="00A82D34" w:rsidRPr="00D5271C" w:rsidRDefault="00A82D34" w:rsidP="006778BA">
      <w:pPr>
        <w:pStyle w:val="SingleTxt"/>
        <w:numPr>
          <w:ilvl w:val="0"/>
          <w:numId w:val="8"/>
        </w:numPr>
        <w:tabs>
          <w:tab w:val="num" w:pos="2804"/>
        </w:tabs>
        <w:ind w:left="1267"/>
        <w:rPr>
          <w:lang w:val="es-ES_tradnl"/>
        </w:rPr>
      </w:pPr>
      <w:r w:rsidRPr="00D5271C">
        <w:rPr>
          <w:lang w:val="es-ES_tradnl"/>
        </w:rPr>
        <w:t>Además de facilitar acceso a los recursos adecuados, el portal electrónico sobre violencia del Número Nacional de Emergencias 112 proporciona información específica de la lucha contra la trata de personas. La Federación de Trabajadores Generales y Especiales de Islandia ha publicado un manual para el personal sindical sobre la trata de personas en el mercado laboral con indicios de trata y respuestas a ella, entre otras cosas. Además, los sindicatos han recibido subvenciones con el fin de concienciar sobre la trata de personas (así como la violencia doméstica) como parte de las acciones para hacer frente a la violencia.</w:t>
      </w:r>
    </w:p>
    <w:p w14:paraId="5564344E" w14:textId="7C92CA18" w:rsidR="00A82D34" w:rsidRPr="00D5271C" w:rsidRDefault="00A82D34" w:rsidP="006778BA">
      <w:pPr>
        <w:pStyle w:val="SingleTxt"/>
        <w:spacing w:after="0" w:line="120" w:lineRule="exact"/>
        <w:rPr>
          <w:sz w:val="10"/>
          <w:lang w:val="es-ES_tradnl"/>
        </w:rPr>
      </w:pPr>
    </w:p>
    <w:p w14:paraId="265FEE43" w14:textId="49443769" w:rsidR="006778BA" w:rsidRPr="00D5271C" w:rsidRDefault="006778BA" w:rsidP="006778BA">
      <w:pPr>
        <w:pStyle w:val="SingleTxt"/>
        <w:spacing w:after="0" w:line="120" w:lineRule="exact"/>
        <w:rPr>
          <w:sz w:val="10"/>
          <w:lang w:val="es-ES_tradnl"/>
        </w:rPr>
      </w:pPr>
    </w:p>
    <w:p w14:paraId="6AE9363D"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11 de la lista de cuestiones y preguntas</w:t>
      </w:r>
    </w:p>
    <w:p w14:paraId="0FD2BDDF" w14:textId="0A5CC553" w:rsidR="00A82D34" w:rsidRPr="00D5271C" w:rsidRDefault="00A82D34" w:rsidP="006778BA">
      <w:pPr>
        <w:pStyle w:val="SingleTxt"/>
        <w:spacing w:after="0" w:line="120" w:lineRule="exact"/>
        <w:rPr>
          <w:sz w:val="10"/>
          <w:lang w:val="es-ES_tradnl"/>
        </w:rPr>
      </w:pPr>
    </w:p>
    <w:p w14:paraId="240AC38A" w14:textId="4BFC5C6D" w:rsidR="006778BA" w:rsidRPr="00D5271C" w:rsidRDefault="006778BA" w:rsidP="006778BA">
      <w:pPr>
        <w:pStyle w:val="SingleTxt"/>
        <w:spacing w:after="0" w:line="120" w:lineRule="exact"/>
        <w:rPr>
          <w:sz w:val="10"/>
          <w:lang w:val="es-ES_tradnl"/>
        </w:rPr>
      </w:pPr>
    </w:p>
    <w:p w14:paraId="59DAC67E" w14:textId="18E25ACD" w:rsidR="00A82D34" w:rsidRPr="00D5271C" w:rsidRDefault="00A82D34" w:rsidP="006778BA">
      <w:pPr>
        <w:pStyle w:val="SingleTxt"/>
        <w:numPr>
          <w:ilvl w:val="0"/>
          <w:numId w:val="8"/>
        </w:numPr>
        <w:ind w:left="1267"/>
        <w:rPr>
          <w:lang w:val="es-ES_tradnl"/>
        </w:rPr>
      </w:pPr>
      <w:r w:rsidRPr="00D5271C">
        <w:rPr>
          <w:lang w:val="es-ES_tradnl"/>
        </w:rPr>
        <w:t>Desde la presentación del noveno informe periódico de Islandia al Comité se han celebrado elecciones tanto parlamentarias como locales. En las elecciones parlamentarias del 25 de septiembre de 2021 fueron elegidas 30 mujeres, con lo que el porcentaje de mujeres en el Parlamento alcanza ya el 48 %. Las elecciones municipales se celebraron en mayo de 2022. Durante esas elecciones se eligieron 64</w:t>
      </w:r>
      <w:r w:rsidR="00D77DB5" w:rsidRPr="00D5271C">
        <w:rPr>
          <w:lang w:val="es-ES_tradnl"/>
        </w:rPr>
        <w:t> </w:t>
      </w:r>
      <w:r w:rsidRPr="00D5271C">
        <w:rPr>
          <w:lang w:val="es-ES_tradnl"/>
        </w:rPr>
        <w:t>consejos locales, con un total de 470 representantes. El porcentaje de mujeres en las administraciones locales ha alcanzado ya el 51 %, superando por primera vez al de los hombres.</w:t>
      </w:r>
    </w:p>
    <w:p w14:paraId="38FDB826" w14:textId="121EC402" w:rsidR="00A82D34" w:rsidRPr="00D5271C" w:rsidRDefault="00A82D34" w:rsidP="006778BA">
      <w:pPr>
        <w:pStyle w:val="SingleTxt"/>
        <w:numPr>
          <w:ilvl w:val="0"/>
          <w:numId w:val="8"/>
        </w:numPr>
        <w:tabs>
          <w:tab w:val="num" w:pos="2804"/>
        </w:tabs>
        <w:ind w:left="1267"/>
        <w:rPr>
          <w:lang w:val="es-ES_tradnl"/>
        </w:rPr>
      </w:pPr>
      <w:r w:rsidRPr="00D5271C">
        <w:rPr>
          <w:lang w:val="es-ES_tradnl"/>
        </w:rPr>
        <w:t xml:space="preserve">El plan de desarrollo regional del Gobierno para el período 2018-2024 aborda la importancia de mantener una proporción de género equitativa en las administraciones locales del país, así como de fomentar la diversidad entre los representantes elegidos, por ejemplo animando a diversos grupos a participar en los </w:t>
      </w:r>
      <w:r w:rsidRPr="00D5271C">
        <w:rPr>
          <w:lang w:val="es-ES_tradnl"/>
        </w:rPr>
        <w:lastRenderedPageBreak/>
        <w:t>asuntos de la administración local. Antes de las últimas elecciones municipales se hizo un esfuerzo especial con una campaña publicitaria en cooperación entre el Gobierno y organizaciones no gubernamentales, cuyo objetivo era animar a todas las candidaturas a las elecciones de ayuntamientos, concejos municipales y administraciones locales a tener en cuenta la diversidad y presentar candidatos y listas que representasen a un espectro diverso de la sociedad.</w:t>
      </w:r>
    </w:p>
    <w:p w14:paraId="788E649D" w14:textId="43A46B43" w:rsidR="00A82D34" w:rsidRPr="00D5271C" w:rsidRDefault="00A82D34" w:rsidP="006778BA">
      <w:pPr>
        <w:pStyle w:val="SingleTxt"/>
        <w:spacing w:after="0" w:line="120" w:lineRule="exact"/>
        <w:rPr>
          <w:sz w:val="10"/>
          <w:lang w:val="es-ES_tradnl"/>
        </w:rPr>
      </w:pPr>
    </w:p>
    <w:p w14:paraId="15B3B552" w14:textId="2A3FC54F" w:rsidR="006778BA" w:rsidRPr="00D5271C" w:rsidRDefault="006778BA" w:rsidP="006778BA">
      <w:pPr>
        <w:pStyle w:val="SingleTxt"/>
        <w:spacing w:after="0" w:line="120" w:lineRule="exact"/>
        <w:rPr>
          <w:sz w:val="10"/>
          <w:lang w:val="es-ES_tradnl"/>
        </w:rPr>
      </w:pPr>
    </w:p>
    <w:p w14:paraId="47DFFB14"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12 de la lista de cuestiones y preguntas</w:t>
      </w:r>
    </w:p>
    <w:p w14:paraId="76B00854" w14:textId="6BDB4E4B" w:rsidR="00A82D34" w:rsidRPr="00D5271C" w:rsidRDefault="00A82D34" w:rsidP="006778BA">
      <w:pPr>
        <w:pStyle w:val="SingleTxt"/>
        <w:spacing w:after="0" w:line="120" w:lineRule="exact"/>
        <w:rPr>
          <w:sz w:val="10"/>
          <w:lang w:val="es-ES_tradnl"/>
        </w:rPr>
      </w:pPr>
    </w:p>
    <w:p w14:paraId="57577B8C" w14:textId="522B893E" w:rsidR="006778BA" w:rsidRPr="00D5271C" w:rsidRDefault="006778BA" w:rsidP="006778BA">
      <w:pPr>
        <w:pStyle w:val="SingleTxt"/>
        <w:spacing w:after="0" w:line="120" w:lineRule="exact"/>
        <w:rPr>
          <w:sz w:val="10"/>
          <w:lang w:val="es-ES_tradnl"/>
        </w:rPr>
      </w:pPr>
    </w:p>
    <w:p w14:paraId="59FF16D2" w14:textId="7001F6C1" w:rsidR="00A82D34" w:rsidRPr="00D5271C" w:rsidRDefault="00A82D34" w:rsidP="006778BA">
      <w:pPr>
        <w:pStyle w:val="SingleTxt"/>
        <w:numPr>
          <w:ilvl w:val="0"/>
          <w:numId w:val="8"/>
        </w:numPr>
        <w:ind w:left="1267"/>
        <w:rPr>
          <w:lang w:val="es-ES_tradnl"/>
        </w:rPr>
      </w:pPr>
      <w:r w:rsidRPr="00D5271C">
        <w:rPr>
          <w:lang w:val="es-ES_tradnl"/>
        </w:rPr>
        <w:t xml:space="preserve">En septiembre de 2021 se distribuyó a la comunidad escolar un informe presentado por el grupo de trabajo sobre una enseñanza más estratégica de la salud sexual y la prevención activa de la violencia en los centros de enseñanza primaria y secundaria superior. El informe iba acompañado de una carta del Ministro en la que se instaba a los directores de escuela y a las partes interesadas a debatir el informe en sus respectivos entornos. </w:t>
      </w:r>
    </w:p>
    <w:p w14:paraId="2A1B4C9C" w14:textId="16644FCA" w:rsidR="00A82D34" w:rsidRPr="00D5271C" w:rsidRDefault="00A82D34" w:rsidP="006778BA">
      <w:pPr>
        <w:pStyle w:val="SingleTxt"/>
        <w:numPr>
          <w:ilvl w:val="0"/>
          <w:numId w:val="8"/>
        </w:numPr>
        <w:tabs>
          <w:tab w:val="num" w:pos="2804"/>
        </w:tabs>
        <w:ind w:left="1267"/>
        <w:rPr>
          <w:lang w:val="es-ES_tradnl"/>
        </w:rPr>
      </w:pPr>
      <w:r w:rsidRPr="00D5271C">
        <w:rPr>
          <w:lang w:val="es-ES_tradnl"/>
        </w:rPr>
        <w:t>Se está revisando el plan de estudios nacional, labor que llevará algún tiempo.</w:t>
      </w:r>
    </w:p>
    <w:p w14:paraId="7456B9BC" w14:textId="2155ADA9" w:rsidR="00A82D34" w:rsidRPr="00D5271C" w:rsidRDefault="00A82D34" w:rsidP="006778BA">
      <w:pPr>
        <w:pStyle w:val="SingleTxt"/>
        <w:numPr>
          <w:ilvl w:val="0"/>
          <w:numId w:val="8"/>
        </w:numPr>
        <w:tabs>
          <w:tab w:val="num" w:pos="2804"/>
        </w:tabs>
        <w:ind w:left="1267"/>
        <w:rPr>
          <w:lang w:val="es-ES_tradnl"/>
        </w:rPr>
      </w:pPr>
      <w:r w:rsidRPr="00D5271C">
        <w:rPr>
          <w:lang w:val="es-ES_tradnl"/>
        </w:rPr>
        <w:t>El Ministerio de Educación está elaborando programas de educación sexual para todos los niveles escolares, y el material más antiguo se ha actualizado y recopilado en un sitio web especial perteneciente a la Dirección de Educación. Se está elaborando un plan central de respuesta a la violencia sexual y de género para las escuelas secundarias.</w:t>
      </w:r>
    </w:p>
    <w:p w14:paraId="3E2062EC" w14:textId="303431F2" w:rsidR="00A82D34" w:rsidRPr="00D5271C" w:rsidRDefault="00A82D34" w:rsidP="006778BA">
      <w:pPr>
        <w:pStyle w:val="SingleTxt"/>
        <w:spacing w:after="0" w:line="120" w:lineRule="exact"/>
        <w:rPr>
          <w:sz w:val="10"/>
          <w:lang w:val="es-ES_tradnl"/>
        </w:rPr>
      </w:pPr>
    </w:p>
    <w:p w14:paraId="5D6CDFF6" w14:textId="34D8D269" w:rsidR="006778BA" w:rsidRPr="00D5271C" w:rsidRDefault="006778BA" w:rsidP="006778BA">
      <w:pPr>
        <w:pStyle w:val="SingleTxt"/>
        <w:spacing w:after="0" w:line="120" w:lineRule="exact"/>
        <w:rPr>
          <w:sz w:val="10"/>
          <w:lang w:val="es-ES_tradnl"/>
        </w:rPr>
      </w:pPr>
    </w:p>
    <w:p w14:paraId="72FC3609" w14:textId="2D2B7B16"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es-ES_tradnl"/>
        </w:rPr>
      </w:pPr>
      <w:r w:rsidRPr="00D5271C">
        <w:rPr>
          <w:lang w:val="es-ES_tradnl"/>
        </w:rPr>
        <w:tab/>
      </w:r>
      <w:r w:rsidRPr="00D5271C">
        <w:rPr>
          <w:lang w:val="es-ES_tradnl"/>
        </w:rPr>
        <w:tab/>
        <w:t>Respuesta al párrafo 13 a) y b) de la lista de cuestiones y preguntas</w:t>
      </w:r>
    </w:p>
    <w:p w14:paraId="50B1EAE2" w14:textId="781DB729" w:rsidR="00A82D34" w:rsidRPr="00D5271C" w:rsidRDefault="00A82D34" w:rsidP="006778BA">
      <w:pPr>
        <w:pStyle w:val="SingleTxt"/>
        <w:spacing w:after="0" w:line="120" w:lineRule="exact"/>
        <w:rPr>
          <w:sz w:val="10"/>
          <w:lang w:val="es-ES_tradnl"/>
        </w:rPr>
      </w:pPr>
    </w:p>
    <w:p w14:paraId="27088B45" w14:textId="0DD394C9" w:rsidR="006778BA" w:rsidRPr="00D5271C" w:rsidRDefault="006778BA" w:rsidP="006778BA">
      <w:pPr>
        <w:pStyle w:val="SingleTxt"/>
        <w:spacing w:after="0" w:line="120" w:lineRule="exact"/>
        <w:rPr>
          <w:sz w:val="10"/>
          <w:lang w:val="es-ES_tradnl"/>
        </w:rPr>
      </w:pPr>
    </w:p>
    <w:p w14:paraId="3758921E" w14:textId="71EAE540" w:rsidR="00A82D34" w:rsidRPr="00D5271C" w:rsidRDefault="00A82D34" w:rsidP="006778BA">
      <w:pPr>
        <w:pStyle w:val="SingleTxt"/>
        <w:numPr>
          <w:ilvl w:val="0"/>
          <w:numId w:val="8"/>
        </w:numPr>
        <w:ind w:left="1267"/>
        <w:rPr>
          <w:lang w:val="es-ES_tradnl"/>
        </w:rPr>
      </w:pPr>
      <w:r w:rsidRPr="00D5271C">
        <w:rPr>
          <w:lang w:val="es-ES_tradnl"/>
        </w:rPr>
        <w:t>Las universidades de Islandia son instituciones independientes y los rectores universitarios son responsables de la contratación y el desarrollo profesional dentro de sus respectivas instituciones. Además, los sindicatos negocian las condiciones salariales de sus afiliados dentro de un marco central. Teniendo todo esto en cuenta, la política del Gobierno en la materia se establece principalmente como una visión general y unos objetivos en función de los cuales deben trabajar las instituciones, y los resultados se evalúan utilizando las normas publicadas en la política fiscal. Las organizaciones presentan documentos de política al ministerio competente en los que declaran cómo pretenden trabajar para alcanzar los objetivos del Gobierno, e incluyen datos estadísticos sobre la situación, índices de referencia y resultados en relación con las medidas individuales.</w:t>
      </w:r>
    </w:p>
    <w:p w14:paraId="5BEA60CA" w14:textId="5B69CF92" w:rsidR="00A82D34" w:rsidRPr="00D5271C" w:rsidRDefault="00A82D34" w:rsidP="006778BA">
      <w:pPr>
        <w:pStyle w:val="SingleTxt"/>
        <w:numPr>
          <w:ilvl w:val="0"/>
          <w:numId w:val="8"/>
        </w:numPr>
        <w:ind w:left="1267"/>
        <w:rPr>
          <w:lang w:val="es-ES_tradnl"/>
        </w:rPr>
      </w:pPr>
      <w:r w:rsidRPr="00D5271C">
        <w:rPr>
          <w:lang w:val="es-ES_tradnl"/>
        </w:rPr>
        <w:t>El plan fiscal para 2023-2027 (área temática 21.1: universidades y actividades de investigación) establece el objetivo de reforzar la investigación y su marco e incluye un índice de referencia para aumentar el porcentaje de mujeres entre los catedráticos del 33 % en 2021 al 36 % en 2027; las instituciones deberán trabajar para alcanzar ese objetivo durante este período. Además, muchas universidades han optado por hacer especial hincapié en esta cuestión en sus documentos de política interna.</w:t>
      </w:r>
    </w:p>
    <w:p w14:paraId="499001B2" w14:textId="054CEFAE" w:rsidR="00A82D34" w:rsidRPr="00D5271C" w:rsidRDefault="00A82D34" w:rsidP="006778BA">
      <w:pPr>
        <w:pStyle w:val="SingleTxt"/>
        <w:numPr>
          <w:ilvl w:val="0"/>
          <w:numId w:val="8"/>
        </w:numPr>
        <w:ind w:left="1267"/>
        <w:rPr>
          <w:lang w:val="es-ES_tradnl"/>
        </w:rPr>
      </w:pPr>
      <w:r w:rsidRPr="00D5271C">
        <w:rPr>
          <w:lang w:val="es-ES_tradnl"/>
        </w:rPr>
        <w:t xml:space="preserve">La actualización siguiente aborda los apartados a) y b). Los centros de enseñanza superior de Islandia son plenamente autónomos y, por tanto, responsables de la contratación, los ascensos y las condiciones del personal que emplean. Además, las disposiciones financieras se fijan mediante procedimientos centralizados sindicales de negociación colectiva, y entre ellas se incluyen la licencia parental, la licencia familiar y las condiciones afines. Por lo tanto, las medidas aprobadas por el Gobierno de Islandia adoptan más bien la forma de visiones y objetivos generales cuya aplicación se confía a las instituciones y cuyos resultados se miden en el plan fiscal nacional quinquenal. Las instituciones públicas, incluidas las de educación </w:t>
      </w:r>
      <w:r w:rsidRPr="00D5271C">
        <w:rPr>
          <w:lang w:val="es-ES_tradnl"/>
        </w:rPr>
        <w:lastRenderedPageBreak/>
        <w:t>superior, presentan anualmente al ministerio competente documentos estratégicos sobre cómo pretenden cumplir estos objetivos, con datos sobre las metas y los progresos realizados.</w:t>
      </w:r>
    </w:p>
    <w:p w14:paraId="349DDB1D" w14:textId="73939F4E" w:rsidR="00A82D34" w:rsidRPr="00D5271C" w:rsidRDefault="00A82D34" w:rsidP="006778BA">
      <w:pPr>
        <w:pStyle w:val="SingleTxt"/>
        <w:numPr>
          <w:ilvl w:val="0"/>
          <w:numId w:val="8"/>
        </w:numPr>
        <w:ind w:left="1267"/>
        <w:rPr>
          <w:lang w:val="es-ES_tradnl"/>
        </w:rPr>
      </w:pPr>
      <w:r w:rsidRPr="00D5271C">
        <w:rPr>
          <w:lang w:val="es-ES_tradnl"/>
        </w:rPr>
        <w:t>En este marco, el plan fiscal 2023-2027 ha fijado el objetivo de aumentar el porcentaje de profesoras del 33 % en 2021 al 36 % en 2027. Las instituciones de enseñanza superior deberían trabajar para conseguir este objetivo e informar de la manera descrita anteriormente. Muchas instituciones han optado por resaltar la cuestión dentro de sus propias estrategias internas.</w:t>
      </w:r>
    </w:p>
    <w:p w14:paraId="26EBAC05" w14:textId="01535CEA" w:rsidR="00A82D34" w:rsidRPr="00D5271C" w:rsidRDefault="00A82D34" w:rsidP="006778BA">
      <w:pPr>
        <w:pStyle w:val="SingleTxt"/>
        <w:spacing w:after="0" w:line="120" w:lineRule="exact"/>
        <w:rPr>
          <w:sz w:val="10"/>
          <w:lang w:val="es-ES_tradnl"/>
        </w:rPr>
      </w:pPr>
    </w:p>
    <w:p w14:paraId="76202DEF" w14:textId="4B8F1B1E" w:rsidR="006778BA" w:rsidRPr="00D5271C" w:rsidRDefault="006778BA" w:rsidP="006778BA">
      <w:pPr>
        <w:pStyle w:val="SingleTxt"/>
        <w:spacing w:after="0" w:line="120" w:lineRule="exact"/>
        <w:rPr>
          <w:sz w:val="10"/>
          <w:lang w:val="es-ES_tradnl"/>
        </w:rPr>
      </w:pPr>
    </w:p>
    <w:p w14:paraId="54EF5E69"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13 c) de la lista de cuestiones y preguntas</w:t>
      </w:r>
    </w:p>
    <w:p w14:paraId="7E05B8AF" w14:textId="124DBBE2" w:rsidR="00A82D34" w:rsidRPr="00D5271C" w:rsidRDefault="00A82D34" w:rsidP="006778BA">
      <w:pPr>
        <w:pStyle w:val="SingleTxt"/>
        <w:spacing w:after="0" w:line="120" w:lineRule="exact"/>
        <w:rPr>
          <w:sz w:val="10"/>
          <w:lang w:val="es-ES_tradnl"/>
        </w:rPr>
      </w:pPr>
    </w:p>
    <w:p w14:paraId="4B2D7650" w14:textId="2A20B128" w:rsidR="006778BA" w:rsidRPr="00D5271C" w:rsidRDefault="006778BA" w:rsidP="006778BA">
      <w:pPr>
        <w:pStyle w:val="SingleTxt"/>
        <w:spacing w:after="0" w:line="120" w:lineRule="exact"/>
        <w:rPr>
          <w:sz w:val="10"/>
          <w:lang w:val="es-ES_tradnl"/>
        </w:rPr>
      </w:pPr>
    </w:p>
    <w:p w14:paraId="3D07FEB2" w14:textId="54EC892F" w:rsidR="00A82D34" w:rsidRPr="00D5271C" w:rsidRDefault="00A82D34" w:rsidP="006778BA">
      <w:pPr>
        <w:pStyle w:val="SingleTxt"/>
        <w:numPr>
          <w:ilvl w:val="0"/>
          <w:numId w:val="8"/>
        </w:numPr>
        <w:ind w:left="1267"/>
        <w:rPr>
          <w:lang w:val="es-ES_tradnl"/>
        </w:rPr>
      </w:pPr>
      <w:r w:rsidRPr="00D5271C">
        <w:rPr>
          <w:lang w:val="es-ES_tradnl"/>
        </w:rPr>
        <w:t>Las mujeres y niñas con discapacidad tienen las mismas oportunidades de educación que las demás en Islandia. No existen estadísticas separadas sobre el progreso educativo de las mujeres y niñas con discapacidad en Islandia.</w:t>
      </w:r>
    </w:p>
    <w:p w14:paraId="76C2BE57" w14:textId="1157BB3A" w:rsidR="00A82D34" w:rsidRPr="00D5271C" w:rsidRDefault="00A82D34" w:rsidP="006778BA">
      <w:pPr>
        <w:pStyle w:val="SingleTxt"/>
        <w:spacing w:after="0" w:line="120" w:lineRule="exact"/>
        <w:rPr>
          <w:sz w:val="10"/>
          <w:lang w:val="es-ES_tradnl"/>
        </w:rPr>
      </w:pPr>
    </w:p>
    <w:p w14:paraId="6DB649CE" w14:textId="053A4459" w:rsidR="006778BA" w:rsidRPr="00D5271C" w:rsidRDefault="006778BA" w:rsidP="006778BA">
      <w:pPr>
        <w:pStyle w:val="SingleTxt"/>
        <w:spacing w:after="0" w:line="120" w:lineRule="exact"/>
        <w:rPr>
          <w:sz w:val="10"/>
          <w:lang w:val="es-ES_tradnl"/>
        </w:rPr>
      </w:pPr>
    </w:p>
    <w:p w14:paraId="15052DE7"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14 de la lista de cuestiones y preguntas</w:t>
      </w:r>
    </w:p>
    <w:p w14:paraId="02BEABAC" w14:textId="7476F2A2" w:rsidR="00A82D34" w:rsidRPr="00D5271C" w:rsidRDefault="00A82D34" w:rsidP="006778BA">
      <w:pPr>
        <w:pStyle w:val="SingleTxt"/>
        <w:spacing w:after="0" w:line="120" w:lineRule="exact"/>
        <w:rPr>
          <w:sz w:val="10"/>
          <w:lang w:val="es-ES_tradnl"/>
        </w:rPr>
      </w:pPr>
    </w:p>
    <w:p w14:paraId="12471C9A" w14:textId="4D20FB37" w:rsidR="006778BA" w:rsidRPr="00D5271C" w:rsidRDefault="006778BA" w:rsidP="006778BA">
      <w:pPr>
        <w:pStyle w:val="SingleTxt"/>
        <w:spacing w:after="0" w:line="120" w:lineRule="exact"/>
        <w:rPr>
          <w:sz w:val="10"/>
          <w:lang w:val="es-ES_tradnl"/>
        </w:rPr>
      </w:pPr>
    </w:p>
    <w:p w14:paraId="2E5CEF52" w14:textId="47311A23" w:rsidR="00A82D34" w:rsidRPr="00D5271C" w:rsidRDefault="00A82D34" w:rsidP="006778BA">
      <w:pPr>
        <w:pStyle w:val="SingleTxt"/>
        <w:numPr>
          <w:ilvl w:val="0"/>
          <w:numId w:val="8"/>
        </w:numPr>
        <w:ind w:left="1267"/>
        <w:rPr>
          <w:lang w:val="es-ES_tradnl"/>
        </w:rPr>
      </w:pPr>
      <w:r w:rsidRPr="00D5271C">
        <w:rPr>
          <w:lang w:val="es-ES_tradnl"/>
        </w:rPr>
        <w:t>La Dirección de Educación ha formulado una estrategia para la publicación de material didáctico que incluye la preparación de una lista de comprobación para los autores de este tipo de material. Esta lista se utiliza desde 1996 y se actualiza periódicamente. Establece lo siguiente, entre otras cosas:</w:t>
      </w:r>
    </w:p>
    <w:p w14:paraId="3E55E206" w14:textId="77777777" w:rsidR="00A82D34" w:rsidRPr="00D5271C" w:rsidRDefault="00A82D34" w:rsidP="00A82D34">
      <w:pPr>
        <w:pStyle w:val="SingleTxt"/>
        <w:rPr>
          <w:lang w:val="es-ES_tradnl"/>
        </w:rPr>
      </w:pPr>
      <w:r w:rsidRPr="00D5271C">
        <w:rPr>
          <w:lang w:val="es-ES_tradnl"/>
        </w:rPr>
        <w:tab/>
        <w:t>a)</w:t>
      </w:r>
      <w:r w:rsidRPr="00D5271C">
        <w:rPr>
          <w:lang w:val="es-ES_tradnl"/>
        </w:rPr>
        <w:tab/>
        <w:t>El material didáctico debería tener como objetivo la promoción del medio ambiente, la educación para la sostenibilidad y el respeto a todas las formas de vida;</w:t>
      </w:r>
    </w:p>
    <w:p w14:paraId="7FCCD3B9" w14:textId="77777777" w:rsidR="00A82D34" w:rsidRPr="00D5271C" w:rsidRDefault="00A82D34" w:rsidP="00A82D34">
      <w:pPr>
        <w:pStyle w:val="SingleTxt"/>
        <w:rPr>
          <w:lang w:val="es-ES_tradnl"/>
        </w:rPr>
      </w:pPr>
      <w:r w:rsidRPr="00D5271C">
        <w:rPr>
          <w:lang w:val="es-ES_tradnl"/>
        </w:rPr>
        <w:tab/>
        <w:t>b)</w:t>
      </w:r>
      <w:r w:rsidRPr="00D5271C">
        <w:rPr>
          <w:lang w:val="es-ES_tradnl"/>
        </w:rPr>
        <w:tab/>
        <w:t>El material didáctico debería defender los derechos humanos y la igualdad entre las personas. Debería estar libre de prejuicios, por ejemplo por residencia, discapacidad, género, sexualidad, clase o religión. Deberían realizarse esfuerzos para contrarrestar cualquier actitud que propugne o perpetúe la desigualdad y el racismo. Asimismo, cuando proceda, debe adoptarse una postura firme contra toda forma de violencia y opresión;</w:t>
      </w:r>
    </w:p>
    <w:p w14:paraId="6FE34E59" w14:textId="77777777" w:rsidR="00A82D34" w:rsidRPr="00D5271C" w:rsidRDefault="00A82D34" w:rsidP="00A82D34">
      <w:pPr>
        <w:pStyle w:val="SingleTxt"/>
        <w:rPr>
          <w:lang w:val="es-ES_tradnl"/>
        </w:rPr>
      </w:pPr>
      <w:r w:rsidRPr="00D5271C">
        <w:rPr>
          <w:lang w:val="es-ES_tradnl"/>
        </w:rPr>
        <w:tab/>
        <w:t>c)</w:t>
      </w:r>
      <w:r w:rsidRPr="00D5271C">
        <w:rPr>
          <w:lang w:val="es-ES_tradnl"/>
        </w:rPr>
        <w:tab/>
        <w:t>Hay que procurar tratar los temas de los grupos minoritarios de manera que esos grupos puedan identificarse con el plan de estudios. Toda situación humana debería abordarse de forma natural y directa;</w:t>
      </w:r>
    </w:p>
    <w:p w14:paraId="7E41AD21" w14:textId="77777777" w:rsidR="00A82D34" w:rsidRPr="00D5271C" w:rsidRDefault="00A82D34" w:rsidP="00A82D34">
      <w:pPr>
        <w:pStyle w:val="SingleTxt"/>
        <w:rPr>
          <w:lang w:val="es-ES_tradnl"/>
        </w:rPr>
      </w:pPr>
      <w:r w:rsidRPr="00D5271C">
        <w:rPr>
          <w:lang w:val="es-ES_tradnl"/>
        </w:rPr>
        <w:tab/>
        <w:t>d)</w:t>
      </w:r>
      <w:r w:rsidRPr="00D5271C">
        <w:rPr>
          <w:lang w:val="es-ES_tradnl"/>
        </w:rPr>
        <w:tab/>
        <w:t>No debería haber discriminación por razón de género ni un debate unilateral sobre los roles de género. En el plan de estudio deberían estar representados aproximadamente el mismo número de individuos de ambos sexos, tanto a través de textos como de imágenes, y no debería mostrarse a los niños y las niñas solo en roles “tradicionales”;</w:t>
      </w:r>
    </w:p>
    <w:p w14:paraId="389BD47C" w14:textId="77777777" w:rsidR="00A82D34" w:rsidRPr="00D5271C" w:rsidRDefault="00A82D34" w:rsidP="00A82D34">
      <w:pPr>
        <w:pStyle w:val="SingleTxt"/>
        <w:rPr>
          <w:lang w:val="es-ES_tradnl"/>
        </w:rPr>
      </w:pPr>
      <w:r w:rsidRPr="00D5271C">
        <w:rPr>
          <w:lang w:val="es-ES_tradnl"/>
        </w:rPr>
        <w:tab/>
        <w:t>e)</w:t>
      </w:r>
      <w:r w:rsidRPr="00D5271C">
        <w:rPr>
          <w:lang w:val="es-ES_tradnl"/>
        </w:rPr>
        <w:tab/>
        <w:t>En los casos en que el plan de estudios muestre a otras naciones o grupos específicos, deberían evitarse las generalizaciones y procurar que el debate sea objetivo y sin exageraciones, tanto en los textos como en las fotografías.</w:t>
      </w:r>
    </w:p>
    <w:p w14:paraId="4D335883" w14:textId="727F56DD" w:rsidR="00A82D34" w:rsidRPr="00D5271C" w:rsidRDefault="00A82D34" w:rsidP="006778BA">
      <w:pPr>
        <w:pStyle w:val="SingleTxt"/>
        <w:numPr>
          <w:ilvl w:val="0"/>
          <w:numId w:val="8"/>
        </w:numPr>
        <w:ind w:left="1267"/>
        <w:rPr>
          <w:lang w:val="es-ES_tradnl"/>
        </w:rPr>
      </w:pPr>
      <w:r w:rsidRPr="00D5271C">
        <w:rPr>
          <w:lang w:val="es-ES_tradnl"/>
        </w:rPr>
        <w:t>Para poner en práctica estos objetivos, los editores de la Dirección de Educación revisan todo el material publicado utilizando la lista de comprobación a modo de guía. El temario completo también se comparte con especialistas en los respectivos campos para que lo comenten.</w:t>
      </w:r>
    </w:p>
    <w:p w14:paraId="45D76DA9" w14:textId="41C48948" w:rsidR="00A82D34" w:rsidRPr="00D5271C" w:rsidRDefault="00A82D34" w:rsidP="006778BA">
      <w:pPr>
        <w:pStyle w:val="SingleTxt"/>
        <w:spacing w:after="0" w:line="120" w:lineRule="exact"/>
        <w:rPr>
          <w:sz w:val="10"/>
          <w:lang w:val="es-ES_tradnl"/>
        </w:rPr>
      </w:pPr>
    </w:p>
    <w:p w14:paraId="2BD35D75" w14:textId="66B52439" w:rsidR="006778BA" w:rsidRPr="00D5271C" w:rsidRDefault="006778BA" w:rsidP="006778BA">
      <w:pPr>
        <w:pStyle w:val="SingleTxt"/>
        <w:spacing w:after="0" w:line="120" w:lineRule="exact"/>
        <w:rPr>
          <w:sz w:val="10"/>
          <w:lang w:val="es-ES_tradnl"/>
        </w:rPr>
      </w:pPr>
    </w:p>
    <w:p w14:paraId="561A8AA9"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15 de la lista de cuestiones y preguntas</w:t>
      </w:r>
    </w:p>
    <w:p w14:paraId="53464D22" w14:textId="64E91123" w:rsidR="00A82D34" w:rsidRPr="00D5271C" w:rsidRDefault="00A82D34" w:rsidP="006778BA">
      <w:pPr>
        <w:pStyle w:val="SingleTxt"/>
        <w:spacing w:after="0" w:line="120" w:lineRule="exact"/>
        <w:rPr>
          <w:sz w:val="10"/>
          <w:lang w:val="es-ES_tradnl"/>
        </w:rPr>
      </w:pPr>
    </w:p>
    <w:p w14:paraId="5C435224" w14:textId="1DB31489" w:rsidR="006778BA" w:rsidRPr="00D5271C" w:rsidRDefault="006778BA" w:rsidP="006778BA">
      <w:pPr>
        <w:pStyle w:val="SingleTxt"/>
        <w:spacing w:after="0" w:line="120" w:lineRule="exact"/>
        <w:rPr>
          <w:sz w:val="10"/>
          <w:lang w:val="es-ES_tradnl"/>
        </w:rPr>
      </w:pPr>
    </w:p>
    <w:p w14:paraId="5A987A0B" w14:textId="47497447" w:rsidR="00A82D34" w:rsidRPr="00D5271C" w:rsidRDefault="00A82D34" w:rsidP="006778BA">
      <w:pPr>
        <w:pStyle w:val="SingleTxt"/>
        <w:numPr>
          <w:ilvl w:val="0"/>
          <w:numId w:val="8"/>
        </w:numPr>
        <w:ind w:left="1267"/>
        <w:rPr>
          <w:lang w:val="es-ES_tradnl"/>
        </w:rPr>
      </w:pPr>
      <w:r w:rsidRPr="00D5271C">
        <w:rPr>
          <w:lang w:val="es-ES_tradnl"/>
        </w:rPr>
        <w:t xml:space="preserve">A finales de 2021, la Primera Ministra nombró un grupo de acción sobre igualdad de remuneración e igualdad en el mercado laboral a raíz del informe del </w:t>
      </w:r>
      <w:r w:rsidRPr="00D5271C">
        <w:rPr>
          <w:lang w:val="es-ES_tradnl"/>
        </w:rPr>
        <w:lastRenderedPageBreak/>
        <w:t>grupo de trabajo mencionado. Una de las propuestas formuladas por el antiguo grupo era iniciar un proyecto junto con determinadas instituciones del sector público y nombrar un grupo de acción para llevar a cabo el proyecto en cuestión. El nuevo grupo de acción tiene el cometido de presentar propuestas de actuación para eliminar la brecha salarial causada por la segregación por sexos en el mercado laboral y la infravaloración sistemática de los empleos femeninos tradicionales. El grupo de acción estará activo hasta finales de 2023.</w:t>
      </w:r>
    </w:p>
    <w:p w14:paraId="268EE219" w14:textId="67FEA05B" w:rsidR="00A82D34" w:rsidRPr="00D5271C" w:rsidRDefault="00A82D34" w:rsidP="006778BA">
      <w:pPr>
        <w:pStyle w:val="SingleTxt"/>
        <w:spacing w:after="0" w:line="120" w:lineRule="exact"/>
        <w:rPr>
          <w:sz w:val="10"/>
          <w:lang w:val="es-ES_tradnl"/>
        </w:rPr>
      </w:pPr>
    </w:p>
    <w:p w14:paraId="2E5AB7B9" w14:textId="694706ED" w:rsidR="006778BA" w:rsidRPr="00D5271C" w:rsidRDefault="006778BA" w:rsidP="006778BA">
      <w:pPr>
        <w:pStyle w:val="SingleTxt"/>
        <w:spacing w:after="0" w:line="120" w:lineRule="exact"/>
        <w:rPr>
          <w:sz w:val="10"/>
          <w:lang w:val="es-ES_tradnl"/>
        </w:rPr>
      </w:pPr>
    </w:p>
    <w:p w14:paraId="433C0E2C"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15 a) de la lista de cuestiones y preguntas</w:t>
      </w:r>
    </w:p>
    <w:p w14:paraId="71F880C7" w14:textId="52D7152A" w:rsidR="00A82D34" w:rsidRPr="00D5271C" w:rsidRDefault="00A82D34" w:rsidP="006778BA">
      <w:pPr>
        <w:pStyle w:val="SingleTxt"/>
        <w:spacing w:after="0" w:line="120" w:lineRule="exact"/>
        <w:rPr>
          <w:sz w:val="10"/>
          <w:lang w:val="es-ES_tradnl"/>
        </w:rPr>
      </w:pPr>
    </w:p>
    <w:p w14:paraId="2053CF2A" w14:textId="4A3F4F1B" w:rsidR="006778BA" w:rsidRPr="00D5271C" w:rsidRDefault="006778BA" w:rsidP="006778BA">
      <w:pPr>
        <w:pStyle w:val="SingleTxt"/>
        <w:spacing w:after="0" w:line="120" w:lineRule="exact"/>
        <w:rPr>
          <w:sz w:val="10"/>
          <w:lang w:val="es-ES_tradnl"/>
        </w:rPr>
      </w:pPr>
    </w:p>
    <w:p w14:paraId="45D016D2" w14:textId="4C411FA9" w:rsidR="00A82D34" w:rsidRPr="00D5271C" w:rsidRDefault="00A82D34" w:rsidP="006778BA">
      <w:pPr>
        <w:pStyle w:val="SingleTxt"/>
        <w:numPr>
          <w:ilvl w:val="0"/>
          <w:numId w:val="8"/>
        </w:numPr>
        <w:ind w:left="1267"/>
        <w:rPr>
          <w:lang w:val="es-ES_tradnl"/>
        </w:rPr>
      </w:pPr>
      <w:r w:rsidRPr="00D5271C">
        <w:rPr>
          <w:lang w:val="es-ES_tradnl"/>
        </w:rPr>
        <w:t>El Comisionado Nacional de Policía ha estado elaborando un plan de implementación de la igualdad en el cumplimiento de la ley, de conformidad con la resolución parlamentaria sobre un plan de implementación de la igualdad de género, y para la elaboración e implementación de indicadores de igualdad para el Comisionado de Policía. Entre otras cosas, se trata del análisis de procesos y de un plan de contingencia contra el acoso sexual, que incluye el análisis de los procesos actuales en lo que respecta al consejo profesional dependiente del Comisionado Nacional de Policía, la campaña de información sobre el acoso sexual y una revisión de la formación policial. En el otoño boreal de 2022 se realizará una encuesta entre todos los miembros de la policía para medir la cultura laboral y las relaciones de género en el seno de la policía. Esta encuesta es una versión actualizada de la que se llevó a cabo en 2013. Además, también se incluyen otras medidas aprobadas por el plan de implementación.</w:t>
      </w:r>
    </w:p>
    <w:p w14:paraId="5B0847A9" w14:textId="79687912" w:rsidR="00A82D34" w:rsidRPr="00D5271C" w:rsidRDefault="00A82D34" w:rsidP="006778BA">
      <w:pPr>
        <w:pStyle w:val="SingleTxt"/>
        <w:numPr>
          <w:ilvl w:val="0"/>
          <w:numId w:val="8"/>
        </w:numPr>
        <w:tabs>
          <w:tab w:val="num" w:pos="2804"/>
        </w:tabs>
        <w:ind w:left="1267"/>
        <w:rPr>
          <w:lang w:val="es-ES_tradnl"/>
        </w:rPr>
      </w:pPr>
      <w:r w:rsidRPr="00D5271C">
        <w:rPr>
          <w:lang w:val="es-ES_tradnl"/>
        </w:rPr>
        <w:t>En 2013 se creó un consejo profesional dependiente del Comisionado Nacional de Policía como una de las medidas aprobadas en respuesta a los resultados de la encuesta de ese año sobre la cultura laboral en la policía. Todos los miembros de la policía pueden consultar este consejo profesional para solicitar ayuda y orientación. El consejo profesional dependiente del Comisionado Nacional de Policía es un consejo de profesionales independientes que recibe consultas y notificaciones de víctimas y otros miembros del personal de la policía sobre cuestiones relacionadas con la discriminación directa e indirecta, el acoso por razón de género, el acoso sexual, la violencia de género y el hostigamiento en el seno de la policía. También colabora en la evaluación de las situaciones y en la toma de decisiones sobre nuevas medidas, durante las cuales mantiene la confidencialidad de la parte notificante. En el sitio web hay disponible más información, como el número de casos denunciados ante el consejo profesional.</w:t>
      </w:r>
    </w:p>
    <w:p w14:paraId="67B20246" w14:textId="1A34432A" w:rsidR="00A82D34" w:rsidRPr="00D5271C" w:rsidRDefault="00A82D34" w:rsidP="006778BA">
      <w:pPr>
        <w:pStyle w:val="SingleTxt"/>
        <w:spacing w:after="0" w:line="120" w:lineRule="exact"/>
        <w:rPr>
          <w:sz w:val="10"/>
          <w:lang w:val="es-ES_tradnl"/>
        </w:rPr>
      </w:pPr>
    </w:p>
    <w:p w14:paraId="620164DE" w14:textId="6A8784D8" w:rsidR="006778BA" w:rsidRPr="00D5271C" w:rsidRDefault="006778BA" w:rsidP="006778BA">
      <w:pPr>
        <w:pStyle w:val="SingleTxt"/>
        <w:spacing w:after="0" w:line="120" w:lineRule="exact"/>
        <w:rPr>
          <w:sz w:val="10"/>
          <w:lang w:val="es-ES_tradnl"/>
        </w:rPr>
      </w:pPr>
    </w:p>
    <w:p w14:paraId="3E742D55"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15 b) de la lista de cuestiones y preguntas</w:t>
      </w:r>
    </w:p>
    <w:p w14:paraId="09FBEFF2" w14:textId="4B35C0DB" w:rsidR="00A82D34" w:rsidRPr="00D5271C" w:rsidRDefault="00A82D34" w:rsidP="006778BA">
      <w:pPr>
        <w:pStyle w:val="SingleTxt"/>
        <w:spacing w:after="0" w:line="120" w:lineRule="exact"/>
        <w:rPr>
          <w:sz w:val="10"/>
          <w:lang w:val="es-ES_tradnl"/>
        </w:rPr>
      </w:pPr>
    </w:p>
    <w:p w14:paraId="68346075" w14:textId="3C654C9C" w:rsidR="006778BA" w:rsidRPr="00D5271C" w:rsidRDefault="006778BA" w:rsidP="006778BA">
      <w:pPr>
        <w:pStyle w:val="SingleTxt"/>
        <w:spacing w:after="0" w:line="120" w:lineRule="exact"/>
        <w:rPr>
          <w:sz w:val="10"/>
          <w:lang w:val="es-ES_tradnl"/>
        </w:rPr>
      </w:pPr>
    </w:p>
    <w:p w14:paraId="69B9DA03" w14:textId="7FB71010" w:rsidR="00A82D34" w:rsidRPr="00D5271C" w:rsidRDefault="00A82D34" w:rsidP="006778BA">
      <w:pPr>
        <w:pStyle w:val="SingleTxt"/>
        <w:numPr>
          <w:ilvl w:val="0"/>
          <w:numId w:val="8"/>
        </w:numPr>
        <w:ind w:left="1267"/>
        <w:rPr>
          <w:lang w:val="es-ES_tradnl"/>
        </w:rPr>
      </w:pPr>
      <w:r w:rsidRPr="00D5271C">
        <w:rPr>
          <w:lang w:val="es-ES_tradnl"/>
        </w:rPr>
        <w:t>La Administración de Seguridad y Salud en el Trabajo supervisa el cumplimiento de las disposiciones legales y reglamentarias en materia de seguridad en el trabajo en virtud de la Ley núm. 46/1980 de Entorno Laboral, Salud y Seguridad en el Trabajo. En virtud de esta ley, los empleadores son responsables, entre otras cosas, de garantizar un entorno laboral seguro y saludable en el lugar de trabajo. Para ello, deben realizar una evaluación de riesgos específica que evalúe los riesgos asociados al trabajo en relación con la seguridad y la salud de los trabajadores, así como los factores de riesgo en el entorno laboral. También deberán preparar por escrito un programa de seguridad y salud en el lugar de trabajo que incorpore medidas preventivas, incluida la prevención del acoso, el hostigamiento y la violencia, y deberán asegurarse de que exista un plan de contingencia en el lugar de trabajo en caso de que se produzcan estos casos.</w:t>
      </w:r>
    </w:p>
    <w:p w14:paraId="19ED9ACE" w14:textId="2CF03C4F" w:rsidR="00A82D34" w:rsidRPr="00D5271C" w:rsidRDefault="00A82D34" w:rsidP="006778BA">
      <w:pPr>
        <w:pStyle w:val="SingleTxt"/>
        <w:numPr>
          <w:ilvl w:val="0"/>
          <w:numId w:val="8"/>
        </w:numPr>
        <w:tabs>
          <w:tab w:val="num" w:pos="2804"/>
        </w:tabs>
        <w:ind w:left="1267"/>
        <w:rPr>
          <w:lang w:val="es-ES_tradnl"/>
        </w:rPr>
      </w:pPr>
      <w:r w:rsidRPr="00D5271C">
        <w:rPr>
          <w:lang w:val="es-ES_tradnl"/>
        </w:rPr>
        <w:lastRenderedPageBreak/>
        <w:t>Así pues, la Administración de Seguridad y Salud en el Trabajo es responsable de que los empleadores cumplan las obligaciones que les imponen las leyes y reglamentos aplicables. Esto se consigue, entre otras cosas, mediante visitas periódicas de inspección al lugar de trabajo para llevar a cabo funciones concretas, como considerar los equipos específicos o las condiciones sociales del lugar de trabajo en cuestión. Las notificaciones de hostigamiento, acoso sexual, acoso por razón de sexo o violencia en el lugar de trabajo pueden hacerse a la Administración de Seguridad y Salud en el Trabajo. Cuando la Administración recibe una de estas notificaciones realiza una visita de inspección al lugar de trabajo en cuestión y se asegura de que existe un programa de seguridad y salud por escrito en el que se describen las medidas adecuadas para prevenir estas conductas en el lugar de trabajo, así como las medidas adoptadas en caso de que se presente una denuncia o notificación o de que exista una sospecha fundada de estas conductas en el lugar de trabajo. Si se han elaborado planes de este tipo en el lugar de trabajo correspondiente, la Administración verifica que se haya activado el plan en cuestión. En el caso de que no se hubiera activado el plan, la agencia sugiere a la parte notificante que trate el asunto con el empleador o su representante. El motivo es que los miembros del personal de la Administración de Seguridad y Salud en el Trabajo no están autorizados a informar al empleador de que la visita de inspección se realiza debido a una denuncia (véase el segundo párrafo del artículo 83 de la Ley de Entorno Laboral, Salud y Seguridad en el Trabajo). Si las visitas de inspección de la Administración confirman que en el lugar de trabajo en cuestión no existe este plan, la agencia insta al empleador a cumplir las obligaciones que le impone la normativa pertinente. La Administración también explica su papel a quienes le presentan notificaciones, además de animar a la parte en cuestión a buscar asistencia sanitaria si considera que su entorno laboral ha repercutido en su salud, por ejemplo debido a las condiciones sociales en el lugar de trabajo. La Administración de Seguridad y Salud en el Trabajo no está facultada por la ley para evaluar si una conducta concreta se considera hostigamiento, acoso sexual, acoso por razón de género o violencia con arreglo a dicha normativa.</w:t>
      </w:r>
    </w:p>
    <w:p w14:paraId="4B589206" w14:textId="49AC51AF" w:rsidR="00A82D34" w:rsidRPr="00D5271C" w:rsidRDefault="00A82D34" w:rsidP="006778BA">
      <w:pPr>
        <w:pStyle w:val="SingleTxt"/>
        <w:spacing w:after="0" w:line="120" w:lineRule="exact"/>
        <w:rPr>
          <w:sz w:val="10"/>
          <w:lang w:val="es-ES_tradnl"/>
        </w:rPr>
      </w:pPr>
    </w:p>
    <w:p w14:paraId="72C69398" w14:textId="47191312" w:rsidR="006778BA" w:rsidRPr="00D5271C" w:rsidRDefault="006778BA" w:rsidP="006778BA">
      <w:pPr>
        <w:pStyle w:val="SingleTxt"/>
        <w:spacing w:after="0" w:line="120" w:lineRule="exact"/>
        <w:rPr>
          <w:sz w:val="10"/>
          <w:lang w:val="es-ES_tradnl"/>
        </w:rPr>
      </w:pPr>
    </w:p>
    <w:p w14:paraId="740931AD"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15 c) de la lista de cuestiones y preguntas</w:t>
      </w:r>
    </w:p>
    <w:p w14:paraId="1FC3A645" w14:textId="022A1192" w:rsidR="00A82D34" w:rsidRPr="00D5271C" w:rsidRDefault="00A82D34" w:rsidP="006778BA">
      <w:pPr>
        <w:pStyle w:val="SingleTxt"/>
        <w:spacing w:after="0" w:line="120" w:lineRule="exact"/>
        <w:rPr>
          <w:sz w:val="10"/>
          <w:lang w:val="es-ES_tradnl"/>
        </w:rPr>
      </w:pPr>
    </w:p>
    <w:p w14:paraId="22F0B00F" w14:textId="069EF4C4" w:rsidR="006778BA" w:rsidRPr="00D5271C" w:rsidRDefault="006778BA" w:rsidP="006778BA">
      <w:pPr>
        <w:pStyle w:val="SingleTxt"/>
        <w:spacing w:after="0" w:line="120" w:lineRule="exact"/>
        <w:rPr>
          <w:sz w:val="10"/>
          <w:lang w:val="es-ES_tradnl"/>
        </w:rPr>
      </w:pPr>
    </w:p>
    <w:p w14:paraId="1EF5E6D2" w14:textId="3EC21F5F" w:rsidR="00A82D34" w:rsidRPr="00D5271C" w:rsidRDefault="00A82D34" w:rsidP="006778BA">
      <w:pPr>
        <w:pStyle w:val="SingleTxt"/>
        <w:numPr>
          <w:ilvl w:val="0"/>
          <w:numId w:val="8"/>
        </w:numPr>
        <w:ind w:left="1267"/>
        <w:rPr>
          <w:lang w:val="es-ES_tradnl"/>
        </w:rPr>
      </w:pPr>
      <w:r w:rsidRPr="00D5271C">
        <w:rPr>
          <w:lang w:val="es-ES_tradnl"/>
        </w:rPr>
        <w:t>El proyecto TINNA consiste en una amplia cooperación interdisciplinar entre diferentes partes del sistema educativo y de bienestar, además de la actividad funcional y la contratación laboral bajo los auspicios de la Dirección de Trabajo. El objetivo principal es ofrecer a los participantes servicios integrales que promuevan una mejor calidad de vida y la participación activa en la comunidad y en el mercado laboral, según cada caso. El proyecto está dirigido por el Ayuntamiento de Reikiavik y cuenta con el apoyo del Ministerio de Asuntos Sociales y Trabajo. El acuerdo sobre el proyecto estará en vigor hasta finales de este año. El número de participantes anuales es de 40 a 50 mujeres. En el año 2021, el proyecto llegó a 53 mujeres y a 95</w:t>
      </w:r>
      <w:r w:rsidR="004D5180" w:rsidRPr="00D5271C">
        <w:rPr>
          <w:lang w:val="es-ES_tradnl"/>
        </w:rPr>
        <w:t> </w:t>
      </w:r>
      <w:r w:rsidRPr="00D5271C">
        <w:rPr>
          <w:lang w:val="es-ES_tradnl"/>
        </w:rPr>
        <w:t>de sus hijos.</w:t>
      </w:r>
    </w:p>
    <w:p w14:paraId="5AA4BA37" w14:textId="5871C688" w:rsidR="00A82D34" w:rsidRPr="00D5271C" w:rsidRDefault="00A82D34" w:rsidP="006778BA">
      <w:pPr>
        <w:pStyle w:val="SingleTxt"/>
        <w:spacing w:after="0" w:line="120" w:lineRule="exact"/>
        <w:rPr>
          <w:sz w:val="10"/>
          <w:lang w:val="es-ES_tradnl"/>
        </w:rPr>
      </w:pPr>
    </w:p>
    <w:p w14:paraId="1FDA3AC8" w14:textId="120DC94D" w:rsidR="006778BA" w:rsidRPr="00D5271C" w:rsidRDefault="006778BA" w:rsidP="006778BA">
      <w:pPr>
        <w:pStyle w:val="SingleTxt"/>
        <w:spacing w:after="0" w:line="120" w:lineRule="exact"/>
        <w:rPr>
          <w:sz w:val="10"/>
          <w:lang w:val="es-ES_tradnl"/>
        </w:rPr>
      </w:pPr>
    </w:p>
    <w:p w14:paraId="2132971C"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15 d) de la lista de cuestiones y preguntas</w:t>
      </w:r>
    </w:p>
    <w:p w14:paraId="2CDBDDB9" w14:textId="48C3FDB3" w:rsidR="00A82D34" w:rsidRPr="00D5271C" w:rsidRDefault="00A82D34" w:rsidP="006778BA">
      <w:pPr>
        <w:pStyle w:val="SingleTxt"/>
        <w:spacing w:after="0" w:line="120" w:lineRule="exact"/>
        <w:rPr>
          <w:sz w:val="10"/>
          <w:lang w:val="es-ES_tradnl"/>
        </w:rPr>
      </w:pPr>
    </w:p>
    <w:p w14:paraId="21E89E1C" w14:textId="74066917" w:rsidR="006778BA" w:rsidRPr="00D5271C" w:rsidRDefault="006778BA" w:rsidP="006778BA">
      <w:pPr>
        <w:pStyle w:val="SingleTxt"/>
        <w:spacing w:after="0" w:line="120" w:lineRule="exact"/>
        <w:rPr>
          <w:sz w:val="10"/>
          <w:lang w:val="es-ES_tradnl"/>
        </w:rPr>
      </w:pPr>
    </w:p>
    <w:p w14:paraId="682BDAC9" w14:textId="3A80D0BA" w:rsidR="00A82D34" w:rsidRPr="00D5271C" w:rsidRDefault="00A82D34" w:rsidP="006778BA">
      <w:pPr>
        <w:pStyle w:val="SingleTxt"/>
        <w:numPr>
          <w:ilvl w:val="0"/>
          <w:numId w:val="8"/>
        </w:numPr>
        <w:ind w:left="1267"/>
        <w:rPr>
          <w:lang w:val="es-ES_tradnl"/>
        </w:rPr>
      </w:pPr>
      <w:r w:rsidRPr="00D5271C">
        <w:rPr>
          <w:lang w:val="es-ES_tradnl"/>
        </w:rPr>
        <w:t xml:space="preserve">No se han impuesto multas periódicas a empresas u organizaciones en relación con la certificación de la igualdad de remuneración. Al tratarse de una medida coercitiva impuesta por una autoridad administrativa, el principio de proporcionalidad tiene aplicación cuando se trata de casos en los que la empresa u organización en cuestión no ha cumplido su obligación con respecto a la certificación de la igualdad de remuneración. Se han tenido en cuenta de forma específica los efectos de la pandemia de COVID-19 en las operaciones de la parte pertinente. La </w:t>
      </w:r>
      <w:r w:rsidRPr="00D5271C">
        <w:rPr>
          <w:lang w:val="es-ES_tradnl"/>
        </w:rPr>
        <w:lastRenderedPageBreak/>
        <w:t>Dirección de Igualdad ha estado en estrecho contacto con las partes que aún no han solicitado la certificación y evalúa la imposición de medidas coercitivas caso por caso.</w:t>
      </w:r>
    </w:p>
    <w:p w14:paraId="75753D83" w14:textId="7AD43660" w:rsidR="00A82D34" w:rsidRPr="00D5271C" w:rsidRDefault="00A82D34" w:rsidP="006778BA">
      <w:pPr>
        <w:pStyle w:val="SingleTxt"/>
        <w:spacing w:after="0" w:line="120" w:lineRule="exact"/>
        <w:rPr>
          <w:sz w:val="10"/>
          <w:lang w:val="es-ES_tradnl"/>
        </w:rPr>
      </w:pPr>
    </w:p>
    <w:p w14:paraId="3A36F3AA" w14:textId="692EA516" w:rsidR="006778BA" w:rsidRPr="00D5271C" w:rsidRDefault="006778BA" w:rsidP="006778BA">
      <w:pPr>
        <w:pStyle w:val="SingleTxt"/>
        <w:spacing w:after="0" w:line="120" w:lineRule="exact"/>
        <w:rPr>
          <w:sz w:val="10"/>
          <w:lang w:val="es-ES_tradnl"/>
        </w:rPr>
      </w:pPr>
    </w:p>
    <w:p w14:paraId="18189E76"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16 a) de la lista de cuestiones y preguntas</w:t>
      </w:r>
    </w:p>
    <w:p w14:paraId="0383D443" w14:textId="0F75EFAF" w:rsidR="00A82D34" w:rsidRPr="00D5271C" w:rsidRDefault="00A82D34" w:rsidP="006778BA">
      <w:pPr>
        <w:pStyle w:val="SingleTxt"/>
        <w:spacing w:after="0" w:line="120" w:lineRule="exact"/>
        <w:rPr>
          <w:sz w:val="10"/>
          <w:lang w:val="es-ES_tradnl"/>
        </w:rPr>
      </w:pPr>
    </w:p>
    <w:p w14:paraId="3A78C6CB" w14:textId="466F38C1" w:rsidR="006778BA" w:rsidRPr="00D5271C" w:rsidRDefault="006778BA" w:rsidP="006778BA">
      <w:pPr>
        <w:pStyle w:val="SingleTxt"/>
        <w:spacing w:after="0" w:line="120" w:lineRule="exact"/>
        <w:rPr>
          <w:sz w:val="10"/>
          <w:lang w:val="es-ES_tradnl"/>
        </w:rPr>
      </w:pPr>
    </w:p>
    <w:p w14:paraId="12999696" w14:textId="0A65E3B5" w:rsidR="00A82D34" w:rsidRPr="00D5271C" w:rsidRDefault="00A82D34" w:rsidP="006778BA">
      <w:pPr>
        <w:pStyle w:val="SingleTxt"/>
        <w:numPr>
          <w:ilvl w:val="0"/>
          <w:numId w:val="8"/>
        </w:numPr>
        <w:ind w:left="1267"/>
        <w:rPr>
          <w:lang w:val="es-ES_tradnl"/>
        </w:rPr>
      </w:pPr>
      <w:r w:rsidRPr="00D5271C">
        <w:rPr>
          <w:lang w:val="es-ES_tradnl"/>
        </w:rPr>
        <w:t>Durante su capacitación, todos los trabajadores sanitarios reciben instrucciones y formación para recibir y prestar servicios sanitarios a las personas que desean interrumpir su embarazo. La página web del Landspitali (Hospital Universitario Nacional de Islandia) ofrece información detallada sobre la interrupción del embarazo, incluido el tratamiento, enlaces a información sobre los derechos y la legislación pertinentes, así como aspectos relacionados con la salud mental. El personal sanitario también proporciona información a las personas sobre el tratamiento durante todo el procedimiento.</w:t>
      </w:r>
    </w:p>
    <w:p w14:paraId="2932B58F" w14:textId="01DD413E" w:rsidR="00A82D34" w:rsidRPr="00D5271C" w:rsidRDefault="00A82D34" w:rsidP="006778BA">
      <w:pPr>
        <w:pStyle w:val="SingleTxt"/>
        <w:spacing w:after="0" w:line="120" w:lineRule="exact"/>
        <w:rPr>
          <w:sz w:val="10"/>
          <w:lang w:val="es-ES_tradnl"/>
        </w:rPr>
      </w:pPr>
    </w:p>
    <w:p w14:paraId="201C9AA0" w14:textId="0464C153" w:rsidR="006778BA" w:rsidRPr="00D5271C" w:rsidRDefault="006778BA" w:rsidP="006778BA">
      <w:pPr>
        <w:pStyle w:val="SingleTxt"/>
        <w:spacing w:after="0" w:line="120" w:lineRule="exact"/>
        <w:rPr>
          <w:sz w:val="10"/>
          <w:lang w:val="es-ES_tradnl"/>
        </w:rPr>
      </w:pPr>
    </w:p>
    <w:p w14:paraId="60D09C99"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16 b) de la lista de cuestiones y preguntas</w:t>
      </w:r>
    </w:p>
    <w:p w14:paraId="3E147166" w14:textId="2EFCBB81" w:rsidR="00A82D34" w:rsidRPr="00D5271C" w:rsidRDefault="00A82D34" w:rsidP="006778BA">
      <w:pPr>
        <w:pStyle w:val="SingleTxt"/>
        <w:spacing w:after="0" w:line="120" w:lineRule="exact"/>
        <w:rPr>
          <w:sz w:val="10"/>
          <w:lang w:val="es-ES_tradnl"/>
        </w:rPr>
      </w:pPr>
    </w:p>
    <w:p w14:paraId="30B20A13" w14:textId="393935F2" w:rsidR="006778BA" w:rsidRPr="00D5271C" w:rsidRDefault="006778BA" w:rsidP="006778BA">
      <w:pPr>
        <w:pStyle w:val="SingleTxt"/>
        <w:spacing w:after="0" w:line="120" w:lineRule="exact"/>
        <w:rPr>
          <w:sz w:val="10"/>
          <w:lang w:val="es-ES_tradnl"/>
        </w:rPr>
      </w:pPr>
    </w:p>
    <w:p w14:paraId="4540BD9F" w14:textId="59F9D7FD" w:rsidR="00A82D34" w:rsidRPr="00D5271C" w:rsidRDefault="00A82D34" w:rsidP="006778BA">
      <w:pPr>
        <w:pStyle w:val="SingleTxt"/>
        <w:numPr>
          <w:ilvl w:val="0"/>
          <w:numId w:val="8"/>
        </w:numPr>
        <w:ind w:left="1267"/>
        <w:rPr>
          <w:lang w:val="es-ES_tradnl"/>
        </w:rPr>
      </w:pPr>
      <w:r w:rsidRPr="00D5271C">
        <w:rPr>
          <w:lang w:val="es-ES_tradnl"/>
        </w:rPr>
        <w:t>Todas las mujeres de Islandia, independientemente de su origen, residencia u otros factores, disfrutan de la misma facilidad de acceso a la asistencia sanitaria y a la información sobre los servicios sanitarios. En la plataforma electrónica de información sanitaria Heilsuvera se ofrece información y educación sobre salud sexual, incluidos anticonceptivos, identidad de género, sexo y enfermedades de transmisión sexual. Se está traduciendo el material del sitio web a otros idiomas además del islandés.</w:t>
      </w:r>
    </w:p>
    <w:p w14:paraId="5FB7673C" w14:textId="60DFFC45" w:rsidR="00A82D34" w:rsidRPr="00D5271C" w:rsidRDefault="00A82D34" w:rsidP="006778BA">
      <w:pPr>
        <w:pStyle w:val="SingleTxt"/>
        <w:spacing w:after="0" w:line="120" w:lineRule="exact"/>
        <w:rPr>
          <w:sz w:val="10"/>
          <w:lang w:val="es-ES_tradnl"/>
        </w:rPr>
      </w:pPr>
    </w:p>
    <w:p w14:paraId="0BDDCA79" w14:textId="56AD2A8B" w:rsidR="006778BA" w:rsidRPr="00D5271C" w:rsidRDefault="006778BA" w:rsidP="006778BA">
      <w:pPr>
        <w:pStyle w:val="SingleTxt"/>
        <w:spacing w:after="0" w:line="120" w:lineRule="exact"/>
        <w:rPr>
          <w:sz w:val="10"/>
          <w:lang w:val="es-ES_tradnl"/>
        </w:rPr>
      </w:pPr>
    </w:p>
    <w:p w14:paraId="17AD1185"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16 c) de la lista de cuestiones y preguntas</w:t>
      </w:r>
    </w:p>
    <w:p w14:paraId="6585C99F" w14:textId="799947FE" w:rsidR="00A82D34" w:rsidRPr="00D5271C" w:rsidRDefault="00A82D34" w:rsidP="006778BA">
      <w:pPr>
        <w:pStyle w:val="SingleTxt"/>
        <w:spacing w:after="0" w:line="120" w:lineRule="exact"/>
        <w:rPr>
          <w:sz w:val="10"/>
          <w:lang w:val="es-ES_tradnl"/>
        </w:rPr>
      </w:pPr>
    </w:p>
    <w:p w14:paraId="086BCE11" w14:textId="2ACD2025" w:rsidR="006778BA" w:rsidRPr="00D5271C" w:rsidRDefault="006778BA" w:rsidP="006778BA">
      <w:pPr>
        <w:pStyle w:val="SingleTxt"/>
        <w:spacing w:after="0" w:line="120" w:lineRule="exact"/>
        <w:rPr>
          <w:sz w:val="10"/>
          <w:lang w:val="es-ES_tradnl"/>
        </w:rPr>
      </w:pPr>
    </w:p>
    <w:p w14:paraId="5D0A3ECE" w14:textId="38D70A86" w:rsidR="00A82D34" w:rsidRPr="00D5271C" w:rsidRDefault="00A82D34" w:rsidP="006778BA">
      <w:pPr>
        <w:pStyle w:val="SingleTxt"/>
        <w:numPr>
          <w:ilvl w:val="0"/>
          <w:numId w:val="8"/>
        </w:numPr>
        <w:ind w:left="1267"/>
        <w:rPr>
          <w:lang w:val="es-ES_tradnl"/>
        </w:rPr>
      </w:pPr>
      <w:r w:rsidRPr="00D5271C">
        <w:rPr>
          <w:lang w:val="es-ES_tradnl"/>
        </w:rPr>
        <w:t>Los avances en los servicios de salud mental en Islandia se han producido con independencia del género. Esto incluye el desarrollo de servicios psicológicos y equipos generales de salud mental dentro de los servicios sanitarios, así como equipos especializados en salud mental dentro de los servicios sanitarios. También se están aplicando medidas preventivas como parte del plan de acción para reducir los suicidios en Islandia.</w:t>
      </w:r>
    </w:p>
    <w:p w14:paraId="6D183F92" w14:textId="2CBB8941" w:rsidR="00A82D34" w:rsidRPr="00D5271C" w:rsidRDefault="00A82D34" w:rsidP="006778BA">
      <w:pPr>
        <w:pStyle w:val="SingleTxt"/>
        <w:spacing w:after="0" w:line="120" w:lineRule="exact"/>
        <w:rPr>
          <w:sz w:val="10"/>
          <w:lang w:val="es-ES_tradnl"/>
        </w:rPr>
      </w:pPr>
    </w:p>
    <w:p w14:paraId="318D3C89" w14:textId="125816E9" w:rsidR="006778BA" w:rsidRPr="00D5271C" w:rsidRDefault="006778BA" w:rsidP="006778BA">
      <w:pPr>
        <w:pStyle w:val="SingleTxt"/>
        <w:spacing w:after="0" w:line="120" w:lineRule="exact"/>
        <w:rPr>
          <w:sz w:val="10"/>
          <w:lang w:val="es-ES_tradnl"/>
        </w:rPr>
      </w:pPr>
    </w:p>
    <w:p w14:paraId="3383728B"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16 d) de la lista de cuestiones y preguntas</w:t>
      </w:r>
    </w:p>
    <w:p w14:paraId="54CE1F27" w14:textId="4F3638EB" w:rsidR="00A82D34" w:rsidRPr="00D5271C" w:rsidRDefault="00A82D34" w:rsidP="006778BA">
      <w:pPr>
        <w:pStyle w:val="SingleTxt"/>
        <w:spacing w:after="0" w:line="120" w:lineRule="exact"/>
        <w:rPr>
          <w:sz w:val="10"/>
          <w:lang w:val="es-ES_tradnl"/>
        </w:rPr>
      </w:pPr>
    </w:p>
    <w:p w14:paraId="6E327040" w14:textId="20094222" w:rsidR="006778BA" w:rsidRPr="00D5271C" w:rsidRDefault="006778BA" w:rsidP="006778BA">
      <w:pPr>
        <w:pStyle w:val="SingleTxt"/>
        <w:spacing w:after="0" w:line="120" w:lineRule="exact"/>
        <w:rPr>
          <w:sz w:val="10"/>
          <w:lang w:val="es-ES_tradnl"/>
        </w:rPr>
      </w:pPr>
    </w:p>
    <w:p w14:paraId="1CCECA73" w14:textId="52508F0B" w:rsidR="00A82D34" w:rsidRPr="00D5271C" w:rsidRDefault="00A82D34" w:rsidP="006778BA">
      <w:pPr>
        <w:pStyle w:val="SingleTxt"/>
        <w:numPr>
          <w:ilvl w:val="0"/>
          <w:numId w:val="8"/>
        </w:numPr>
        <w:ind w:left="1267"/>
        <w:rPr>
          <w:lang w:val="es-ES_tradnl"/>
        </w:rPr>
      </w:pPr>
      <w:r w:rsidRPr="00D5271C">
        <w:rPr>
          <w:lang w:val="es-ES_tradnl"/>
        </w:rPr>
        <w:t>Durante su capacitación, todos los trabajadores sanitarios reciben instrucciones y formación para recibir a los clientes independientemente de la naturaleza de sus dolencias o de su origen. El punto de acción 16 del programa de acción sobre asuntos LGBTI 2022-2025 establece que debe garantizarse el acceso de las personas trans a una asistencia sanitaria adecuada e imparcial, y que el Equipo del Landspitali sobre Identidad de Género y Cambios de Sexo debería adoptar un reglamento interno que se ajuste a las normas de procedimiento reconocidas a nivel internacional.</w:t>
      </w:r>
    </w:p>
    <w:p w14:paraId="443967BC" w14:textId="778C6F63" w:rsidR="00A82D34" w:rsidRPr="00D5271C" w:rsidRDefault="00A82D34" w:rsidP="006778BA">
      <w:pPr>
        <w:pStyle w:val="SingleTxt"/>
        <w:spacing w:after="0" w:line="120" w:lineRule="exact"/>
        <w:rPr>
          <w:sz w:val="10"/>
          <w:lang w:val="es-ES_tradnl"/>
        </w:rPr>
      </w:pPr>
    </w:p>
    <w:p w14:paraId="619A135C" w14:textId="6EE5ADED" w:rsidR="006778BA" w:rsidRPr="00D5271C" w:rsidRDefault="006778BA" w:rsidP="006778BA">
      <w:pPr>
        <w:pStyle w:val="SingleTxt"/>
        <w:spacing w:after="0" w:line="120" w:lineRule="exact"/>
        <w:rPr>
          <w:sz w:val="10"/>
          <w:lang w:val="es-ES_tradnl"/>
        </w:rPr>
      </w:pPr>
    </w:p>
    <w:p w14:paraId="5A47E567" w14:textId="77777777" w:rsidR="00A82D34" w:rsidRPr="00D5271C" w:rsidRDefault="00A82D34" w:rsidP="006778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17 a) de la lista de cuestiones y preguntas</w:t>
      </w:r>
    </w:p>
    <w:p w14:paraId="13389323" w14:textId="0DE91B2E" w:rsidR="00A82D34" w:rsidRPr="00D5271C" w:rsidRDefault="00A82D34" w:rsidP="006778BA">
      <w:pPr>
        <w:pStyle w:val="SingleTxt"/>
        <w:spacing w:after="0" w:line="120" w:lineRule="exact"/>
        <w:rPr>
          <w:sz w:val="10"/>
          <w:lang w:val="es-ES_tradnl"/>
        </w:rPr>
      </w:pPr>
    </w:p>
    <w:p w14:paraId="42C47CEB" w14:textId="06F9089C" w:rsidR="006778BA" w:rsidRPr="00D5271C" w:rsidRDefault="006778BA" w:rsidP="006778BA">
      <w:pPr>
        <w:pStyle w:val="SingleTxt"/>
        <w:spacing w:after="0" w:line="120" w:lineRule="exact"/>
        <w:rPr>
          <w:sz w:val="10"/>
          <w:lang w:val="es-ES_tradnl"/>
        </w:rPr>
      </w:pPr>
    </w:p>
    <w:p w14:paraId="23FE9865" w14:textId="1C8C8A90" w:rsidR="00A82D34" w:rsidRPr="00D5271C" w:rsidRDefault="00A82D34" w:rsidP="006778BA">
      <w:pPr>
        <w:pStyle w:val="SingleTxt"/>
        <w:numPr>
          <w:ilvl w:val="0"/>
          <w:numId w:val="8"/>
        </w:numPr>
        <w:ind w:left="1267"/>
        <w:rPr>
          <w:lang w:val="es-ES_tradnl"/>
        </w:rPr>
      </w:pPr>
      <w:r w:rsidRPr="00D5271C">
        <w:rPr>
          <w:lang w:val="es-ES_tradnl"/>
        </w:rPr>
        <w:t xml:space="preserve">Recientemente, el Althingi aprobó una resolución parlamentaria sobre un plan de implementación de las cuestiones relativas a los inmigrantes 2022-2025. El plan establece que debería fijarse una política global sobre inmigración, refugiados y multiculturalismo. Está previsto que esta revisión concluya a finales de 2023. El plan de implementación incluye una acción centrada en la violencia cuyo objetivo es </w:t>
      </w:r>
      <w:r w:rsidRPr="00D5271C">
        <w:rPr>
          <w:lang w:val="es-ES_tradnl"/>
        </w:rPr>
        <w:lastRenderedPageBreak/>
        <w:t>garantizar que las víctimas y los autores de actos de violencia de origen extranjero conozcan los servicios y recursos disponibles. También prevé que el personal de servicios y emergencias reciba capacitación en cuestiones de inmigración, sensibilidad cultural y multiculturalismo. Se espera que el proyecto sea continuo y aborde los problemas más urgentes en cada momento. El Gobierno ha llegado a un acuerdo con la Cruz Roja sobre capacitación para el personal de respuesta en temas de sensibilidad cultural y apoyo psicológico a los refugiados, cuyo propósito es mejorar las habilidades que el personal necesita para orientar a los refugiados, incluso en casos de violencia. La policía también ha hecho especial hincapié en instruir a las mujeres que solicitan protección internacional sobre la ayuda disponible si han sido víctimas de violencia en Islandia.</w:t>
      </w:r>
    </w:p>
    <w:p w14:paraId="79293248" w14:textId="76450165" w:rsidR="00A82D34" w:rsidRPr="00D5271C" w:rsidRDefault="00A82D34" w:rsidP="00841B60">
      <w:pPr>
        <w:pStyle w:val="SingleTxt"/>
        <w:spacing w:after="0" w:line="120" w:lineRule="exact"/>
        <w:rPr>
          <w:sz w:val="10"/>
          <w:lang w:val="es-ES_tradnl"/>
        </w:rPr>
      </w:pPr>
    </w:p>
    <w:p w14:paraId="50536B4A" w14:textId="2B47C96E" w:rsidR="00841B60" w:rsidRPr="00D5271C" w:rsidRDefault="00841B60" w:rsidP="00841B60">
      <w:pPr>
        <w:pStyle w:val="SingleTxt"/>
        <w:spacing w:after="0" w:line="120" w:lineRule="exact"/>
        <w:rPr>
          <w:sz w:val="10"/>
          <w:lang w:val="es-ES_tradnl"/>
        </w:rPr>
      </w:pPr>
    </w:p>
    <w:p w14:paraId="502ECAEF" w14:textId="77777777" w:rsidR="00A82D34" w:rsidRPr="00D5271C" w:rsidRDefault="00A82D34" w:rsidP="00841B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17 b) de la lista de cuestiones y preguntas</w:t>
      </w:r>
    </w:p>
    <w:p w14:paraId="2E2C1C2D" w14:textId="394EB410" w:rsidR="00A82D34" w:rsidRPr="00D5271C" w:rsidRDefault="00A82D34" w:rsidP="00841B60">
      <w:pPr>
        <w:pStyle w:val="SingleTxt"/>
        <w:spacing w:after="0" w:line="120" w:lineRule="exact"/>
        <w:rPr>
          <w:sz w:val="10"/>
          <w:lang w:val="es-ES_tradnl"/>
        </w:rPr>
      </w:pPr>
    </w:p>
    <w:p w14:paraId="1B5EA6BA" w14:textId="192EEA0A" w:rsidR="00841B60" w:rsidRPr="00D5271C" w:rsidRDefault="00841B60" w:rsidP="00841B60">
      <w:pPr>
        <w:pStyle w:val="SingleTxt"/>
        <w:spacing w:after="0" w:line="120" w:lineRule="exact"/>
        <w:rPr>
          <w:sz w:val="10"/>
          <w:lang w:val="es-ES_tradnl"/>
        </w:rPr>
      </w:pPr>
    </w:p>
    <w:p w14:paraId="0B899FB9" w14:textId="5ECA74AB" w:rsidR="00A82D34" w:rsidRPr="00D5271C" w:rsidRDefault="00A82D34" w:rsidP="00841B60">
      <w:pPr>
        <w:pStyle w:val="SingleTxt"/>
        <w:numPr>
          <w:ilvl w:val="0"/>
          <w:numId w:val="8"/>
        </w:numPr>
        <w:ind w:left="1267"/>
        <w:rPr>
          <w:lang w:val="es-ES_tradnl"/>
        </w:rPr>
      </w:pPr>
      <w:r w:rsidRPr="00D5271C">
        <w:rPr>
          <w:lang w:val="es-ES_tradnl"/>
        </w:rPr>
        <w:t>Además de la oficina de Ísafjörður, el Centro de Información Multicultural tiene una delegación en Reikiavik. Gestiona también un servicio de información específico para inmigrantes bajo el título “Nuevo en Islandia”, que consiste en un servicio de información general para todos los inmigrantes. Se ofrece un servicio individualizado por teléfono, correo electrónico y visitas en horario laboral. El servicio “Nuevo en Islandia” también lleva a cabo una amplia labor informativa en las redes sociales. El Centro también ha sido de utilidad en un centro de acogida de refugiados, abierto tras el estallido de la guerra en Ucrania y el rápido aumento del número de solicitantes de protección internacional en Islandia. El servicio “Nuevo en Islandia” ofrece información en islandés, inglés, polaco, árabe, ucraniano y español.</w:t>
      </w:r>
    </w:p>
    <w:p w14:paraId="39C124E5" w14:textId="17EAAA2D" w:rsidR="00A82D34" w:rsidRPr="00D5271C" w:rsidRDefault="00A82D34" w:rsidP="00841B60">
      <w:pPr>
        <w:pStyle w:val="SingleTxt"/>
        <w:spacing w:after="0" w:line="120" w:lineRule="exact"/>
        <w:rPr>
          <w:sz w:val="10"/>
          <w:lang w:val="es-ES_tradnl"/>
        </w:rPr>
      </w:pPr>
    </w:p>
    <w:p w14:paraId="208F42F6" w14:textId="33089D34" w:rsidR="00841B60" w:rsidRPr="00D5271C" w:rsidRDefault="00841B60" w:rsidP="00841B60">
      <w:pPr>
        <w:pStyle w:val="SingleTxt"/>
        <w:spacing w:after="0" w:line="120" w:lineRule="exact"/>
        <w:rPr>
          <w:sz w:val="10"/>
          <w:lang w:val="es-ES_tradnl"/>
        </w:rPr>
      </w:pPr>
    </w:p>
    <w:p w14:paraId="45ACA005" w14:textId="77777777" w:rsidR="00A82D34" w:rsidRPr="00D5271C" w:rsidRDefault="00A82D34" w:rsidP="00841B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17 c) de la lista de cuestiones y preguntas</w:t>
      </w:r>
    </w:p>
    <w:p w14:paraId="0A83C4D3" w14:textId="2B17EC3A" w:rsidR="00A82D34" w:rsidRPr="00D5271C" w:rsidRDefault="00A82D34" w:rsidP="00841B60">
      <w:pPr>
        <w:pStyle w:val="SingleTxt"/>
        <w:spacing w:after="0" w:line="120" w:lineRule="exact"/>
        <w:rPr>
          <w:sz w:val="10"/>
          <w:lang w:val="es-ES_tradnl"/>
        </w:rPr>
      </w:pPr>
    </w:p>
    <w:p w14:paraId="4FCE4124" w14:textId="36A5D446" w:rsidR="00841B60" w:rsidRPr="00D5271C" w:rsidRDefault="00841B60" w:rsidP="00841B60">
      <w:pPr>
        <w:pStyle w:val="SingleTxt"/>
        <w:spacing w:after="0" w:line="120" w:lineRule="exact"/>
        <w:rPr>
          <w:sz w:val="10"/>
          <w:lang w:val="es-ES_tradnl"/>
        </w:rPr>
      </w:pPr>
    </w:p>
    <w:p w14:paraId="52A5FB7D" w14:textId="383A627E" w:rsidR="00A82D34" w:rsidRPr="00D5271C" w:rsidRDefault="00A82D34" w:rsidP="00841B60">
      <w:pPr>
        <w:pStyle w:val="SingleTxt"/>
        <w:numPr>
          <w:ilvl w:val="0"/>
          <w:numId w:val="8"/>
        </w:numPr>
        <w:ind w:left="1267"/>
        <w:rPr>
          <w:lang w:val="es-ES_tradnl"/>
        </w:rPr>
      </w:pPr>
      <w:r w:rsidRPr="00D5271C">
        <w:rPr>
          <w:lang w:val="es-ES_tradnl"/>
        </w:rPr>
        <w:t>El Gobierno de Islandia no ha puesto en marcha planes específicos de apoyo para las mujeres de origen extranjero. No obstante, reconoce la posición especial de esas mujeres, a las que se hace referencia específica en los programas gubernamentales. Esto incluye una resolución parlamentaria sobre un plan de acción contra la violencia y sus consecuencias para 2019-2022. El Gobierno también ha prestado apoyo a proyectos cuyo objetivo específico es llegar a las mujeres extranjeras, como la sensibilización, la preparación de material educativo y la mejora de la difusión de la información sobre violencia y de los recursos proporcionados por</w:t>
      </w:r>
      <w:r w:rsidR="00900897">
        <w:rPr>
          <w:lang w:val="es-ES_tradnl"/>
        </w:rPr>
        <w:t> </w:t>
      </w:r>
      <w:r w:rsidRPr="00D5271C">
        <w:rPr>
          <w:lang w:val="es-ES_tradnl"/>
        </w:rPr>
        <w:t>el 112.is, el portal electrónico sobre violencia del Número Nacional de Emergencias 112, que se ha convertido en el principal servicio de información en línea sobre violencia y que está disponible en tres idiomas. Esta información se incluye en el noveno informe periódico de Islandia, en los párrafos 41, 47, 116, 118, 119 y 123, entre otros.</w:t>
      </w:r>
    </w:p>
    <w:p w14:paraId="44ADCA3E" w14:textId="1B0C656F" w:rsidR="00A82D34" w:rsidRPr="00D5271C" w:rsidRDefault="00A82D34" w:rsidP="00841B60">
      <w:pPr>
        <w:pStyle w:val="SingleTxt"/>
        <w:spacing w:after="0" w:line="120" w:lineRule="exact"/>
        <w:rPr>
          <w:sz w:val="10"/>
          <w:lang w:val="es-ES_tradnl"/>
        </w:rPr>
      </w:pPr>
    </w:p>
    <w:p w14:paraId="459C1197" w14:textId="0F5BB3E9" w:rsidR="00841B60" w:rsidRPr="00D5271C" w:rsidRDefault="00841B60" w:rsidP="00841B60">
      <w:pPr>
        <w:pStyle w:val="SingleTxt"/>
        <w:spacing w:after="0" w:line="120" w:lineRule="exact"/>
        <w:rPr>
          <w:sz w:val="10"/>
          <w:lang w:val="es-ES_tradnl"/>
        </w:rPr>
      </w:pPr>
    </w:p>
    <w:p w14:paraId="2DE7FA61" w14:textId="77777777" w:rsidR="00A82D34" w:rsidRPr="00D5271C" w:rsidRDefault="00A82D34" w:rsidP="00841B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17 d) de la lista de cuestiones y preguntas</w:t>
      </w:r>
    </w:p>
    <w:p w14:paraId="377D2113" w14:textId="5D0ABCEB" w:rsidR="00A82D34" w:rsidRPr="00D5271C" w:rsidRDefault="00A82D34" w:rsidP="00841B60">
      <w:pPr>
        <w:pStyle w:val="SingleTxt"/>
        <w:spacing w:after="0" w:line="120" w:lineRule="exact"/>
        <w:rPr>
          <w:sz w:val="10"/>
          <w:lang w:val="es-ES_tradnl"/>
        </w:rPr>
      </w:pPr>
    </w:p>
    <w:p w14:paraId="7FFE6586" w14:textId="5D89C3EF" w:rsidR="00841B60" w:rsidRPr="00D5271C" w:rsidRDefault="00841B60" w:rsidP="00841B60">
      <w:pPr>
        <w:pStyle w:val="SingleTxt"/>
        <w:spacing w:after="0" w:line="120" w:lineRule="exact"/>
        <w:rPr>
          <w:sz w:val="10"/>
          <w:lang w:val="es-ES_tradnl"/>
        </w:rPr>
      </w:pPr>
    </w:p>
    <w:p w14:paraId="51CE8CC5" w14:textId="6879A7B9" w:rsidR="00A82D34" w:rsidRPr="00D5271C" w:rsidRDefault="00A82D34" w:rsidP="00841B60">
      <w:pPr>
        <w:pStyle w:val="SingleTxt"/>
        <w:numPr>
          <w:ilvl w:val="0"/>
          <w:numId w:val="8"/>
        </w:numPr>
        <w:ind w:left="1267"/>
        <w:rPr>
          <w:lang w:val="es-ES_tradnl"/>
        </w:rPr>
      </w:pPr>
      <w:r w:rsidRPr="00D5271C">
        <w:rPr>
          <w:lang w:val="es-ES_tradnl"/>
        </w:rPr>
        <w:t>Durante su capacitación, todos los trabajadores sanitarios reciben instrucciones y formación para recibir a los clientes, independientemente de la naturaleza de sus dolencias o de su origen. Se ha elaborado material educativo sobre las personas con discapacidad en la atención sanitaria como parte de un plan de implementación para cuestiones relativas a las personas con discapacidad cuyo objetivo es aumentar los conocimientos de los profesionales sanitarios sobre los asuntos que conciernen e las personas con discapacidad, sus derechos, necesidades relacionadas con la salud, etc.</w:t>
      </w:r>
    </w:p>
    <w:p w14:paraId="7BFB3ED9" w14:textId="1E2441F2" w:rsidR="00841B60" w:rsidRPr="00D5271C" w:rsidRDefault="00841B60">
      <w:pPr>
        <w:suppressAutoHyphens w:val="0"/>
        <w:spacing w:after="200" w:line="276" w:lineRule="auto"/>
        <w:rPr>
          <w:kern w:val="14"/>
          <w:lang w:val="es-ES_tradnl"/>
        </w:rPr>
      </w:pPr>
      <w:r w:rsidRPr="00D5271C">
        <w:rPr>
          <w:lang w:val="es-ES_tradnl"/>
        </w:rPr>
        <w:br w:type="page"/>
      </w:r>
    </w:p>
    <w:p w14:paraId="54310080" w14:textId="77777777" w:rsidR="00A82D34" w:rsidRPr="00D5271C" w:rsidRDefault="00A82D34" w:rsidP="00841B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lastRenderedPageBreak/>
        <w:tab/>
      </w:r>
      <w:r w:rsidRPr="00D5271C">
        <w:rPr>
          <w:lang w:val="es-ES_tradnl"/>
        </w:rPr>
        <w:tab/>
        <w:t>Respuesta al párrafo 17 e) de la lista de cuestiones y preguntas</w:t>
      </w:r>
    </w:p>
    <w:p w14:paraId="76ED0E08" w14:textId="278123E8" w:rsidR="00A82D34" w:rsidRPr="00D5271C" w:rsidRDefault="00A82D34" w:rsidP="00841B60">
      <w:pPr>
        <w:pStyle w:val="SingleTxt"/>
        <w:spacing w:after="0" w:line="120" w:lineRule="exact"/>
        <w:rPr>
          <w:sz w:val="10"/>
          <w:lang w:val="es-ES_tradnl"/>
        </w:rPr>
      </w:pPr>
    </w:p>
    <w:p w14:paraId="204B3FEB" w14:textId="01DFDC89" w:rsidR="00841B60" w:rsidRPr="00D5271C" w:rsidRDefault="00841B60" w:rsidP="00841B60">
      <w:pPr>
        <w:pStyle w:val="SingleTxt"/>
        <w:spacing w:after="0" w:line="120" w:lineRule="exact"/>
        <w:rPr>
          <w:sz w:val="10"/>
          <w:lang w:val="es-ES_tradnl"/>
        </w:rPr>
      </w:pPr>
    </w:p>
    <w:p w14:paraId="5DE8C405" w14:textId="2F1573E0" w:rsidR="00A82D34" w:rsidRPr="00D5271C" w:rsidRDefault="00A82D34" w:rsidP="00841B60">
      <w:pPr>
        <w:pStyle w:val="SingleTxt"/>
        <w:numPr>
          <w:ilvl w:val="0"/>
          <w:numId w:val="8"/>
        </w:numPr>
        <w:ind w:left="1267"/>
        <w:rPr>
          <w:lang w:val="es-ES_tradnl"/>
        </w:rPr>
      </w:pPr>
      <w:r w:rsidRPr="00D5271C">
        <w:rPr>
          <w:lang w:val="es-ES_tradnl"/>
        </w:rPr>
        <w:t>La prestación de asistencia sanitaria en Islandia se considera muy buena en los tres niveles de atención sanitaria. Así lo demuestran los buenos indicadores en diversos ámbitos, como la longevidad de la nación y la baja mortalidad infantil.</w:t>
      </w:r>
    </w:p>
    <w:p w14:paraId="45B4EC87" w14:textId="4656BA4D" w:rsidR="00A82D34" w:rsidRPr="00D5271C" w:rsidRDefault="00A82D34" w:rsidP="00841B60">
      <w:pPr>
        <w:pStyle w:val="SingleTxt"/>
        <w:spacing w:after="0" w:line="120" w:lineRule="exact"/>
        <w:rPr>
          <w:sz w:val="10"/>
          <w:lang w:val="es-ES_tradnl"/>
        </w:rPr>
      </w:pPr>
    </w:p>
    <w:p w14:paraId="0835E688" w14:textId="77777777" w:rsidR="00841B60" w:rsidRPr="00D5271C" w:rsidRDefault="00841B60" w:rsidP="00841B60">
      <w:pPr>
        <w:pStyle w:val="SingleTxt"/>
        <w:spacing w:after="0" w:line="120" w:lineRule="exact"/>
        <w:rPr>
          <w:sz w:val="10"/>
          <w:lang w:val="es-ES_tradnl"/>
        </w:rPr>
      </w:pPr>
    </w:p>
    <w:p w14:paraId="3E4978BC" w14:textId="604FFEE0" w:rsidR="00A82D34" w:rsidRPr="00D5271C" w:rsidRDefault="00A82D34" w:rsidP="00D527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D5271C">
        <w:rPr>
          <w:lang w:val="es-ES_tradnl"/>
        </w:rPr>
        <w:tab/>
      </w:r>
      <w:r w:rsidRPr="00D5271C">
        <w:rPr>
          <w:lang w:val="es-ES_tradnl"/>
        </w:rPr>
        <w:tab/>
        <w:t xml:space="preserve">Respuesta al párrafo 18 a), b) y c) de la lista de cuestiones y </w:t>
      </w:r>
      <w:r w:rsidR="00841B60" w:rsidRPr="00D5271C">
        <w:rPr>
          <w:lang w:val="es-ES_tradnl"/>
        </w:rPr>
        <w:t>pre</w:t>
      </w:r>
      <w:r w:rsidRPr="00D5271C">
        <w:rPr>
          <w:lang w:val="es-ES_tradnl"/>
        </w:rPr>
        <w:t>guntas</w:t>
      </w:r>
    </w:p>
    <w:p w14:paraId="23A9936C" w14:textId="77F1B87B" w:rsidR="00A82D34" w:rsidRPr="00D5271C" w:rsidRDefault="00A82D34" w:rsidP="00841B60">
      <w:pPr>
        <w:pStyle w:val="SingleTxt"/>
        <w:spacing w:after="0" w:line="120" w:lineRule="exact"/>
        <w:rPr>
          <w:sz w:val="10"/>
          <w:lang w:val="es-ES_tradnl"/>
        </w:rPr>
      </w:pPr>
    </w:p>
    <w:p w14:paraId="0F3F301C" w14:textId="06256B88" w:rsidR="00841B60" w:rsidRPr="00D5271C" w:rsidRDefault="00841B60" w:rsidP="00841B60">
      <w:pPr>
        <w:pStyle w:val="SingleTxt"/>
        <w:spacing w:after="0" w:line="120" w:lineRule="exact"/>
        <w:rPr>
          <w:sz w:val="10"/>
          <w:lang w:val="es-ES_tradnl"/>
        </w:rPr>
      </w:pPr>
    </w:p>
    <w:p w14:paraId="218966FE" w14:textId="5F1F7DFA" w:rsidR="00A82D34" w:rsidRPr="00D5271C" w:rsidRDefault="00A82D34" w:rsidP="00841B60">
      <w:pPr>
        <w:pStyle w:val="SingleTxt"/>
        <w:numPr>
          <w:ilvl w:val="0"/>
          <w:numId w:val="8"/>
        </w:numPr>
        <w:ind w:left="1267"/>
        <w:rPr>
          <w:lang w:val="es-ES_tradnl"/>
        </w:rPr>
      </w:pPr>
      <w:r w:rsidRPr="00D5271C">
        <w:rPr>
          <w:lang w:val="es-ES_tradnl"/>
        </w:rPr>
        <w:t>La Ley núm. 150/2020 de Igualdad de Condición y de Derechos con Independencia del Género, que se aprobó en 2020, garantiza la prohibición de la discriminación por motivos de género. Todas las mujeres deberían gozar del mismo derecho a la vida y al trabajo que las demás, vivan en zonas rurales o no. El Gobierno establece ciertas normas y reglamentos y pone en práctica programas específicos destinados a abordar la disparidad rural y la mejora sistemática.</w:t>
      </w:r>
    </w:p>
    <w:p w14:paraId="2F40DD4A" w14:textId="09509D34" w:rsidR="00A82D34" w:rsidRPr="00D5271C" w:rsidRDefault="00A82D34" w:rsidP="00841B60">
      <w:pPr>
        <w:pStyle w:val="SingleTxt"/>
        <w:numPr>
          <w:ilvl w:val="0"/>
          <w:numId w:val="8"/>
        </w:numPr>
        <w:tabs>
          <w:tab w:val="num" w:pos="2804"/>
        </w:tabs>
        <w:ind w:left="1267"/>
        <w:rPr>
          <w:lang w:val="es-ES_tradnl"/>
        </w:rPr>
      </w:pPr>
      <w:r w:rsidRPr="00D5271C">
        <w:rPr>
          <w:lang w:val="es-ES_tradnl"/>
        </w:rPr>
        <w:t xml:space="preserve">La política del Gobierno se traduce en la existencia de asentamientos prósperos y municipios robustos en todas las partes del país en los que se promueve la mejora del nivel de vida y la libertad de residencia, con un acceso lo más igualitario posible a los servicios básicos, la vivienda y diversas oportunidades de empleo. La atención se centra en las zonas donde el declive demográfico es un problema de larga data, así como el desempleo y una monótona actividad </w:t>
      </w:r>
      <w:r w:rsidR="00B60339">
        <w:rPr>
          <w:lang w:val="es-ES_tradnl"/>
        </w:rPr>
        <w:t>i</w:t>
      </w:r>
      <w:r w:rsidR="00B60339" w:rsidRPr="00D5271C">
        <w:rPr>
          <w:lang w:val="es-ES_tradnl"/>
        </w:rPr>
        <w:t>ndustrial</w:t>
      </w:r>
      <w:r w:rsidRPr="00D5271C">
        <w:rPr>
          <w:lang w:val="es-ES_tradnl"/>
        </w:rPr>
        <w:t>.</w:t>
      </w:r>
    </w:p>
    <w:p w14:paraId="66763081" w14:textId="28B67E64" w:rsidR="00A82D34" w:rsidRPr="00D5271C" w:rsidRDefault="00A82D34" w:rsidP="00841B60">
      <w:pPr>
        <w:pStyle w:val="SingleTxt"/>
        <w:numPr>
          <w:ilvl w:val="0"/>
          <w:numId w:val="8"/>
        </w:numPr>
        <w:tabs>
          <w:tab w:val="num" w:pos="2804"/>
        </w:tabs>
        <w:ind w:left="1267"/>
        <w:rPr>
          <w:lang w:val="es-ES_tradnl"/>
        </w:rPr>
      </w:pPr>
      <w:r w:rsidRPr="00D5271C">
        <w:rPr>
          <w:lang w:val="es-ES_tradnl"/>
        </w:rPr>
        <w:t>Los planes de desarrollo regional son un instrumento importante para que el Gobierno pueda influir en todo momento sobre el progreso y pueda dar forma a las políticas en asuntos regionales en el ámbito de todo el país, así como para regiones individuales. El principal objetivo de los planes de desarrollo regional es equiparar las oportunidades de empleo y servicios de todos los habitantes del país, igualar los niveles de vida y promover el desarrollo sostenible de las regiones. Por ello, los planes de desarrollo regional hacen mucho hincapié en la libertad de residencia. Esto significa que los servicios públicos deben ser accesibles a todos, independientemente del lugar del país en el que residan. La felicidad de las personas depende en gran medida de que puedan encontrar un hogar allá donde elijan. La libertad de residencia favorece la diversificación en las zonas habitadas.</w:t>
      </w:r>
    </w:p>
    <w:p w14:paraId="5F2FAFC9" w14:textId="7C1B9C2A" w:rsidR="00A82D34" w:rsidRPr="00D5271C" w:rsidRDefault="00A82D34" w:rsidP="00841B60">
      <w:pPr>
        <w:pStyle w:val="SingleTxt"/>
        <w:numPr>
          <w:ilvl w:val="0"/>
          <w:numId w:val="8"/>
        </w:numPr>
        <w:tabs>
          <w:tab w:val="num" w:pos="2804"/>
        </w:tabs>
        <w:ind w:left="1267"/>
        <w:rPr>
          <w:lang w:val="es-ES_tradnl"/>
        </w:rPr>
      </w:pPr>
      <w:r w:rsidRPr="00D5271C">
        <w:rPr>
          <w:lang w:val="es-ES_tradnl"/>
        </w:rPr>
        <w:t>Cada tres años, el Ministro de Desarrollo Regional presenta una resolución parlamentaria sobre un plan de políticas de desarrollo regional de 15 años de duración que incluye también un programa de acción para los cinco años siguientes. Durante la elaboración del plan de políticas de desarrollo regional para el período 2022-2036 (el actual), se llevó a cabo un proyecto piloto en el que se analizaron específicamente las perspectivas de género e igualdad. Esta labor fue liderada por la Oficina de la Primera Ministra con el objetivo de integrar las perspectivas de género e igualdad en toda la planificación pública. El plan de desarrollo regional fue el primero en abordar la cuestión. Las perspectivas de género e igualdad se integran en la realización del plan de desarrollo regional y durante la toma de decisiones, y se modulan medidas específicas con el fin de promover la igualdad de género. Durante la elaboración del plan se tuvo en cuenta específicamente la situación de la igualdad de género, así como las medidas de mejora, como se pone de manifiesto en el siguiente cuadro, reproducido del libro verde sobre los planes de desarrollo regional.</w:t>
      </w:r>
    </w:p>
    <w:p w14:paraId="43779394" w14:textId="77777777" w:rsidR="00A82D34" w:rsidRPr="00D5271C" w:rsidRDefault="00A82D34" w:rsidP="00A82D34">
      <w:pPr>
        <w:pStyle w:val="SingleTxt"/>
        <w:rPr>
          <w:lang w:val="es-ES_tradnl"/>
        </w:rPr>
      </w:pPr>
    </w:p>
    <w:p w14:paraId="5D655B46" w14:textId="77777777" w:rsidR="00A82D34" w:rsidRPr="00D5271C" w:rsidRDefault="00A82D34" w:rsidP="00A82D34">
      <w:pPr>
        <w:pStyle w:val="SingleTxt"/>
        <w:rPr>
          <w:b/>
          <w:lang w:val="es-ES_tradnl"/>
        </w:rPr>
      </w:pPr>
      <w:r w:rsidRPr="00D5271C">
        <w:rPr>
          <w:lang w:val="es-ES_tradnl"/>
        </w:rPr>
        <w:br w:type="page"/>
      </w:r>
    </w:p>
    <w:p w14:paraId="146B6359" w14:textId="77777777" w:rsidR="00A82D34" w:rsidRPr="00D5271C" w:rsidRDefault="00A82D34" w:rsidP="00841B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lastRenderedPageBreak/>
        <w:tab/>
      </w:r>
      <w:r w:rsidRPr="00D5271C">
        <w:rPr>
          <w:lang w:val="es-ES_tradnl"/>
        </w:rPr>
        <w:tab/>
        <w:t>Situación actual de las cuestiones de género</w:t>
      </w:r>
    </w:p>
    <w:p w14:paraId="76CF1BC7" w14:textId="3ABC8296" w:rsidR="00A82D34" w:rsidRPr="00D5271C" w:rsidRDefault="00A82D34" w:rsidP="00841B60">
      <w:pPr>
        <w:pStyle w:val="SingleTxt"/>
        <w:spacing w:after="0" w:line="120" w:lineRule="exact"/>
        <w:rPr>
          <w:sz w:val="10"/>
          <w:lang w:val="es-ES_tradnl"/>
        </w:rPr>
      </w:pPr>
    </w:p>
    <w:p w14:paraId="6CEA91DA" w14:textId="7DEA3E78" w:rsidR="00841B60" w:rsidRPr="00D5271C" w:rsidRDefault="00841B60" w:rsidP="00841B60">
      <w:pPr>
        <w:pStyle w:val="SingleTxt"/>
        <w:spacing w:after="0" w:line="120" w:lineRule="exact"/>
        <w:rPr>
          <w:sz w:val="10"/>
          <w:lang w:val="es-ES_tradnl"/>
        </w:rPr>
      </w:pPr>
    </w:p>
    <w:tbl>
      <w:tblPr>
        <w:tblStyle w:val="TableGrid"/>
        <w:tblW w:w="8577"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59"/>
        <w:gridCol w:w="2859"/>
        <w:gridCol w:w="2859"/>
      </w:tblGrid>
      <w:tr w:rsidR="00841B60" w:rsidRPr="00D5271C" w14:paraId="05E816A1" w14:textId="77777777" w:rsidTr="00872D6B">
        <w:trPr>
          <w:tblHeader/>
        </w:trPr>
        <w:tc>
          <w:tcPr>
            <w:tcW w:w="2859" w:type="dxa"/>
            <w:tcBorders>
              <w:top w:val="single" w:sz="4" w:space="0" w:color="auto"/>
              <w:bottom w:val="single" w:sz="12" w:space="0" w:color="auto"/>
            </w:tcBorders>
            <w:shd w:val="clear" w:color="auto" w:fill="auto"/>
            <w:vAlign w:val="bottom"/>
          </w:tcPr>
          <w:p w14:paraId="48F7EA43" w14:textId="77777777" w:rsidR="00841B60" w:rsidRPr="00D5271C" w:rsidRDefault="00841B60" w:rsidP="00D52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szCs w:val="14"/>
                <w:lang w:val="es-ES_tradnl"/>
              </w:rPr>
            </w:pPr>
          </w:p>
        </w:tc>
        <w:tc>
          <w:tcPr>
            <w:tcW w:w="2859" w:type="dxa"/>
            <w:tcBorders>
              <w:top w:val="single" w:sz="4" w:space="0" w:color="auto"/>
              <w:bottom w:val="single" w:sz="12" w:space="0" w:color="auto"/>
            </w:tcBorders>
            <w:shd w:val="clear" w:color="auto" w:fill="auto"/>
            <w:vAlign w:val="bottom"/>
          </w:tcPr>
          <w:p w14:paraId="69E2DB76" w14:textId="77777777" w:rsidR="00841B60" w:rsidRPr="00D5271C" w:rsidRDefault="00841B60" w:rsidP="00D52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szCs w:val="14"/>
                <w:lang w:val="es-ES_tradnl"/>
              </w:rPr>
            </w:pPr>
            <w:r w:rsidRPr="00D5271C">
              <w:rPr>
                <w:i/>
                <w:iCs/>
                <w:sz w:val="14"/>
                <w:szCs w:val="14"/>
                <w:lang w:val="es-ES_tradnl"/>
              </w:rPr>
              <w:t>Estado</w:t>
            </w:r>
          </w:p>
        </w:tc>
        <w:tc>
          <w:tcPr>
            <w:tcW w:w="2859" w:type="dxa"/>
            <w:tcBorders>
              <w:top w:val="single" w:sz="4" w:space="0" w:color="auto"/>
              <w:bottom w:val="single" w:sz="12" w:space="0" w:color="auto"/>
            </w:tcBorders>
            <w:shd w:val="clear" w:color="auto" w:fill="auto"/>
            <w:vAlign w:val="bottom"/>
          </w:tcPr>
          <w:p w14:paraId="3F0A36E0" w14:textId="77777777" w:rsidR="00841B60" w:rsidRPr="00D5271C" w:rsidRDefault="00841B60" w:rsidP="00D52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szCs w:val="14"/>
                <w:lang w:val="es-ES_tradnl"/>
              </w:rPr>
            </w:pPr>
            <w:r w:rsidRPr="00D5271C">
              <w:rPr>
                <w:i/>
                <w:iCs/>
                <w:sz w:val="14"/>
                <w:szCs w:val="14"/>
                <w:lang w:val="es-ES_tradnl"/>
              </w:rPr>
              <w:t>Oportunidades de mejora</w:t>
            </w:r>
          </w:p>
        </w:tc>
      </w:tr>
      <w:tr w:rsidR="00841B60" w:rsidRPr="00D5271C" w14:paraId="5B4F8CA6" w14:textId="77777777" w:rsidTr="00872D6B">
        <w:trPr>
          <w:trHeight w:hRule="exact" w:val="115"/>
          <w:tblHeader/>
        </w:trPr>
        <w:tc>
          <w:tcPr>
            <w:tcW w:w="2859" w:type="dxa"/>
            <w:tcBorders>
              <w:top w:val="single" w:sz="12" w:space="0" w:color="auto"/>
            </w:tcBorders>
            <w:shd w:val="clear" w:color="auto" w:fill="auto"/>
            <w:vAlign w:val="bottom"/>
          </w:tcPr>
          <w:p w14:paraId="33B8DD81" w14:textId="77777777" w:rsidR="00841B60" w:rsidRPr="00D5271C" w:rsidRDefault="00841B60" w:rsidP="00872D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lang w:val="es-ES_tradnl"/>
              </w:rPr>
            </w:pPr>
          </w:p>
        </w:tc>
        <w:tc>
          <w:tcPr>
            <w:tcW w:w="2859" w:type="dxa"/>
            <w:tcBorders>
              <w:top w:val="single" w:sz="12" w:space="0" w:color="auto"/>
            </w:tcBorders>
            <w:shd w:val="clear" w:color="auto" w:fill="auto"/>
            <w:vAlign w:val="bottom"/>
          </w:tcPr>
          <w:p w14:paraId="56166E7C" w14:textId="77777777" w:rsidR="00841B60" w:rsidRPr="00D5271C" w:rsidRDefault="00841B60" w:rsidP="00872D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s-ES_tradnl"/>
              </w:rPr>
            </w:pPr>
          </w:p>
        </w:tc>
        <w:tc>
          <w:tcPr>
            <w:tcW w:w="2859" w:type="dxa"/>
            <w:tcBorders>
              <w:top w:val="single" w:sz="12" w:space="0" w:color="auto"/>
            </w:tcBorders>
            <w:shd w:val="clear" w:color="auto" w:fill="auto"/>
            <w:vAlign w:val="bottom"/>
          </w:tcPr>
          <w:p w14:paraId="359975F8" w14:textId="77777777" w:rsidR="00841B60" w:rsidRPr="00D5271C" w:rsidRDefault="00841B60" w:rsidP="00872D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s-ES_tradnl"/>
              </w:rPr>
            </w:pPr>
          </w:p>
        </w:tc>
      </w:tr>
      <w:tr w:rsidR="00841B60" w:rsidRPr="00D5271C" w14:paraId="52D2A5E6" w14:textId="77777777" w:rsidTr="00872D6B">
        <w:tc>
          <w:tcPr>
            <w:tcW w:w="2859" w:type="dxa"/>
            <w:shd w:val="clear" w:color="auto" w:fill="auto"/>
          </w:tcPr>
          <w:p w14:paraId="15D3A92E" w14:textId="77777777" w:rsidR="00841B60" w:rsidRPr="00D5271C" w:rsidRDefault="00841B60" w:rsidP="00841B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D5271C">
              <w:rPr>
                <w:lang w:val="es-ES_tradnl"/>
              </w:rPr>
              <w:t xml:space="preserve">Toma de decisiones </w:t>
            </w:r>
            <w:r w:rsidRPr="00D5271C">
              <w:rPr>
                <w:lang w:val="es-ES_tradnl"/>
              </w:rPr>
              <w:br/>
            </w:r>
            <w:r w:rsidRPr="00D5271C">
              <w:rPr>
                <w:i/>
                <w:iCs/>
                <w:lang w:val="es-ES_tradnl"/>
              </w:rPr>
              <w:t>Toma de decisiones sobre asuntos regionales dominada por los hombres</w:t>
            </w:r>
          </w:p>
        </w:tc>
        <w:tc>
          <w:tcPr>
            <w:tcW w:w="2859" w:type="dxa"/>
            <w:shd w:val="clear" w:color="auto" w:fill="auto"/>
          </w:tcPr>
          <w:p w14:paraId="740DFA43" w14:textId="77777777" w:rsidR="00841B60" w:rsidRPr="00D5271C" w:rsidRDefault="00841B60" w:rsidP="00841B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D5271C">
              <w:rPr>
                <w:lang w:val="es-ES_tradnl"/>
              </w:rPr>
              <w:t>El porcentaje de mujeres en los gobiernos municipales ha aumentado, pero esto no se refleja en los puestos de influencia dentro de estos gobiernos.</w:t>
            </w:r>
          </w:p>
        </w:tc>
        <w:tc>
          <w:tcPr>
            <w:tcW w:w="2859" w:type="dxa"/>
            <w:shd w:val="clear" w:color="auto" w:fill="auto"/>
          </w:tcPr>
          <w:p w14:paraId="5746D127" w14:textId="77777777" w:rsidR="00841B60" w:rsidRPr="00D5271C" w:rsidRDefault="00841B60" w:rsidP="00841B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D5271C">
              <w:rPr>
                <w:lang w:val="es-ES_tradnl"/>
              </w:rPr>
              <w:t>Existen oportunidades para aumentar el impacto de las mujeres en la toma de decisiones sobre asuntos regionales.</w:t>
            </w:r>
          </w:p>
        </w:tc>
      </w:tr>
      <w:tr w:rsidR="00841B60" w:rsidRPr="00D5271C" w14:paraId="6F523325" w14:textId="77777777" w:rsidTr="00872D6B">
        <w:tc>
          <w:tcPr>
            <w:tcW w:w="2859" w:type="dxa"/>
            <w:shd w:val="clear" w:color="auto" w:fill="auto"/>
          </w:tcPr>
          <w:p w14:paraId="7633557F" w14:textId="77777777" w:rsidR="00841B60" w:rsidRPr="00D5271C" w:rsidRDefault="00841B60" w:rsidP="00841B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D5271C">
              <w:rPr>
                <w:lang w:val="es-ES_tradnl"/>
              </w:rPr>
              <w:t>Zonas urbanas/zonas rurales</w:t>
            </w:r>
            <w:r w:rsidRPr="00D5271C">
              <w:rPr>
                <w:lang w:val="es-ES_tradnl"/>
              </w:rPr>
              <w:br/>
            </w:r>
            <w:r w:rsidRPr="00D5271C">
              <w:rPr>
                <w:i/>
                <w:iCs/>
                <w:lang w:val="es-ES_tradnl"/>
              </w:rPr>
              <w:t>Brecha mayor entre hombres y mujeres en las zonas rurales que en las urbanas</w:t>
            </w:r>
          </w:p>
        </w:tc>
        <w:tc>
          <w:tcPr>
            <w:tcW w:w="2859" w:type="dxa"/>
            <w:shd w:val="clear" w:color="auto" w:fill="auto"/>
          </w:tcPr>
          <w:p w14:paraId="2A63ED63" w14:textId="77777777" w:rsidR="00841B60" w:rsidRPr="00D5271C" w:rsidRDefault="00841B60" w:rsidP="00841B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D5271C">
              <w:rPr>
                <w:lang w:val="es-ES_tradnl"/>
              </w:rPr>
              <w:t>La emigración de las mujeres repercute negativamente en la calidad de la comunidad y es uno de los síntomas de las zonas rurales en dificultades. Muchos indicadores reflejan también que las mujeres cargan con la responsabilidad de las tareas domésticas y de cuidado no remuneradas y se dedican a ellas en mayor medida que los hombres.</w:t>
            </w:r>
          </w:p>
        </w:tc>
        <w:tc>
          <w:tcPr>
            <w:tcW w:w="2859" w:type="dxa"/>
            <w:shd w:val="clear" w:color="auto" w:fill="auto"/>
          </w:tcPr>
          <w:p w14:paraId="5696B95E" w14:textId="77777777" w:rsidR="00841B60" w:rsidRPr="00D5271C" w:rsidRDefault="00841B60" w:rsidP="00841B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D5271C">
              <w:rPr>
                <w:lang w:val="es-ES_tradnl"/>
              </w:rPr>
              <w:t>Para contrarrestar la emigración femenina de las zonas rurales, debe haber oportunidades de empleo atractivas, disponibilidad segura de vivienda, oportunidades educativas y acceso a servicios básicos, como asistencia sanitaria, guarderías y escuelas, y la organización de las conexiones de transporte debe tener en cuenta las diferentes necesidades.</w:t>
            </w:r>
          </w:p>
        </w:tc>
      </w:tr>
      <w:tr w:rsidR="00841B60" w:rsidRPr="00D5271C" w14:paraId="386BB6E1" w14:textId="77777777" w:rsidTr="00872D6B">
        <w:tc>
          <w:tcPr>
            <w:tcW w:w="2859" w:type="dxa"/>
            <w:shd w:val="clear" w:color="auto" w:fill="auto"/>
          </w:tcPr>
          <w:p w14:paraId="3F811724" w14:textId="74AB8318" w:rsidR="00841B60" w:rsidRPr="00D5271C" w:rsidRDefault="00841B60" w:rsidP="00841B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i/>
                <w:iCs/>
                <w:lang w:val="es-ES_tradnl"/>
              </w:rPr>
            </w:pPr>
            <w:r w:rsidRPr="00D5271C">
              <w:rPr>
                <w:lang w:val="es-ES_tradnl"/>
              </w:rPr>
              <w:t xml:space="preserve">Empleo </w:t>
            </w:r>
            <w:r w:rsidRPr="00D5271C">
              <w:rPr>
                <w:lang w:val="es-ES_tradnl"/>
              </w:rPr>
              <w:br/>
            </w:r>
            <w:r w:rsidRPr="00D5271C">
              <w:rPr>
                <w:i/>
                <w:iCs/>
                <w:lang w:val="es-ES_tradnl"/>
              </w:rPr>
              <w:t>Diferenciación por género en</w:t>
            </w:r>
            <w:r w:rsidR="004D17E5" w:rsidRPr="00D5271C">
              <w:rPr>
                <w:i/>
                <w:iCs/>
                <w:lang w:val="es-ES_tradnl"/>
              </w:rPr>
              <w:t> </w:t>
            </w:r>
            <w:r w:rsidRPr="00D5271C">
              <w:rPr>
                <w:i/>
                <w:iCs/>
                <w:lang w:val="es-ES_tradnl"/>
              </w:rPr>
              <w:t>Islandia</w:t>
            </w:r>
          </w:p>
        </w:tc>
        <w:tc>
          <w:tcPr>
            <w:tcW w:w="2859" w:type="dxa"/>
            <w:shd w:val="clear" w:color="auto" w:fill="auto"/>
          </w:tcPr>
          <w:p w14:paraId="56618DED" w14:textId="77777777" w:rsidR="00841B60" w:rsidRPr="00D5271C" w:rsidRDefault="00841B60" w:rsidP="00841B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D5271C">
              <w:rPr>
                <w:lang w:val="es-ES_tradnl"/>
              </w:rPr>
              <w:t>El empleo seguro es la premisa básica para la residencia, y el desequilibrio de género en las zonas rurales está estrechamente vinculado con las variables oportunidades de empleo para los sexos fuera de la zona de la capital. La brecha de género existente en las zonas rurales también está causada por el hecho de que los empleos tienden a estar vinculados a sectores orientados a los hombres, como las industrias primarias, la pesca, la agricultura y los ámbitos industriales. Por su parte, las mujeres suelen ocupar puestos en el sector turístico, la sanidad y la función pública. La falta de diversidad en el empleo tiene un fuerte impacto en la emigración femenina de las zonas rurales.</w:t>
            </w:r>
          </w:p>
        </w:tc>
        <w:tc>
          <w:tcPr>
            <w:tcW w:w="2859" w:type="dxa"/>
            <w:shd w:val="clear" w:color="auto" w:fill="auto"/>
          </w:tcPr>
          <w:p w14:paraId="778EB2BB" w14:textId="77777777" w:rsidR="00841B60" w:rsidRPr="00D5271C" w:rsidRDefault="00841B60" w:rsidP="00841B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D5271C">
              <w:rPr>
                <w:lang w:val="es-ES_tradnl"/>
              </w:rPr>
              <w:t xml:space="preserve">Existen oportunidades para incluir mejor a las mujeres a través de la innovación, las subvenciones, el trabajo en lugares flexibles, los cargos públicos, etc. </w:t>
            </w:r>
          </w:p>
        </w:tc>
      </w:tr>
      <w:tr w:rsidR="00841B60" w:rsidRPr="00D5271C" w14:paraId="39D537B0" w14:textId="77777777" w:rsidTr="00872D6B">
        <w:tc>
          <w:tcPr>
            <w:tcW w:w="2859" w:type="dxa"/>
            <w:shd w:val="clear" w:color="auto" w:fill="auto"/>
          </w:tcPr>
          <w:p w14:paraId="1753B4D3" w14:textId="77777777" w:rsidR="00841B60" w:rsidRPr="00D5271C" w:rsidRDefault="00841B60" w:rsidP="00D5271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D5271C">
              <w:rPr>
                <w:lang w:val="es-ES_tradnl"/>
              </w:rPr>
              <w:t>Subvenciones y fondos</w:t>
            </w:r>
            <w:r w:rsidRPr="00D5271C">
              <w:rPr>
                <w:lang w:val="es-ES_tradnl"/>
              </w:rPr>
              <w:br/>
            </w:r>
            <w:r w:rsidRPr="00D5271C">
              <w:rPr>
                <w:i/>
                <w:iCs/>
                <w:lang w:val="es-ES_tradnl"/>
              </w:rPr>
              <w:t>Menos acceso al crédito para las mujeres</w:t>
            </w:r>
          </w:p>
        </w:tc>
        <w:tc>
          <w:tcPr>
            <w:tcW w:w="2859" w:type="dxa"/>
            <w:shd w:val="clear" w:color="auto" w:fill="auto"/>
          </w:tcPr>
          <w:p w14:paraId="014CC964" w14:textId="77777777" w:rsidR="00841B60" w:rsidRPr="00D5271C" w:rsidRDefault="00841B60" w:rsidP="00D5271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es-ES_tradnl"/>
              </w:rPr>
            </w:pPr>
            <w:r w:rsidRPr="00D5271C">
              <w:rPr>
                <w:lang w:val="es-ES_tradnl"/>
              </w:rPr>
              <w:t xml:space="preserve">Existe un desequilibrio de género cuando se trata de fondos prestados y subvenciones relacionadas con </w:t>
            </w:r>
            <w:r w:rsidRPr="00D5271C">
              <w:rPr>
                <w:lang w:val="es-ES_tradnl"/>
              </w:rPr>
              <w:lastRenderedPageBreak/>
              <w:t xml:space="preserve">asuntos regionales. Puede que el porcentaje de éxito sea igual, pero el hecho de que las mujeres tengan menos probabilidades de presentar solicitudes que los hombres indica que los fondos no tienen en cuenta las necesidades y los intereses específicos de las mujeres. </w:t>
            </w:r>
          </w:p>
        </w:tc>
        <w:tc>
          <w:tcPr>
            <w:tcW w:w="2859" w:type="dxa"/>
            <w:shd w:val="clear" w:color="auto" w:fill="auto"/>
          </w:tcPr>
          <w:p w14:paraId="79D6A06C" w14:textId="77777777" w:rsidR="00841B60" w:rsidRPr="00D5271C" w:rsidRDefault="00841B60" w:rsidP="00D5271C">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lang w:val="es-ES_tradnl"/>
              </w:rPr>
            </w:pPr>
            <w:r w:rsidRPr="00D5271C">
              <w:rPr>
                <w:lang w:val="es-ES_tradnl"/>
              </w:rPr>
              <w:lastRenderedPageBreak/>
              <w:t xml:space="preserve">Hay que tener en cuenta la diferencia de énfasis entre ambos sexos, ya que puede existir una disparidad </w:t>
            </w:r>
            <w:r w:rsidRPr="00D5271C">
              <w:rPr>
                <w:lang w:val="es-ES_tradnl"/>
              </w:rPr>
              <w:lastRenderedPageBreak/>
              <w:t xml:space="preserve">inherente en cuanto a los criterios y la evaluación a la hora de acceder a préstamos y subvenciones. </w:t>
            </w:r>
          </w:p>
        </w:tc>
      </w:tr>
      <w:tr w:rsidR="00841B60" w:rsidRPr="00D5271C" w14:paraId="172DC864" w14:textId="77777777" w:rsidTr="00872D6B">
        <w:tc>
          <w:tcPr>
            <w:tcW w:w="2859" w:type="dxa"/>
            <w:shd w:val="clear" w:color="auto" w:fill="auto"/>
          </w:tcPr>
          <w:p w14:paraId="43C621E5" w14:textId="77777777" w:rsidR="00841B60" w:rsidRPr="00D5271C" w:rsidRDefault="00841B60" w:rsidP="00841B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D5271C">
              <w:rPr>
                <w:lang w:val="es-ES_tradnl"/>
              </w:rPr>
              <w:lastRenderedPageBreak/>
              <w:t>Carácter comunitario</w:t>
            </w:r>
            <w:r w:rsidRPr="00D5271C">
              <w:rPr>
                <w:lang w:val="es-ES_tradnl"/>
              </w:rPr>
              <w:br/>
            </w:r>
            <w:r w:rsidRPr="00D5271C">
              <w:rPr>
                <w:i/>
                <w:iCs/>
                <w:lang w:val="es-ES_tradnl"/>
              </w:rPr>
              <w:t>Diferencias de género en la evaluación de estos aspectos</w:t>
            </w:r>
          </w:p>
        </w:tc>
        <w:tc>
          <w:tcPr>
            <w:tcW w:w="2859" w:type="dxa"/>
            <w:shd w:val="clear" w:color="auto" w:fill="auto"/>
          </w:tcPr>
          <w:p w14:paraId="230F288F" w14:textId="77777777" w:rsidR="00841B60" w:rsidRPr="00D5271C" w:rsidRDefault="00841B60" w:rsidP="00841B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D5271C">
              <w:rPr>
                <w:lang w:val="es-ES_tradnl"/>
              </w:rPr>
              <w:t>A la hora de elegir dónde fijar su residencia, el carácter comunitario y un entorno favorable a los niños son especialmente importantes para las mujeres.</w:t>
            </w:r>
          </w:p>
        </w:tc>
        <w:tc>
          <w:tcPr>
            <w:tcW w:w="2859" w:type="dxa"/>
            <w:shd w:val="clear" w:color="auto" w:fill="auto"/>
          </w:tcPr>
          <w:p w14:paraId="1793ABAD" w14:textId="77777777" w:rsidR="00841B60" w:rsidRPr="00D5271C" w:rsidRDefault="00841B60" w:rsidP="00841B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D5271C">
              <w:rPr>
                <w:lang w:val="es-ES_tradnl"/>
              </w:rPr>
              <w:t>En cuanto a la residencia y las comunidades, el carácter de la comunidad, la posibilidad de integrar el empleo y la vida familiar, las facilidades con respecto a los niños, el acceso a la educación, la cultura y la vivienda son factores importantes para tener en cuenta.</w:t>
            </w:r>
          </w:p>
        </w:tc>
      </w:tr>
      <w:tr w:rsidR="00841B60" w:rsidRPr="00D5271C" w14:paraId="728DB21B" w14:textId="77777777" w:rsidTr="00872D6B">
        <w:tc>
          <w:tcPr>
            <w:tcW w:w="2859" w:type="dxa"/>
            <w:tcBorders>
              <w:bottom w:val="single" w:sz="12" w:space="0" w:color="auto"/>
            </w:tcBorders>
            <w:shd w:val="clear" w:color="auto" w:fill="auto"/>
          </w:tcPr>
          <w:p w14:paraId="526D752D" w14:textId="77777777" w:rsidR="00841B60" w:rsidRPr="00D5271C" w:rsidRDefault="00841B60" w:rsidP="00D52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362"/>
              <w:jc w:val="left"/>
              <w:rPr>
                <w:lang w:val="es-ES_tradnl"/>
              </w:rPr>
            </w:pPr>
            <w:r w:rsidRPr="00D5271C">
              <w:rPr>
                <w:lang w:val="es-ES_tradnl"/>
              </w:rPr>
              <w:t>Conexiones de transporte</w:t>
            </w:r>
            <w:r w:rsidRPr="00D5271C">
              <w:rPr>
                <w:lang w:val="es-ES_tradnl"/>
              </w:rPr>
              <w:br/>
            </w:r>
            <w:r w:rsidRPr="00D5271C">
              <w:rPr>
                <w:i/>
                <w:iCs/>
                <w:lang w:val="es-ES_tradnl"/>
              </w:rPr>
              <w:t>Diferentes necesidades según el género</w:t>
            </w:r>
          </w:p>
        </w:tc>
        <w:tc>
          <w:tcPr>
            <w:tcW w:w="2859" w:type="dxa"/>
            <w:tcBorders>
              <w:bottom w:val="single" w:sz="12" w:space="0" w:color="auto"/>
            </w:tcBorders>
            <w:shd w:val="clear" w:color="auto" w:fill="auto"/>
          </w:tcPr>
          <w:p w14:paraId="4C3518D0" w14:textId="77777777" w:rsidR="00841B60" w:rsidRPr="00D5271C" w:rsidRDefault="00841B60" w:rsidP="00841B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D5271C">
              <w:rPr>
                <w:lang w:val="es-ES_tradnl"/>
              </w:rPr>
              <w:t>En general, las mujeres dedican menos tiempo a desplazarse al trabajo que los hombres. Las mujeres suelen trabajar más cerca de casa, mientras que los hombres se desplazan más que ellas para ir y volver del trabajo.</w:t>
            </w:r>
          </w:p>
        </w:tc>
        <w:tc>
          <w:tcPr>
            <w:tcW w:w="2859" w:type="dxa"/>
            <w:tcBorders>
              <w:bottom w:val="single" w:sz="12" w:space="0" w:color="auto"/>
            </w:tcBorders>
            <w:shd w:val="clear" w:color="auto" w:fill="auto"/>
          </w:tcPr>
          <w:p w14:paraId="2C05B8C2" w14:textId="77777777" w:rsidR="00841B60" w:rsidRPr="00D5271C" w:rsidRDefault="00841B60" w:rsidP="00841B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D5271C">
              <w:rPr>
                <w:lang w:val="es-ES_tradnl"/>
              </w:rPr>
              <w:t xml:space="preserve">Las decisiones sobre los desplazamientos se toman en función de las distintas necesidades y se debe tener especialmente en cuenta las necesidades de las mujeres cuando se organizan las conexiones de transporte, sobre todo en las zonas más rurales. </w:t>
            </w:r>
          </w:p>
        </w:tc>
      </w:tr>
    </w:tbl>
    <w:p w14:paraId="1E6B7F8D" w14:textId="14F8B859" w:rsidR="00841B60" w:rsidRPr="00D5271C" w:rsidRDefault="00841B60" w:rsidP="00841B60">
      <w:pPr>
        <w:pStyle w:val="SingleTxt"/>
        <w:spacing w:after="0" w:line="120" w:lineRule="exact"/>
        <w:rPr>
          <w:sz w:val="10"/>
          <w:lang w:val="es-ES_tradnl"/>
        </w:rPr>
      </w:pPr>
    </w:p>
    <w:p w14:paraId="24C4F19F" w14:textId="32761896" w:rsidR="00841B60" w:rsidRPr="00D5271C" w:rsidRDefault="00841B60" w:rsidP="00841B60">
      <w:pPr>
        <w:pStyle w:val="SingleTxt"/>
        <w:spacing w:after="0" w:line="120" w:lineRule="exact"/>
        <w:rPr>
          <w:sz w:val="10"/>
          <w:lang w:val="es-ES_tradnl"/>
        </w:rPr>
      </w:pPr>
    </w:p>
    <w:p w14:paraId="239FF68D" w14:textId="77777777" w:rsidR="00A82D34" w:rsidRPr="00D5271C" w:rsidRDefault="00A82D34" w:rsidP="00841B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19 de la lista de cuestiones y preguntas</w:t>
      </w:r>
    </w:p>
    <w:p w14:paraId="4AC25517" w14:textId="2DD9F99E" w:rsidR="00A82D34" w:rsidRPr="00D5271C" w:rsidRDefault="00A82D34" w:rsidP="00841B60">
      <w:pPr>
        <w:pStyle w:val="SingleTxt"/>
        <w:spacing w:after="0" w:line="120" w:lineRule="exact"/>
        <w:rPr>
          <w:sz w:val="10"/>
          <w:lang w:val="es-ES_tradnl"/>
        </w:rPr>
      </w:pPr>
    </w:p>
    <w:p w14:paraId="1E49FC3D" w14:textId="175E81D6" w:rsidR="00841B60" w:rsidRPr="00D5271C" w:rsidRDefault="00841B60" w:rsidP="00841B60">
      <w:pPr>
        <w:pStyle w:val="SingleTxt"/>
        <w:spacing w:after="0" w:line="120" w:lineRule="exact"/>
        <w:rPr>
          <w:sz w:val="10"/>
          <w:lang w:val="es-ES_tradnl"/>
        </w:rPr>
      </w:pPr>
    </w:p>
    <w:p w14:paraId="72895E3A" w14:textId="2CDD4D15" w:rsidR="00A82D34" w:rsidRPr="00D5271C" w:rsidRDefault="00A82D34" w:rsidP="00841B60">
      <w:pPr>
        <w:pStyle w:val="SingleTxt"/>
        <w:numPr>
          <w:ilvl w:val="0"/>
          <w:numId w:val="8"/>
        </w:numPr>
        <w:ind w:left="1267"/>
        <w:rPr>
          <w:lang w:val="es-ES_tradnl"/>
        </w:rPr>
      </w:pPr>
      <w:r w:rsidRPr="00D5271C">
        <w:rPr>
          <w:lang w:val="es-ES_tradnl"/>
        </w:rPr>
        <w:t xml:space="preserve">Los valores fundamentales de la política islandesa de adaptación al cambio climático </w:t>
      </w:r>
      <w:r w:rsidRPr="00D5271C">
        <w:rPr>
          <w:spacing w:val="3"/>
          <w:lang w:val="es-ES_tradnl"/>
        </w:rPr>
        <w:t>son un reflejo de la presunción de que se tienen en cuenta “diversos escenarios con los peores casos y las peores consecuencias sociales del cambio climático, entre otras cosas, especialmente en lo que respecta a los grupos vulnerables; […] la conexión entre los riesgos climáticos y la justicia social y la salud pública” y los objetivos básicos también reflejan</w:t>
      </w:r>
      <w:r w:rsidRPr="00D5271C">
        <w:rPr>
          <w:lang w:val="es-ES_tradnl"/>
        </w:rPr>
        <w:t xml:space="preserve"> que las medidas de adaptación deben diseñarse de tal manera que “garanticen un resultado de adaptación justo y equitativo”.</w:t>
      </w:r>
    </w:p>
    <w:p w14:paraId="1AF0DE2B" w14:textId="40E2F492" w:rsidR="00A82D34" w:rsidRPr="00D5271C" w:rsidRDefault="00A82D34" w:rsidP="00841B60">
      <w:pPr>
        <w:pStyle w:val="SingleTxt"/>
        <w:numPr>
          <w:ilvl w:val="0"/>
          <w:numId w:val="8"/>
        </w:numPr>
        <w:tabs>
          <w:tab w:val="num" w:pos="2804"/>
        </w:tabs>
        <w:ind w:left="1267"/>
        <w:rPr>
          <w:lang w:val="es-ES_tradnl"/>
        </w:rPr>
      </w:pPr>
      <w:r w:rsidRPr="00D5271C">
        <w:rPr>
          <w:lang w:val="es-ES_tradnl"/>
        </w:rPr>
        <w:t>La política también hace numerosas referencias a las personas vulnerables a los efectos del cambio climático: grupos de personas que deben ser identificados, consultados y apoyados en relación con el cambio climático y las medidas adoptadas como respuesta.</w:t>
      </w:r>
    </w:p>
    <w:p w14:paraId="74013BDA" w14:textId="77777777" w:rsidR="00143C26" w:rsidRPr="00D5271C" w:rsidRDefault="00143C26">
      <w:pPr>
        <w:suppressAutoHyphens w:val="0"/>
        <w:spacing w:after="200" w:line="276" w:lineRule="auto"/>
        <w:rPr>
          <w:kern w:val="14"/>
          <w:lang w:val="es-ES_tradnl"/>
        </w:rPr>
      </w:pPr>
      <w:r w:rsidRPr="00D5271C">
        <w:rPr>
          <w:lang w:val="es-ES_tradnl"/>
        </w:rPr>
        <w:br w:type="page"/>
      </w:r>
    </w:p>
    <w:p w14:paraId="2587DE48" w14:textId="00E533CF" w:rsidR="00A82D34" w:rsidRPr="00D5271C" w:rsidRDefault="00A82D34" w:rsidP="00841B60">
      <w:pPr>
        <w:pStyle w:val="SingleTxt"/>
        <w:numPr>
          <w:ilvl w:val="0"/>
          <w:numId w:val="8"/>
        </w:numPr>
        <w:tabs>
          <w:tab w:val="num" w:pos="2804"/>
        </w:tabs>
        <w:ind w:left="1267"/>
        <w:rPr>
          <w:lang w:val="es-ES_tradnl"/>
        </w:rPr>
      </w:pPr>
      <w:r w:rsidRPr="00D5271C">
        <w:rPr>
          <w:lang w:val="es-ES_tradnl"/>
        </w:rPr>
        <w:t>Con la intención de integrar la perspectiva de género y la igualdad, el género es una de las variables fundamentales que se tienen en cuenta a la hora de diseñar y aplicar medidas, y es por tanto un tema central en la política islandesa de adaptación al cambio climático.</w:t>
      </w:r>
    </w:p>
    <w:p w14:paraId="68672EA5" w14:textId="43B15717" w:rsidR="00A82D34" w:rsidRPr="00D5271C" w:rsidRDefault="00A82D34" w:rsidP="00841B60">
      <w:pPr>
        <w:pStyle w:val="SingleTxt"/>
        <w:numPr>
          <w:ilvl w:val="0"/>
          <w:numId w:val="8"/>
        </w:numPr>
        <w:tabs>
          <w:tab w:val="num" w:pos="2804"/>
        </w:tabs>
        <w:ind w:left="1267"/>
        <w:rPr>
          <w:lang w:val="es-ES_tradnl"/>
        </w:rPr>
      </w:pPr>
      <w:r w:rsidRPr="00D5271C">
        <w:rPr>
          <w:lang w:val="es-ES_tradnl"/>
        </w:rPr>
        <w:lastRenderedPageBreak/>
        <w:t>La Estrategia de Adaptación al Cambio Climático de Islandia incluye entre sus valores fundamentales “diversos escenarios con los peores casos y las peores consecuencias sociales del cambio climático, entre otras cosas, especialmente en lo que respecta a los grupos vulnerables”; “la conexión entre los riesgos climáticos y la justicia social y la salud pública”; además, como parte de sus objetivos principales, la Estrategia se compromete a diseñar medidas de adaptación que “contribuyan a una adaptación justa”.</w:t>
      </w:r>
    </w:p>
    <w:p w14:paraId="59755C83" w14:textId="41BBF21C" w:rsidR="00A82D34" w:rsidRPr="00D5271C" w:rsidRDefault="00A82D34" w:rsidP="00841B60">
      <w:pPr>
        <w:pStyle w:val="SingleTxt"/>
        <w:spacing w:after="0" w:line="120" w:lineRule="exact"/>
        <w:rPr>
          <w:sz w:val="10"/>
          <w:lang w:val="es-ES_tradnl"/>
        </w:rPr>
      </w:pPr>
    </w:p>
    <w:p w14:paraId="6243F629" w14:textId="64476280" w:rsidR="00841B60" w:rsidRPr="00D5271C" w:rsidRDefault="00841B60" w:rsidP="00841B60">
      <w:pPr>
        <w:pStyle w:val="SingleTxt"/>
        <w:spacing w:after="0" w:line="120" w:lineRule="exact"/>
        <w:rPr>
          <w:sz w:val="10"/>
          <w:lang w:val="es-ES_tradnl"/>
        </w:rPr>
      </w:pPr>
    </w:p>
    <w:p w14:paraId="4F5F8B92" w14:textId="77777777" w:rsidR="00A82D34" w:rsidRPr="00D5271C" w:rsidRDefault="00A82D34" w:rsidP="00841B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271C">
        <w:rPr>
          <w:lang w:val="es-ES_tradnl"/>
        </w:rPr>
        <w:tab/>
      </w:r>
      <w:r w:rsidRPr="00D5271C">
        <w:rPr>
          <w:lang w:val="es-ES_tradnl"/>
        </w:rPr>
        <w:tab/>
        <w:t>Respuesta al párrafo 20 de la lista de cuestiones y preguntas</w:t>
      </w:r>
    </w:p>
    <w:p w14:paraId="1F7A3F33" w14:textId="6EA2718A" w:rsidR="00A82D34" w:rsidRPr="00D5271C" w:rsidRDefault="00A82D34" w:rsidP="00841B60">
      <w:pPr>
        <w:pStyle w:val="SingleTxt"/>
        <w:spacing w:after="0" w:line="120" w:lineRule="exact"/>
        <w:rPr>
          <w:sz w:val="10"/>
          <w:lang w:val="es-ES_tradnl"/>
        </w:rPr>
      </w:pPr>
    </w:p>
    <w:p w14:paraId="68EAAD65" w14:textId="0E0AFC0C" w:rsidR="00841B60" w:rsidRPr="00D5271C" w:rsidRDefault="00841B60" w:rsidP="00841B60">
      <w:pPr>
        <w:pStyle w:val="SingleTxt"/>
        <w:spacing w:after="0" w:line="120" w:lineRule="exact"/>
        <w:rPr>
          <w:sz w:val="10"/>
          <w:lang w:val="es-ES_tradnl"/>
        </w:rPr>
      </w:pPr>
    </w:p>
    <w:p w14:paraId="72ED79C5" w14:textId="72D11A30" w:rsidR="00A82D34" w:rsidRPr="00D5271C" w:rsidRDefault="00A82D34" w:rsidP="00841B60">
      <w:pPr>
        <w:pStyle w:val="SingleTxt"/>
        <w:numPr>
          <w:ilvl w:val="0"/>
          <w:numId w:val="8"/>
        </w:numPr>
        <w:ind w:left="1267"/>
        <w:rPr>
          <w:lang w:val="es-ES_tradnl"/>
        </w:rPr>
      </w:pPr>
      <w:r w:rsidRPr="00D5271C">
        <w:rPr>
          <w:lang w:val="es-ES_tradnl"/>
        </w:rPr>
        <w:t>Véanse a este respecto los párrafos 211 y 212 del noveno informe periódico de Islandia. En junio de 2022 el Althingi aprobó el proyecto de ley de modificación de la Ley de Matrimonios núm. 31/1993, presentado por el Ministro de Justicia. Se modificaron varias disposiciones de la Ley de Matrimonios, como la relativa a la exención del requisito de edad mínima para contraer matrimonio, con el fin de armonizar la legislación sobre el matrimonio con las recomendaciones y criterios internacionales al respecto. También se promulgó el principio de aplicación en Islandia con respecto al reconocimiento de los matrimonios celebrados en el extranjero, siempre y cuando el matrimonio se haya contraído de acuerdo con la legislación del país en el que tuvo lugar en lo referente a su admisibilidad y las normas para su celebración. En cualquier caso, los matrimonios celebrados en el extranjero no serán reconocidos en Islandia si uno o ambos contrayentes eran menores de 18</w:t>
      </w:r>
      <w:r w:rsidR="004D17E5" w:rsidRPr="00D5271C">
        <w:rPr>
          <w:lang w:val="es-ES_tradnl"/>
        </w:rPr>
        <w:t> </w:t>
      </w:r>
      <w:r w:rsidRPr="00D5271C">
        <w:rPr>
          <w:lang w:val="es-ES_tradnl"/>
        </w:rPr>
        <w:t>años en el momento de la celebración. En circunstancias especiales y cuando redunde claramente en beneficio de la parte menor de 18 años, el matrimonio podrá ser reconocido en Islandia si la parte en cuestión tenía 16 años en el momento de la celebración y si el matrimonio está reconocido en el país donde se celebró. No se reconocerá ningún matrimonio que en otros aspectos sea contrario a los principios del sistema jurídico o al orden público de Islandia.</w:t>
      </w:r>
    </w:p>
    <w:p w14:paraId="1B656365" w14:textId="6AA1B1D0" w:rsidR="00A82D34" w:rsidRPr="00D5271C" w:rsidRDefault="00A82D34" w:rsidP="00841B60">
      <w:pPr>
        <w:pStyle w:val="SingleTxt"/>
        <w:numPr>
          <w:ilvl w:val="0"/>
          <w:numId w:val="8"/>
        </w:numPr>
        <w:tabs>
          <w:tab w:val="num" w:pos="2804"/>
        </w:tabs>
        <w:ind w:left="1267"/>
        <w:rPr>
          <w:lang w:val="es-ES_tradnl"/>
        </w:rPr>
      </w:pPr>
      <w:r w:rsidRPr="00D5271C">
        <w:rPr>
          <w:lang w:val="es-ES_tradnl"/>
        </w:rPr>
        <w:t>También se introdujeron modificaciones en la Ley de Matrimonios núm. 31/1993 a través de un proyecto de ley presentado por parlamentarios y aprobado en junio de 2022. El proyecto de ley introduce varias modificaciones en la Ley de Matrimonios, como el plazo para la separación legal, la separación legal por violencia doméstica, la mediación en virtud de la Ley, como autorizar las mediaciones entre los miembros de la pareja por separado, y que las parejas casadas puedan obtener el divorcio legalmente sin tener que solicitar antes la separación legal en el caso de que ambos estén de acuerdo, cuando no haya bienes comunes ni hijos menores de 18 años, o cuando la pareja haya llegado a un acuerdo en lo que respecta a la custodia de los hijos, la pensión alimenticia y otras condiciones del divorcio. El proyecto de ley aclara que la finalidad de las modificaciones mencionadas es, entre otras cosas, reforzar la posición de las víctimas de la violencia y garantizar su derecho a poner fin al matrimonio. Estas modificaciones entrarán en vigor el 1 de julio de 2023.</w:t>
      </w:r>
    </w:p>
    <w:p w14:paraId="1BA2D1AA" w14:textId="582F6116" w:rsidR="00A82D34" w:rsidRPr="00D5271C" w:rsidRDefault="00A82D34" w:rsidP="00841B60">
      <w:pPr>
        <w:pStyle w:val="SingleTxt"/>
        <w:numPr>
          <w:ilvl w:val="0"/>
          <w:numId w:val="8"/>
        </w:numPr>
        <w:tabs>
          <w:tab w:val="num" w:pos="2804"/>
        </w:tabs>
        <w:ind w:left="1267"/>
        <w:rPr>
          <w:lang w:val="es-ES_tradnl"/>
        </w:rPr>
      </w:pPr>
      <w:r w:rsidRPr="00D5271C">
        <w:rPr>
          <w:lang w:val="es-ES_tradnl"/>
        </w:rPr>
        <w:t>El proyecto de ley proponía dos formas de poner fin a un matrimonio por motivos de violencia doméstica:</w:t>
      </w:r>
    </w:p>
    <w:p w14:paraId="50523488" w14:textId="77777777" w:rsidR="00A82D34" w:rsidRPr="00D5271C" w:rsidRDefault="00A82D34" w:rsidP="00A82D34">
      <w:pPr>
        <w:pStyle w:val="SingleTxt"/>
        <w:rPr>
          <w:lang w:val="es-ES_tradnl"/>
        </w:rPr>
      </w:pPr>
      <w:r w:rsidRPr="00D5271C">
        <w:rPr>
          <w:lang w:val="es-ES_tradnl"/>
        </w:rPr>
        <w:tab/>
        <w:t>a)</w:t>
      </w:r>
      <w:r w:rsidRPr="00D5271C">
        <w:rPr>
          <w:lang w:val="es-ES_tradnl"/>
        </w:rPr>
        <w:tab/>
        <w:t>Por un lado, una parte puede solicitar el divorcio legal sin tener que solicitar antes la separación judicial a través del comisionado de distrito si la otra parte admite su violación o si hubiera sido condenada;</w:t>
      </w:r>
    </w:p>
    <w:p w14:paraId="7CB63412" w14:textId="77777777" w:rsidR="00A82D34" w:rsidRPr="00D5271C" w:rsidRDefault="00A82D34" w:rsidP="00A82D34">
      <w:pPr>
        <w:pStyle w:val="SingleTxt"/>
        <w:rPr>
          <w:lang w:val="es-ES_tradnl"/>
        </w:rPr>
      </w:pPr>
      <w:r w:rsidRPr="00D5271C">
        <w:rPr>
          <w:lang w:val="es-ES_tradnl"/>
        </w:rPr>
        <w:tab/>
        <w:t>b)</w:t>
      </w:r>
      <w:r w:rsidRPr="00D5271C">
        <w:rPr>
          <w:lang w:val="es-ES_tradnl"/>
        </w:rPr>
        <w:tab/>
        <w:t xml:space="preserve">Por otro lado, una parte puede solicitar el divorcio legal sin tener que solicitar la separación judicial si los registros policiales confirman llamadas de urgencia a la policía por violencia doméstica u otros datos, como partes de lesiones o informes psicológicos, que indiquen que la parte que solicita el divorcio, o un hijo que vive en el hogar, ha sido objeto de violencia por la otra parte, o cuando una apreciación global de la situación y de la información disponible por otros motivos </w:t>
      </w:r>
      <w:r w:rsidRPr="00D5271C">
        <w:rPr>
          <w:lang w:val="es-ES_tradnl"/>
        </w:rPr>
        <w:lastRenderedPageBreak/>
        <w:t>permita asumir que la parte que solicita el divorcio, o un hijo que vive en el hogar, ha sido objeto de violencia por la otra parte. Estos casos se gestionan mediante un procedimiento acelerado ante los tribunales.</w:t>
      </w:r>
      <w:bookmarkStart w:id="1" w:name="BeginPage"/>
      <w:bookmarkEnd w:id="1"/>
    </w:p>
    <w:p w14:paraId="18AF78DD" w14:textId="158A053A" w:rsidR="0037567F" w:rsidRPr="00D5271C" w:rsidRDefault="00A82D34" w:rsidP="00841B60">
      <w:pPr>
        <w:pStyle w:val="SingleTxt"/>
        <w:numPr>
          <w:ilvl w:val="0"/>
          <w:numId w:val="8"/>
        </w:numPr>
        <w:ind w:left="1267"/>
        <w:rPr>
          <w:lang w:val="es-ES_tradnl"/>
        </w:rPr>
      </w:pPr>
      <w:r w:rsidRPr="00D5271C">
        <w:rPr>
          <w:lang w:val="es-ES_tradnl"/>
        </w:rPr>
        <w:t>A pesar de las modificaciones mencionadas, está previsto realizar una revisión exhaustiva de la Ley de Matrimonios en un futuro próximo.</w:t>
      </w:r>
    </w:p>
    <w:p w14:paraId="6AF730F9" w14:textId="3D22B88A" w:rsidR="00841B60" w:rsidRPr="00D5271C" w:rsidRDefault="00841B60" w:rsidP="00841B60">
      <w:pPr>
        <w:pStyle w:val="SingleTxt"/>
        <w:rPr>
          <w:lang w:val="es-ES_tradnl"/>
        </w:rPr>
      </w:pPr>
      <w:r w:rsidRPr="00D5271C">
        <w:rPr>
          <w:noProof/>
          <w:w w:val="100"/>
          <w:lang w:val="es-ES_tradnl"/>
        </w:rPr>
        <mc:AlternateContent>
          <mc:Choice Requires="wps">
            <w:drawing>
              <wp:anchor distT="0" distB="0" distL="114300" distR="114300" simplePos="0" relativeHeight="251660288" behindDoc="0" locked="0" layoutInCell="1" allowOverlap="1" wp14:anchorId="780E6AD5" wp14:editId="4C83189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3BDFB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841B60" w:rsidRPr="00D5271C" w:rsidSect="00172BB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5-04T15:24:00Z" w:initials="Start">
    <w:p w14:paraId="021ECFC8" w14:textId="77777777" w:rsidR="00600EE3" w:rsidRPr="00172BBF" w:rsidRDefault="00600EE3">
      <w:pPr>
        <w:pStyle w:val="CommentText"/>
        <w:rPr>
          <w:lang w:val="en-US"/>
        </w:rPr>
      </w:pPr>
      <w:r>
        <w:rPr>
          <w:rStyle w:val="CommentReference"/>
        </w:rPr>
        <w:annotationRef/>
      </w:r>
      <w:r w:rsidRPr="00172BBF">
        <w:rPr>
          <w:lang w:val="en-US"/>
        </w:rPr>
        <w:t>&lt;&lt;ODS JOB NO&gt;&gt;N2309873S&lt;&lt;ODS JOB NO&gt;&gt;</w:t>
      </w:r>
    </w:p>
    <w:p w14:paraId="28EA2F5B" w14:textId="77777777" w:rsidR="00600EE3" w:rsidRDefault="00600EE3">
      <w:pPr>
        <w:pStyle w:val="CommentText"/>
      </w:pPr>
      <w:r>
        <w:t>&lt;&lt;ODS DOC SYMBOL1&gt;&gt;CEDAW/C/ISL/RQ/9&lt;&lt;ODS DOC SYMBOL1&gt;&gt;</w:t>
      </w:r>
    </w:p>
    <w:p w14:paraId="1386D17F" w14:textId="3B277D9E" w:rsidR="00600EE3" w:rsidRDefault="00600EE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386D17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E4C92" w16cex:dateUtc="2023-05-04T19: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86D17F" w16cid:durableId="27FE4C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7A235" w14:textId="77777777" w:rsidR="00A22076" w:rsidRDefault="00A22076" w:rsidP="00101B18">
      <w:r>
        <w:separator/>
      </w:r>
    </w:p>
  </w:endnote>
  <w:endnote w:type="continuationSeparator" w:id="0">
    <w:p w14:paraId="224C9B98" w14:textId="77777777" w:rsidR="00A22076" w:rsidRDefault="00A2207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00EE3" w14:paraId="31E714BC" w14:textId="77777777" w:rsidTr="00600EE3">
      <w:tc>
        <w:tcPr>
          <w:tcW w:w="4920" w:type="dxa"/>
          <w:shd w:val="clear" w:color="auto" w:fill="auto"/>
          <w:vAlign w:val="bottom"/>
        </w:tcPr>
        <w:p w14:paraId="2BA0CCFD" w14:textId="77777777" w:rsidR="00600EE3" w:rsidRPr="00600EE3" w:rsidRDefault="00600EE3" w:rsidP="00600EE3">
          <w:pPr>
            <w:pStyle w:val="Footer"/>
            <w:rPr>
              <w:color w:val="000000"/>
            </w:rPr>
          </w:pPr>
          <w:r>
            <w:fldChar w:fldCharType="begin"/>
          </w:r>
          <w:r>
            <w:instrText xml:space="preserve"> PAGE  \* Arabic  \* MERGEFORMAT </w:instrText>
          </w:r>
          <w:r>
            <w:fldChar w:fldCharType="separate"/>
          </w:r>
          <w:r>
            <w:t>3</w:t>
          </w:r>
          <w:r>
            <w:fldChar w:fldCharType="end"/>
          </w:r>
          <w:r>
            <w:t>/</w:t>
          </w:r>
          <w:r w:rsidR="00140B78">
            <w:fldChar w:fldCharType="begin"/>
          </w:r>
          <w:r w:rsidR="00140B78">
            <w:instrText xml:space="preserve"> NUMPAGES  \* Arabic  \* MERGEFORMAT </w:instrText>
          </w:r>
          <w:r w:rsidR="00140B78">
            <w:fldChar w:fldCharType="separate"/>
          </w:r>
          <w:r>
            <w:t>4</w:t>
          </w:r>
          <w:r w:rsidR="00140B78">
            <w:fldChar w:fldCharType="end"/>
          </w:r>
        </w:p>
      </w:tc>
      <w:tc>
        <w:tcPr>
          <w:tcW w:w="4920" w:type="dxa"/>
          <w:shd w:val="clear" w:color="auto" w:fill="auto"/>
          <w:vAlign w:val="bottom"/>
        </w:tcPr>
        <w:p w14:paraId="52E4E30C" w14:textId="228F64AD" w:rsidR="00600EE3" w:rsidRPr="00600EE3" w:rsidRDefault="00600EE3" w:rsidP="00600EE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40B78">
            <w:rPr>
              <w:b w:val="0"/>
              <w:color w:val="000000"/>
              <w:sz w:val="14"/>
            </w:rPr>
            <w:t>23-06500</w:t>
          </w:r>
          <w:r>
            <w:rPr>
              <w:b w:val="0"/>
              <w:color w:val="000000"/>
              <w:sz w:val="14"/>
            </w:rPr>
            <w:fldChar w:fldCharType="end"/>
          </w:r>
        </w:p>
      </w:tc>
    </w:tr>
  </w:tbl>
  <w:p w14:paraId="09132DD1" w14:textId="77777777" w:rsidR="00600EE3" w:rsidRPr="00600EE3" w:rsidRDefault="00600EE3" w:rsidP="00600E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00EE3" w14:paraId="2049E8CB" w14:textId="77777777" w:rsidTr="00600EE3">
      <w:tc>
        <w:tcPr>
          <w:tcW w:w="4920" w:type="dxa"/>
          <w:shd w:val="clear" w:color="auto" w:fill="auto"/>
          <w:vAlign w:val="bottom"/>
        </w:tcPr>
        <w:p w14:paraId="5EDA3EAF" w14:textId="52C03DFE" w:rsidR="00600EE3" w:rsidRPr="00600EE3" w:rsidRDefault="00600EE3" w:rsidP="00600EE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40B78">
            <w:rPr>
              <w:b w:val="0"/>
              <w:color w:val="000000"/>
              <w:sz w:val="14"/>
            </w:rPr>
            <w:t>23-06500</w:t>
          </w:r>
          <w:r>
            <w:rPr>
              <w:b w:val="0"/>
              <w:color w:val="000000"/>
              <w:sz w:val="14"/>
            </w:rPr>
            <w:fldChar w:fldCharType="end"/>
          </w:r>
        </w:p>
      </w:tc>
      <w:tc>
        <w:tcPr>
          <w:tcW w:w="4920" w:type="dxa"/>
          <w:shd w:val="clear" w:color="auto" w:fill="auto"/>
          <w:vAlign w:val="bottom"/>
        </w:tcPr>
        <w:p w14:paraId="75A399A3" w14:textId="77777777" w:rsidR="00600EE3" w:rsidRPr="00600EE3" w:rsidRDefault="00600EE3" w:rsidP="00600EE3">
          <w:pPr>
            <w:pStyle w:val="Footer"/>
            <w:jc w:val="right"/>
          </w:pPr>
          <w:r>
            <w:fldChar w:fldCharType="begin"/>
          </w:r>
          <w:r>
            <w:instrText xml:space="preserve"> PAGE  \* Arabic  \* MERGEFORMAT </w:instrText>
          </w:r>
          <w:r>
            <w:fldChar w:fldCharType="separate"/>
          </w:r>
          <w:r>
            <w:t>2</w:t>
          </w:r>
          <w:r>
            <w:fldChar w:fldCharType="end"/>
          </w:r>
          <w:r>
            <w:t>/</w:t>
          </w:r>
          <w:r w:rsidR="00140B78">
            <w:fldChar w:fldCharType="begin"/>
          </w:r>
          <w:r w:rsidR="00140B78">
            <w:instrText xml:space="preserve"> NUMPAGES  \* Arabic  \* MERGEFORMAT </w:instrText>
          </w:r>
          <w:r w:rsidR="00140B78">
            <w:fldChar w:fldCharType="separate"/>
          </w:r>
          <w:r>
            <w:t>4</w:t>
          </w:r>
          <w:r w:rsidR="00140B78">
            <w:fldChar w:fldCharType="end"/>
          </w:r>
        </w:p>
      </w:tc>
    </w:tr>
  </w:tbl>
  <w:p w14:paraId="4E7480D9" w14:textId="77777777" w:rsidR="00600EE3" w:rsidRPr="00600EE3" w:rsidRDefault="00600EE3" w:rsidP="00600E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32F45" w14:textId="77777777" w:rsidR="00600EE3" w:rsidRPr="00600EE3" w:rsidRDefault="00600EE3" w:rsidP="00600EE3">
    <w:pPr>
      <w:pStyle w:val="Footer"/>
      <w:spacing w:line="120" w:lineRule="exact"/>
      <w:rPr>
        <w:b w:val="0"/>
        <w:sz w:val="10"/>
      </w:rPr>
    </w:pPr>
    <w:r>
      <w:rPr>
        <w:b w:val="0"/>
        <w:sz w:val="10"/>
      </w:rPr>
      <w:drawing>
        <wp:anchor distT="0" distB="0" distL="114300" distR="114300" simplePos="0" relativeHeight="251658240" behindDoc="0" locked="0" layoutInCell="1" allowOverlap="1" wp14:anchorId="15118DAF" wp14:editId="5D751C4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00EE3" w14:paraId="3A19FCA0" w14:textId="77777777" w:rsidTr="00600EE3">
      <w:tc>
        <w:tcPr>
          <w:tcW w:w="3830" w:type="dxa"/>
          <w:shd w:val="clear" w:color="auto" w:fill="auto"/>
        </w:tcPr>
        <w:p w14:paraId="2B896C5E" w14:textId="243A0213" w:rsidR="00600EE3" w:rsidRDefault="00600EE3" w:rsidP="00600EE3">
          <w:pPr>
            <w:pStyle w:val="ReleaseDate0"/>
          </w:pPr>
          <w:r>
            <w:t>23-06500 (S)    040523    0</w:t>
          </w:r>
          <w:r w:rsidR="0037567F">
            <w:t>5</w:t>
          </w:r>
          <w:r>
            <w:t>0523</w:t>
          </w:r>
        </w:p>
        <w:p w14:paraId="520F271E" w14:textId="77777777" w:rsidR="00600EE3" w:rsidRPr="00600EE3" w:rsidRDefault="00600EE3" w:rsidP="00600EE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*2306500*</w:t>
          </w:r>
        </w:p>
      </w:tc>
      <w:tc>
        <w:tcPr>
          <w:tcW w:w="4920" w:type="dxa"/>
          <w:shd w:val="clear" w:color="auto" w:fill="auto"/>
        </w:tcPr>
        <w:p w14:paraId="2A5C82FD" w14:textId="77777777" w:rsidR="00600EE3" w:rsidRDefault="00600EE3" w:rsidP="00600EE3">
          <w:pPr>
            <w:pStyle w:val="Footer"/>
            <w:jc w:val="right"/>
            <w:rPr>
              <w:b w:val="0"/>
              <w:sz w:val="20"/>
            </w:rPr>
          </w:pPr>
          <w:r>
            <w:rPr>
              <w:b w:val="0"/>
              <w:sz w:val="20"/>
            </w:rPr>
            <w:drawing>
              <wp:inline distT="0" distB="0" distL="0" distR="0" wp14:anchorId="70CBE334" wp14:editId="58D8404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1FD625D" w14:textId="77777777" w:rsidR="00600EE3" w:rsidRPr="00600EE3" w:rsidRDefault="00600EE3" w:rsidP="00600EE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4B3BC" w14:textId="77777777" w:rsidR="00A22076" w:rsidRDefault="00A22076" w:rsidP="00101B18">
      <w:r>
        <w:separator/>
      </w:r>
    </w:p>
  </w:footnote>
  <w:footnote w:type="continuationSeparator" w:id="0">
    <w:p w14:paraId="6DA37FC2" w14:textId="77777777" w:rsidR="00A22076" w:rsidRDefault="00A22076"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00EE3" w14:paraId="2FA4B6EB" w14:textId="77777777" w:rsidTr="00600EE3">
      <w:trPr>
        <w:trHeight w:hRule="exact" w:val="864"/>
      </w:trPr>
      <w:tc>
        <w:tcPr>
          <w:tcW w:w="4920" w:type="dxa"/>
          <w:shd w:val="clear" w:color="auto" w:fill="auto"/>
          <w:vAlign w:val="bottom"/>
        </w:tcPr>
        <w:p w14:paraId="45A730DB" w14:textId="5F3CA7CE" w:rsidR="00600EE3" w:rsidRPr="00600EE3" w:rsidRDefault="00600EE3" w:rsidP="00600EE3">
          <w:pPr>
            <w:pStyle w:val="Header"/>
            <w:spacing w:after="80"/>
            <w:rPr>
              <w:b/>
            </w:rPr>
          </w:pPr>
          <w:r>
            <w:rPr>
              <w:b/>
            </w:rPr>
            <w:fldChar w:fldCharType="begin"/>
          </w:r>
          <w:r>
            <w:rPr>
              <w:b/>
            </w:rPr>
            <w:instrText xml:space="preserve"> DOCVARIABLE "sss1" \* MERGEFORMAT </w:instrText>
          </w:r>
          <w:r>
            <w:rPr>
              <w:b/>
            </w:rPr>
            <w:fldChar w:fldCharType="separate"/>
          </w:r>
          <w:r w:rsidR="00140B78">
            <w:rPr>
              <w:b/>
            </w:rPr>
            <w:t>CEDAW/C/ISL/RQ/9</w:t>
          </w:r>
          <w:r>
            <w:rPr>
              <w:b/>
            </w:rPr>
            <w:fldChar w:fldCharType="end"/>
          </w:r>
        </w:p>
      </w:tc>
      <w:tc>
        <w:tcPr>
          <w:tcW w:w="4920" w:type="dxa"/>
          <w:shd w:val="clear" w:color="auto" w:fill="auto"/>
          <w:vAlign w:val="bottom"/>
        </w:tcPr>
        <w:p w14:paraId="3A0A13C1" w14:textId="77777777" w:rsidR="00600EE3" w:rsidRDefault="00600EE3" w:rsidP="00600EE3">
          <w:pPr>
            <w:pStyle w:val="Header"/>
          </w:pPr>
        </w:p>
      </w:tc>
    </w:tr>
  </w:tbl>
  <w:p w14:paraId="5D0A2D1C" w14:textId="77777777" w:rsidR="00600EE3" w:rsidRPr="00600EE3" w:rsidRDefault="00600EE3" w:rsidP="00600E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00EE3" w14:paraId="06CC0575" w14:textId="77777777" w:rsidTr="00600EE3">
      <w:trPr>
        <w:trHeight w:hRule="exact" w:val="864"/>
      </w:trPr>
      <w:tc>
        <w:tcPr>
          <w:tcW w:w="4920" w:type="dxa"/>
          <w:shd w:val="clear" w:color="auto" w:fill="auto"/>
          <w:vAlign w:val="bottom"/>
        </w:tcPr>
        <w:p w14:paraId="1F44E756" w14:textId="77777777" w:rsidR="00600EE3" w:rsidRDefault="00600EE3" w:rsidP="00600EE3">
          <w:pPr>
            <w:pStyle w:val="Header"/>
          </w:pPr>
        </w:p>
      </w:tc>
      <w:tc>
        <w:tcPr>
          <w:tcW w:w="4920" w:type="dxa"/>
          <w:shd w:val="clear" w:color="auto" w:fill="auto"/>
          <w:vAlign w:val="bottom"/>
        </w:tcPr>
        <w:p w14:paraId="316B91FB" w14:textId="1E04E844" w:rsidR="00600EE3" w:rsidRPr="00600EE3" w:rsidRDefault="00600EE3" w:rsidP="00600EE3">
          <w:pPr>
            <w:pStyle w:val="Header"/>
            <w:spacing w:after="80"/>
            <w:jc w:val="right"/>
            <w:rPr>
              <w:b/>
            </w:rPr>
          </w:pPr>
          <w:r>
            <w:rPr>
              <w:b/>
            </w:rPr>
            <w:fldChar w:fldCharType="begin"/>
          </w:r>
          <w:r>
            <w:rPr>
              <w:b/>
            </w:rPr>
            <w:instrText xml:space="preserve"> DOCVARIABLE "sss1" \* MERGEFORMAT </w:instrText>
          </w:r>
          <w:r>
            <w:rPr>
              <w:b/>
            </w:rPr>
            <w:fldChar w:fldCharType="separate"/>
          </w:r>
          <w:r w:rsidR="00140B78">
            <w:rPr>
              <w:b/>
            </w:rPr>
            <w:t>CEDAW/C/ISL/RQ/9</w:t>
          </w:r>
          <w:r>
            <w:rPr>
              <w:b/>
            </w:rPr>
            <w:fldChar w:fldCharType="end"/>
          </w:r>
        </w:p>
      </w:tc>
    </w:tr>
  </w:tbl>
  <w:p w14:paraId="5BFA009D" w14:textId="77777777" w:rsidR="00600EE3" w:rsidRPr="00600EE3" w:rsidRDefault="00600EE3" w:rsidP="00600E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00EE3" w14:paraId="63680181" w14:textId="77777777" w:rsidTr="00600EE3">
      <w:trPr>
        <w:gridAfter w:val="1"/>
        <w:wAfter w:w="15" w:type="dxa"/>
        <w:trHeight w:hRule="exact" w:val="864"/>
      </w:trPr>
      <w:tc>
        <w:tcPr>
          <w:tcW w:w="1267" w:type="dxa"/>
          <w:tcBorders>
            <w:bottom w:val="single" w:sz="4" w:space="0" w:color="auto"/>
          </w:tcBorders>
          <w:shd w:val="clear" w:color="auto" w:fill="auto"/>
          <w:vAlign w:val="bottom"/>
        </w:tcPr>
        <w:p w14:paraId="5207243C" w14:textId="77777777" w:rsidR="00600EE3" w:rsidRDefault="00600EE3" w:rsidP="00600EE3">
          <w:pPr>
            <w:pStyle w:val="Header"/>
            <w:spacing w:after="120"/>
          </w:pPr>
        </w:p>
      </w:tc>
      <w:tc>
        <w:tcPr>
          <w:tcW w:w="2059" w:type="dxa"/>
          <w:tcBorders>
            <w:bottom w:val="single" w:sz="4" w:space="0" w:color="auto"/>
          </w:tcBorders>
          <w:shd w:val="clear" w:color="auto" w:fill="auto"/>
          <w:vAlign w:val="bottom"/>
        </w:tcPr>
        <w:p w14:paraId="7705ED0E" w14:textId="77777777" w:rsidR="00600EE3" w:rsidRPr="00600EE3" w:rsidRDefault="00600EE3" w:rsidP="00600EE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9643B6E" w14:textId="77777777" w:rsidR="00600EE3" w:rsidRDefault="00600EE3" w:rsidP="00600EE3">
          <w:pPr>
            <w:pStyle w:val="Header"/>
            <w:spacing w:after="120"/>
          </w:pPr>
        </w:p>
      </w:tc>
      <w:tc>
        <w:tcPr>
          <w:tcW w:w="6480" w:type="dxa"/>
          <w:gridSpan w:val="3"/>
          <w:tcBorders>
            <w:bottom w:val="single" w:sz="4" w:space="0" w:color="auto"/>
          </w:tcBorders>
          <w:shd w:val="clear" w:color="auto" w:fill="auto"/>
          <w:vAlign w:val="bottom"/>
        </w:tcPr>
        <w:p w14:paraId="5548C2DA" w14:textId="77777777" w:rsidR="00600EE3" w:rsidRPr="00600EE3" w:rsidRDefault="00600EE3" w:rsidP="00600EE3">
          <w:pPr>
            <w:spacing w:after="80" w:line="240" w:lineRule="auto"/>
            <w:jc w:val="right"/>
            <w:rPr>
              <w:position w:val="-4"/>
            </w:rPr>
          </w:pPr>
          <w:r>
            <w:rPr>
              <w:position w:val="-4"/>
              <w:sz w:val="40"/>
            </w:rPr>
            <w:t>CEDAW</w:t>
          </w:r>
          <w:r>
            <w:rPr>
              <w:position w:val="-4"/>
            </w:rPr>
            <w:t>/C/ISL/RQ/9</w:t>
          </w:r>
        </w:p>
      </w:tc>
    </w:tr>
    <w:tr w:rsidR="00600EE3" w:rsidRPr="00600EE3" w14:paraId="53CB8FC2" w14:textId="77777777" w:rsidTr="00600EE3">
      <w:trPr>
        <w:trHeight w:hRule="exact" w:val="2880"/>
      </w:trPr>
      <w:tc>
        <w:tcPr>
          <w:tcW w:w="1267" w:type="dxa"/>
          <w:tcBorders>
            <w:top w:val="single" w:sz="4" w:space="0" w:color="auto"/>
            <w:bottom w:val="single" w:sz="12" w:space="0" w:color="auto"/>
          </w:tcBorders>
          <w:shd w:val="clear" w:color="auto" w:fill="auto"/>
        </w:tcPr>
        <w:p w14:paraId="280EA9AD" w14:textId="77777777" w:rsidR="00600EE3" w:rsidRPr="00600EE3" w:rsidRDefault="00600EE3" w:rsidP="00600EE3">
          <w:pPr>
            <w:pStyle w:val="Header"/>
            <w:spacing w:before="120"/>
            <w:jc w:val="center"/>
          </w:pPr>
          <w:r>
            <w:t xml:space="preserve"> </w:t>
          </w:r>
          <w:r>
            <w:drawing>
              <wp:inline distT="0" distB="0" distL="0" distR="0" wp14:anchorId="393819EA" wp14:editId="3846F42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901655" w14:textId="77777777" w:rsidR="00600EE3" w:rsidRPr="00600EE3" w:rsidRDefault="00600EE3" w:rsidP="00600EE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3B59578" w14:textId="77777777" w:rsidR="00600EE3" w:rsidRPr="00172BBF" w:rsidRDefault="00600EE3" w:rsidP="00600EE3">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833E739" w14:textId="77777777" w:rsidR="00600EE3" w:rsidRDefault="00600EE3" w:rsidP="00600EE3">
          <w:pPr>
            <w:pStyle w:val="Distribution"/>
            <w:spacing w:before="240"/>
          </w:pPr>
          <w:r>
            <w:t>Distr. general</w:t>
          </w:r>
        </w:p>
        <w:p w14:paraId="3A3A4C40" w14:textId="77777777" w:rsidR="00600EE3" w:rsidRDefault="00600EE3" w:rsidP="00600EE3">
          <w:pPr>
            <w:pStyle w:val="Publication"/>
          </w:pPr>
          <w:r>
            <w:t>6 de abril de 2023</w:t>
          </w:r>
        </w:p>
        <w:p w14:paraId="698C0538" w14:textId="77777777" w:rsidR="00600EE3" w:rsidRDefault="00600EE3" w:rsidP="00600EE3">
          <w:r>
            <w:t>Español</w:t>
          </w:r>
        </w:p>
        <w:p w14:paraId="3BB12A9B" w14:textId="44D69E83" w:rsidR="00600EE3" w:rsidRDefault="00600EE3" w:rsidP="00600EE3">
          <w:pPr>
            <w:pStyle w:val="Original"/>
          </w:pPr>
          <w:r>
            <w:t>Original: inglés</w:t>
          </w:r>
        </w:p>
        <w:p w14:paraId="788BD8E2" w14:textId="1EBA3572" w:rsidR="0036347E" w:rsidRPr="0036347E" w:rsidRDefault="0036347E" w:rsidP="00D5271C">
          <w:r w:rsidRPr="0036347E">
            <w:t>Español, francés e inglés únicamente</w:t>
          </w:r>
        </w:p>
        <w:p w14:paraId="16BC606A" w14:textId="77777777" w:rsidR="00600EE3" w:rsidRPr="00600EE3" w:rsidRDefault="00600EE3" w:rsidP="00600EE3"/>
      </w:tc>
    </w:tr>
  </w:tbl>
  <w:p w14:paraId="4356E9BB" w14:textId="77777777" w:rsidR="00600EE3" w:rsidRPr="00600EE3" w:rsidRDefault="00600EE3" w:rsidP="00600EE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D9370B8"/>
    <w:multiLevelType w:val="singleLevel"/>
    <w:tmpl w:val="52667AB0"/>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3E864F1B"/>
    <w:multiLevelType w:val="singleLevel"/>
    <w:tmpl w:val="F2E006FA"/>
    <w:lvl w:ilvl="0">
      <w:start w:val="3"/>
      <w:numFmt w:val="decimal"/>
      <w:lvlRestart w:val="0"/>
      <w:lvlText w:val="%1."/>
      <w:lvlJc w:val="left"/>
      <w:pPr>
        <w:tabs>
          <w:tab w:val="num" w:pos="475"/>
        </w:tabs>
        <w:ind w:left="0" w:firstLine="0"/>
      </w:pPr>
      <w:rPr>
        <w:spacing w:val="0"/>
        <w:w w:val="100"/>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E686320"/>
    <w:multiLevelType w:val="hybridMultilevel"/>
    <w:tmpl w:val="F2B6CE10"/>
    <w:lvl w:ilvl="0" w:tplc="8AD8F20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713119917">
    <w:abstractNumId w:val="6"/>
  </w:num>
  <w:num w:numId="2" w16cid:durableId="742609879">
    <w:abstractNumId w:val="0"/>
  </w:num>
  <w:num w:numId="3" w16cid:durableId="924654168">
    <w:abstractNumId w:val="5"/>
  </w:num>
  <w:num w:numId="4" w16cid:durableId="492836672">
    <w:abstractNumId w:val="4"/>
  </w:num>
  <w:num w:numId="5" w16cid:durableId="753937203">
    <w:abstractNumId w:val="3"/>
  </w:num>
  <w:num w:numId="6" w16cid:durableId="1948922467">
    <w:abstractNumId w:val="1"/>
  </w:num>
  <w:num w:numId="7" w16cid:durableId="1725642286">
    <w:abstractNumId w:val="7"/>
  </w:num>
  <w:num w:numId="8" w16cid:durableId="1265267304">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8 a 26 de mayo de 2023_x000d_"/>
    <w:docVar w:name="Agenda2" w:val="Tema 4 del programa provisional_x000d_"/>
    <w:docVar w:name="Barcode" w:val="*2306500*"/>
    <w:docVar w:name="CreationDt" w:val="04/05/2023 3:23: PM"/>
    <w:docVar w:name="DocCategory" w:val="Doc"/>
    <w:docVar w:name="DocType" w:val="Final"/>
    <w:docVar w:name="DutyStation" w:val="New York"/>
    <w:docVar w:name="FooterJN" w:val="23-06500"/>
    <w:docVar w:name="jobn" w:val="23-06500 (S)"/>
    <w:docVar w:name="jobnDT" w:val="23-06500 (S)   040523"/>
    <w:docVar w:name="jobnDTDT" w:val="23-06500 (S)   040523   040523"/>
    <w:docVar w:name="JobNo" w:val="2306500S"/>
    <w:docVar w:name="JobNo2" w:val="23098733:23: PM"/>
    <w:docVar w:name="LocalDrive" w:val="0"/>
    <w:docVar w:name="OandT" w:val="pl"/>
    <w:docVar w:name="Session1" w:val="85º período de sesiones_x000d_"/>
    <w:docVar w:name="sss1" w:val="CEDAW/C/ISL/RQ/9"/>
    <w:docVar w:name="sss2" w:val="-"/>
    <w:docVar w:name="Symbol1" w:val="CEDAW/C/ISL/RQ/9"/>
    <w:docVar w:name="Symbol2" w:val="-"/>
    <w:docVar w:name="Title1" w:val="_x0009__x0009_Respuestas de Islandia a la lista de cuestiones y preguntas relativa a su noveno informe periódico*_x000d_"/>
  </w:docVars>
  <w:rsids>
    <w:rsidRoot w:val="003643C4"/>
    <w:rsid w:val="00002584"/>
    <w:rsid w:val="00050E55"/>
    <w:rsid w:val="0006491F"/>
    <w:rsid w:val="00067B89"/>
    <w:rsid w:val="00071D43"/>
    <w:rsid w:val="00075A58"/>
    <w:rsid w:val="00082144"/>
    <w:rsid w:val="000A7DFD"/>
    <w:rsid w:val="000F1F99"/>
    <w:rsid w:val="00101B18"/>
    <w:rsid w:val="00117EA0"/>
    <w:rsid w:val="00122A56"/>
    <w:rsid w:val="00134FEE"/>
    <w:rsid w:val="00140B78"/>
    <w:rsid w:val="00143C26"/>
    <w:rsid w:val="00146C6A"/>
    <w:rsid w:val="00147570"/>
    <w:rsid w:val="00151388"/>
    <w:rsid w:val="00166A0D"/>
    <w:rsid w:val="00172BBF"/>
    <w:rsid w:val="0018725B"/>
    <w:rsid w:val="001D5969"/>
    <w:rsid w:val="001E4B50"/>
    <w:rsid w:val="001E77E4"/>
    <w:rsid w:val="00240E4D"/>
    <w:rsid w:val="00241B93"/>
    <w:rsid w:val="002478A0"/>
    <w:rsid w:val="00271E2B"/>
    <w:rsid w:val="002855EF"/>
    <w:rsid w:val="002A32C1"/>
    <w:rsid w:val="002A5E20"/>
    <w:rsid w:val="002C2AA6"/>
    <w:rsid w:val="002D1584"/>
    <w:rsid w:val="00300E37"/>
    <w:rsid w:val="003019C5"/>
    <w:rsid w:val="00304428"/>
    <w:rsid w:val="003226CC"/>
    <w:rsid w:val="00356DCA"/>
    <w:rsid w:val="0036347E"/>
    <w:rsid w:val="003643C4"/>
    <w:rsid w:val="00366D21"/>
    <w:rsid w:val="0037567F"/>
    <w:rsid w:val="0039127C"/>
    <w:rsid w:val="003A14AB"/>
    <w:rsid w:val="003A675A"/>
    <w:rsid w:val="003B0411"/>
    <w:rsid w:val="003B24AA"/>
    <w:rsid w:val="003C5051"/>
    <w:rsid w:val="003D096D"/>
    <w:rsid w:val="003F61E1"/>
    <w:rsid w:val="0041036E"/>
    <w:rsid w:val="00415E1D"/>
    <w:rsid w:val="00431E47"/>
    <w:rsid w:val="00440C93"/>
    <w:rsid w:val="00480B84"/>
    <w:rsid w:val="004A2E5D"/>
    <w:rsid w:val="004B64F9"/>
    <w:rsid w:val="004C1A25"/>
    <w:rsid w:val="004D17E5"/>
    <w:rsid w:val="004D5180"/>
    <w:rsid w:val="004E4530"/>
    <w:rsid w:val="00505EA1"/>
    <w:rsid w:val="0051125D"/>
    <w:rsid w:val="00515991"/>
    <w:rsid w:val="005225EC"/>
    <w:rsid w:val="00525097"/>
    <w:rsid w:val="005509B6"/>
    <w:rsid w:val="005A642E"/>
    <w:rsid w:val="005F1F5F"/>
    <w:rsid w:val="00600EE3"/>
    <w:rsid w:val="00622288"/>
    <w:rsid w:val="00632C10"/>
    <w:rsid w:val="00657C5A"/>
    <w:rsid w:val="006778BA"/>
    <w:rsid w:val="0068081C"/>
    <w:rsid w:val="00690698"/>
    <w:rsid w:val="006B77A0"/>
    <w:rsid w:val="006E0A52"/>
    <w:rsid w:val="006E4A4B"/>
    <w:rsid w:val="00703106"/>
    <w:rsid w:val="007459AE"/>
    <w:rsid w:val="007526FF"/>
    <w:rsid w:val="007531A5"/>
    <w:rsid w:val="00753D8A"/>
    <w:rsid w:val="00771C9E"/>
    <w:rsid w:val="00783685"/>
    <w:rsid w:val="007A07F4"/>
    <w:rsid w:val="007C0466"/>
    <w:rsid w:val="007D0EA1"/>
    <w:rsid w:val="00804E87"/>
    <w:rsid w:val="00807B29"/>
    <w:rsid w:val="0082045E"/>
    <w:rsid w:val="008222A3"/>
    <w:rsid w:val="00840664"/>
    <w:rsid w:val="00841B60"/>
    <w:rsid w:val="00864A42"/>
    <w:rsid w:val="008A3AF4"/>
    <w:rsid w:val="008B3FC7"/>
    <w:rsid w:val="008F3462"/>
    <w:rsid w:val="00900897"/>
    <w:rsid w:val="00935932"/>
    <w:rsid w:val="009559A6"/>
    <w:rsid w:val="009737EB"/>
    <w:rsid w:val="00993CB7"/>
    <w:rsid w:val="0099633A"/>
    <w:rsid w:val="009D0EE3"/>
    <w:rsid w:val="009E157C"/>
    <w:rsid w:val="009E5276"/>
    <w:rsid w:val="00A0181C"/>
    <w:rsid w:val="00A1038C"/>
    <w:rsid w:val="00A14D15"/>
    <w:rsid w:val="00A22076"/>
    <w:rsid w:val="00A2494D"/>
    <w:rsid w:val="00A31C1D"/>
    <w:rsid w:val="00A42B9E"/>
    <w:rsid w:val="00A536A1"/>
    <w:rsid w:val="00A82D34"/>
    <w:rsid w:val="00AB0B7D"/>
    <w:rsid w:val="00AD5F2F"/>
    <w:rsid w:val="00AF4336"/>
    <w:rsid w:val="00B04BC0"/>
    <w:rsid w:val="00B114E4"/>
    <w:rsid w:val="00B52FCC"/>
    <w:rsid w:val="00B60339"/>
    <w:rsid w:val="00B84C6F"/>
    <w:rsid w:val="00B858D5"/>
    <w:rsid w:val="00BB462D"/>
    <w:rsid w:val="00BD113B"/>
    <w:rsid w:val="00C026EE"/>
    <w:rsid w:val="00C07FF6"/>
    <w:rsid w:val="00C32BC2"/>
    <w:rsid w:val="00C43505"/>
    <w:rsid w:val="00C5036A"/>
    <w:rsid w:val="00C82FA6"/>
    <w:rsid w:val="00CB06FB"/>
    <w:rsid w:val="00CB63C5"/>
    <w:rsid w:val="00CC7A1C"/>
    <w:rsid w:val="00CD0D42"/>
    <w:rsid w:val="00D0035F"/>
    <w:rsid w:val="00D3073B"/>
    <w:rsid w:val="00D30EED"/>
    <w:rsid w:val="00D5271C"/>
    <w:rsid w:val="00D77DB5"/>
    <w:rsid w:val="00DB32F0"/>
    <w:rsid w:val="00DB66DE"/>
    <w:rsid w:val="00DC7881"/>
    <w:rsid w:val="00DD3431"/>
    <w:rsid w:val="00DD5701"/>
    <w:rsid w:val="00DD76B9"/>
    <w:rsid w:val="00E117BC"/>
    <w:rsid w:val="00E1755C"/>
    <w:rsid w:val="00E343A6"/>
    <w:rsid w:val="00E443AC"/>
    <w:rsid w:val="00E47A1E"/>
    <w:rsid w:val="00E517AD"/>
    <w:rsid w:val="00E7105F"/>
    <w:rsid w:val="00E818DE"/>
    <w:rsid w:val="00EC106C"/>
    <w:rsid w:val="00EC2F97"/>
    <w:rsid w:val="00ED471D"/>
    <w:rsid w:val="00EE37EC"/>
    <w:rsid w:val="00EF2DFA"/>
    <w:rsid w:val="00F0704E"/>
    <w:rsid w:val="00F1255F"/>
    <w:rsid w:val="00F272D7"/>
    <w:rsid w:val="00F313F6"/>
    <w:rsid w:val="00F5012D"/>
    <w:rsid w:val="00F73093"/>
    <w:rsid w:val="00F8553F"/>
    <w:rsid w:val="00F873D4"/>
    <w:rsid w:val="00FA3D05"/>
    <w:rsid w:val="00FA56F7"/>
    <w:rsid w:val="00FA5CC9"/>
    <w:rsid w:val="00FB0A2C"/>
    <w:rsid w:val="00FC59F1"/>
    <w:rsid w:val="00FF6E09"/>
    <w:rsid w:val="00FF6F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0EF06C"/>
  <w15:chartTrackingRefBased/>
  <w15:docId w15:val="{A186D16F-0C40-405F-AE92-650B5CA75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A52"/>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6E0A52"/>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E0A52"/>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E0A52"/>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E0A52"/>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E0A52"/>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E0A52"/>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E0A52"/>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E0A52"/>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E0A52"/>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E0A52"/>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E0A52"/>
    <w:pPr>
      <w:spacing w:line="360" w:lineRule="exact"/>
    </w:pPr>
    <w:rPr>
      <w:spacing w:val="-3"/>
      <w:w w:val="99"/>
      <w:sz w:val="34"/>
    </w:rPr>
  </w:style>
  <w:style w:type="paragraph" w:customStyle="1" w:styleId="H23">
    <w:name w:val="_ H_2/3"/>
    <w:basedOn w:val="H1"/>
    <w:next w:val="SingleTxt"/>
    <w:qFormat/>
    <w:rsid w:val="006E0A52"/>
    <w:pPr>
      <w:spacing w:line="240" w:lineRule="exact"/>
      <w:outlineLvl w:val="1"/>
    </w:pPr>
    <w:rPr>
      <w:spacing w:val="2"/>
      <w:sz w:val="20"/>
    </w:rPr>
  </w:style>
  <w:style w:type="paragraph" w:customStyle="1" w:styleId="H4">
    <w:name w:val="_ H_4"/>
    <w:basedOn w:val="Normal"/>
    <w:next w:val="Normal"/>
    <w:qFormat/>
    <w:rsid w:val="006E0A52"/>
    <w:pPr>
      <w:keepNext/>
      <w:keepLines/>
      <w:tabs>
        <w:tab w:val="right" w:pos="360"/>
      </w:tabs>
      <w:outlineLvl w:val="3"/>
    </w:pPr>
    <w:rPr>
      <w:i/>
      <w:spacing w:val="3"/>
      <w:kern w:val="14"/>
    </w:rPr>
  </w:style>
  <w:style w:type="paragraph" w:customStyle="1" w:styleId="H56">
    <w:name w:val="_ H_5/6"/>
    <w:basedOn w:val="Normal"/>
    <w:next w:val="Normal"/>
    <w:qFormat/>
    <w:rsid w:val="006E0A52"/>
    <w:pPr>
      <w:keepNext/>
      <w:keepLines/>
      <w:tabs>
        <w:tab w:val="right" w:pos="360"/>
      </w:tabs>
      <w:outlineLvl w:val="4"/>
    </w:pPr>
    <w:rPr>
      <w:kern w:val="14"/>
    </w:rPr>
  </w:style>
  <w:style w:type="paragraph" w:customStyle="1" w:styleId="DualTxt">
    <w:name w:val="__Dual Txt"/>
    <w:basedOn w:val="Normal"/>
    <w:qFormat/>
    <w:rsid w:val="006E0A5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E0A5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E0A52"/>
    <w:pPr>
      <w:spacing w:line="540" w:lineRule="exact"/>
    </w:pPr>
    <w:rPr>
      <w:spacing w:val="-8"/>
      <w:w w:val="96"/>
      <w:sz w:val="57"/>
    </w:rPr>
  </w:style>
  <w:style w:type="paragraph" w:customStyle="1" w:styleId="SS">
    <w:name w:val="__S_S"/>
    <w:basedOn w:val="HCh0"/>
    <w:next w:val="Normal"/>
    <w:qFormat/>
    <w:rsid w:val="006E0A52"/>
    <w:pPr>
      <w:ind w:left="1267" w:right="1267"/>
    </w:pPr>
  </w:style>
  <w:style w:type="paragraph" w:customStyle="1" w:styleId="SingleTxt">
    <w:name w:val="__Single Txt"/>
    <w:basedOn w:val="Normal"/>
    <w:link w:val="SingleTxtChar"/>
    <w:qFormat/>
    <w:rsid w:val="006E0A5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E0A52"/>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E0A5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6E0A52"/>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E0A52"/>
    <w:rPr>
      <w:rFonts w:ascii="Tahoma" w:hAnsi="Tahoma" w:cs="Tahoma"/>
      <w:sz w:val="16"/>
      <w:szCs w:val="16"/>
    </w:rPr>
  </w:style>
  <w:style w:type="character" w:customStyle="1" w:styleId="BalloonTextChar">
    <w:name w:val="Balloon Text Char"/>
    <w:basedOn w:val="DefaultParagraphFont"/>
    <w:link w:val="BalloonText"/>
    <w:semiHidden/>
    <w:rsid w:val="006E0A52"/>
    <w:rPr>
      <w:rFonts w:ascii="Tahoma" w:eastAsiaTheme="minorHAnsi" w:hAnsi="Tahoma" w:cs="Tahoma"/>
      <w:spacing w:val="4"/>
      <w:w w:val="103"/>
      <w:sz w:val="16"/>
      <w:szCs w:val="16"/>
      <w:lang w:val="es-ES" w:eastAsia="en-US"/>
    </w:rPr>
  </w:style>
  <w:style w:type="paragraph" w:customStyle="1" w:styleId="Bullet1">
    <w:name w:val="Bullet 1"/>
    <w:basedOn w:val="Normal"/>
    <w:qFormat/>
    <w:rsid w:val="006E0A52"/>
    <w:pPr>
      <w:numPr>
        <w:numId w:val="1"/>
      </w:numPr>
      <w:spacing w:after="120"/>
      <w:ind w:right="1264"/>
      <w:jc w:val="both"/>
    </w:pPr>
  </w:style>
  <w:style w:type="paragraph" w:customStyle="1" w:styleId="Bullet2">
    <w:name w:val="Bullet 2"/>
    <w:basedOn w:val="Normal"/>
    <w:qFormat/>
    <w:rsid w:val="006E0A52"/>
    <w:pPr>
      <w:numPr>
        <w:numId w:val="2"/>
      </w:numPr>
      <w:spacing w:after="120"/>
      <w:ind w:right="1264"/>
      <w:jc w:val="both"/>
    </w:pPr>
  </w:style>
  <w:style w:type="paragraph" w:customStyle="1" w:styleId="Bullet3">
    <w:name w:val="Bullet 3"/>
    <w:basedOn w:val="SingleTxt"/>
    <w:qFormat/>
    <w:rsid w:val="006E0A5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E0A52"/>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6E0A5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E0A52"/>
    <w:pPr>
      <w:spacing w:after="80"/>
    </w:pPr>
  </w:style>
  <w:style w:type="character" w:customStyle="1" w:styleId="EndnoteTextChar">
    <w:name w:val="Endnote Text Char"/>
    <w:basedOn w:val="DefaultParagraphFont"/>
    <w:link w:val="EndnoteText"/>
    <w:semiHidden/>
    <w:rsid w:val="006E0A52"/>
    <w:rPr>
      <w:rFonts w:ascii="Times New Roman" w:eastAsiaTheme="minorHAnsi" w:hAnsi="Times New Roman" w:cs="Times New Roman"/>
      <w:spacing w:val="5"/>
      <w:w w:val="104"/>
      <w:sz w:val="17"/>
      <w:lang w:val="es-ES" w:eastAsia="en-US"/>
    </w:rPr>
  </w:style>
  <w:style w:type="paragraph" w:styleId="Footer">
    <w:name w:val="footer"/>
    <w:link w:val="FooterChar"/>
    <w:qFormat/>
    <w:rsid w:val="006E0A52"/>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6E0A52"/>
    <w:rPr>
      <w:rFonts w:ascii="Times New Roman" w:eastAsiaTheme="minorHAnsi" w:hAnsi="Times New Roman" w:cs="Times New Roman"/>
      <w:b/>
      <w:noProof/>
      <w:sz w:val="17"/>
      <w:lang w:val="en-US" w:eastAsia="en-US"/>
    </w:rPr>
  </w:style>
  <w:style w:type="character" w:styleId="FootnoteReference">
    <w:name w:val="footnote reference"/>
    <w:semiHidden/>
    <w:rsid w:val="006E0A5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E0A52"/>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E0A52"/>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6E0A52"/>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6E0A5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E0A52"/>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E0A52"/>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E0A52"/>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6E0A52"/>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6E0A52"/>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6E0A52"/>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E0A52"/>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E0A52"/>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E0A52"/>
    <w:rPr>
      <w:rFonts w:ascii="Cambria" w:eastAsia="Times New Roman" w:hAnsi="Cambria" w:cs="Times New Roman"/>
      <w:i/>
      <w:iCs/>
      <w:spacing w:val="5"/>
      <w:w w:val="103"/>
      <w:sz w:val="20"/>
      <w:szCs w:val="20"/>
      <w:lang w:val="es-ES" w:eastAsia="en-US"/>
    </w:rPr>
  </w:style>
  <w:style w:type="character" w:styleId="LineNumber">
    <w:name w:val="line number"/>
    <w:qFormat/>
    <w:rsid w:val="006E0A52"/>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E0A52"/>
    <w:pPr>
      <w:spacing w:line="240" w:lineRule="auto"/>
    </w:pPr>
  </w:style>
  <w:style w:type="paragraph" w:customStyle="1" w:styleId="Original">
    <w:name w:val="Original"/>
    <w:next w:val="Normal"/>
    <w:autoRedefine/>
    <w:qFormat/>
    <w:rsid w:val="006E0A52"/>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6E0A52"/>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E0A52"/>
    <w:pPr>
      <w:tabs>
        <w:tab w:val="right" w:pos="9965"/>
      </w:tabs>
      <w:spacing w:line="210" w:lineRule="exact"/>
    </w:pPr>
    <w:rPr>
      <w:spacing w:val="5"/>
      <w:w w:val="104"/>
      <w:kern w:val="14"/>
      <w:sz w:val="17"/>
    </w:rPr>
  </w:style>
  <w:style w:type="paragraph" w:customStyle="1" w:styleId="SmallX">
    <w:name w:val="SmallX"/>
    <w:basedOn w:val="Small"/>
    <w:next w:val="Normal"/>
    <w:qFormat/>
    <w:rsid w:val="006E0A52"/>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E0A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E0A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E0A52"/>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6E0A5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6E0A52"/>
    <w:pPr>
      <w:spacing w:line="300" w:lineRule="exact"/>
    </w:pPr>
    <w:rPr>
      <w:spacing w:val="-2"/>
      <w:sz w:val="28"/>
    </w:rPr>
  </w:style>
  <w:style w:type="paragraph" w:styleId="Caption">
    <w:name w:val="caption"/>
    <w:basedOn w:val="Normal"/>
    <w:next w:val="Normal"/>
    <w:uiPriority w:val="35"/>
    <w:semiHidden/>
    <w:unhideWhenUsed/>
    <w:rsid w:val="006E0A52"/>
    <w:pPr>
      <w:spacing w:line="240" w:lineRule="auto"/>
    </w:pPr>
    <w:rPr>
      <w:b/>
      <w:bCs/>
      <w:color w:val="4F81BD"/>
      <w:sz w:val="18"/>
      <w:szCs w:val="18"/>
    </w:rPr>
  </w:style>
  <w:style w:type="character" w:styleId="CommentReference">
    <w:name w:val="annotation reference"/>
    <w:semiHidden/>
    <w:rsid w:val="006E0A52"/>
    <w:rPr>
      <w:sz w:val="6"/>
    </w:rPr>
  </w:style>
  <w:style w:type="paragraph" w:customStyle="1" w:styleId="HdBanner">
    <w:name w:val="Hd Banner"/>
    <w:basedOn w:val="Normal"/>
    <w:next w:val="Normal"/>
    <w:qFormat/>
    <w:rsid w:val="006E0A5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E0A5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E0A52"/>
    <w:pPr>
      <w:spacing w:before="240"/>
    </w:pPr>
    <w:rPr>
      <w:b/>
      <w:spacing w:val="-2"/>
      <w:w w:val="100"/>
    </w:rPr>
  </w:style>
  <w:style w:type="paragraph" w:customStyle="1" w:styleId="HdChapterBdLg">
    <w:name w:val="Hd Chapter Bd Lg"/>
    <w:basedOn w:val="HdChapterBD"/>
    <w:next w:val="Normal"/>
    <w:qFormat/>
    <w:rsid w:val="006E0A52"/>
    <w:rPr>
      <w:spacing w:val="-3"/>
      <w:w w:val="99"/>
      <w:kern w:val="14"/>
      <w:sz w:val="34"/>
      <w:szCs w:val="34"/>
    </w:rPr>
  </w:style>
  <w:style w:type="paragraph" w:customStyle="1" w:styleId="JournalHeading1">
    <w:name w:val="Journal_Heading1"/>
    <w:basedOn w:val="Normal"/>
    <w:next w:val="Normal"/>
    <w:qFormat/>
    <w:rsid w:val="006E0A52"/>
    <w:pPr>
      <w:keepNext/>
      <w:spacing w:before="190" w:line="270" w:lineRule="exact"/>
    </w:pPr>
    <w:rPr>
      <w:b/>
      <w:kern w:val="14"/>
      <w:sz w:val="24"/>
    </w:rPr>
  </w:style>
  <w:style w:type="paragraph" w:customStyle="1" w:styleId="JournalHeading2">
    <w:name w:val="Journal_Heading2"/>
    <w:basedOn w:val="Normal"/>
    <w:next w:val="Normal"/>
    <w:qFormat/>
    <w:rsid w:val="006E0A52"/>
    <w:pPr>
      <w:keepNext/>
      <w:keepLines/>
      <w:spacing w:before="240"/>
      <w:outlineLvl w:val="1"/>
    </w:pPr>
    <w:rPr>
      <w:b/>
      <w:spacing w:val="2"/>
      <w:kern w:val="14"/>
    </w:rPr>
  </w:style>
  <w:style w:type="paragraph" w:customStyle="1" w:styleId="JournalHeading4">
    <w:name w:val="Journal_Heading4"/>
    <w:basedOn w:val="Normal"/>
    <w:next w:val="Normal"/>
    <w:qFormat/>
    <w:rsid w:val="006E0A52"/>
    <w:pPr>
      <w:keepNext/>
      <w:keepLines/>
      <w:spacing w:before="240"/>
      <w:outlineLvl w:val="3"/>
    </w:pPr>
    <w:rPr>
      <w:i/>
      <w:kern w:val="14"/>
    </w:rPr>
  </w:style>
  <w:style w:type="paragraph" w:customStyle="1" w:styleId="NormalBullet">
    <w:name w:val="Normal Bullet"/>
    <w:basedOn w:val="Normal"/>
    <w:next w:val="Normal"/>
    <w:qFormat/>
    <w:rsid w:val="006E0A52"/>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6E0A52"/>
    <w:pPr>
      <w:tabs>
        <w:tab w:val="left" w:leader="dot" w:pos="2218"/>
        <w:tab w:val="left" w:pos="2707"/>
        <w:tab w:val="right" w:leader="dot" w:pos="9835"/>
      </w:tabs>
    </w:pPr>
    <w:rPr>
      <w:kern w:val="14"/>
    </w:rPr>
  </w:style>
  <w:style w:type="paragraph" w:customStyle="1" w:styleId="ReleaseDate0">
    <w:name w:val="ReleaseDate"/>
    <w:next w:val="Footer"/>
    <w:autoRedefine/>
    <w:qFormat/>
    <w:rsid w:val="006E0A52"/>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E0A52"/>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6E0A52"/>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600EE3"/>
    <w:pPr>
      <w:spacing w:line="240" w:lineRule="auto"/>
    </w:pPr>
    <w:rPr>
      <w:szCs w:val="20"/>
    </w:rPr>
  </w:style>
  <w:style w:type="character" w:customStyle="1" w:styleId="CommentTextChar">
    <w:name w:val="Comment Text Char"/>
    <w:basedOn w:val="DefaultParagraphFont"/>
    <w:link w:val="CommentText"/>
    <w:uiPriority w:val="99"/>
    <w:semiHidden/>
    <w:rsid w:val="00600EE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00EE3"/>
    <w:rPr>
      <w:b/>
      <w:bCs/>
    </w:rPr>
  </w:style>
  <w:style w:type="character" w:customStyle="1" w:styleId="CommentSubjectChar">
    <w:name w:val="Comment Subject Char"/>
    <w:basedOn w:val="CommentTextChar"/>
    <w:link w:val="CommentSubject"/>
    <w:uiPriority w:val="99"/>
    <w:semiHidden/>
    <w:rsid w:val="00600EE3"/>
    <w:rPr>
      <w:rFonts w:ascii="Times New Roman" w:eastAsiaTheme="minorHAnsi" w:hAnsi="Times New Roman" w:cs="Times New Roman"/>
      <w:b/>
      <w:bCs/>
      <w:spacing w:val="4"/>
      <w:w w:val="103"/>
      <w:sz w:val="20"/>
      <w:szCs w:val="20"/>
      <w:lang w:val="es-ES" w:eastAsia="en-US"/>
    </w:rPr>
  </w:style>
  <w:style w:type="table" w:styleId="TableGrid">
    <w:name w:val="Table Grid"/>
    <w:basedOn w:val="TableNormal"/>
    <w:rsid w:val="00A82D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82D34"/>
    <w:rPr>
      <w:color w:val="605E5C"/>
      <w:shd w:val="clear" w:color="auto" w:fill="E1DFDD"/>
    </w:rPr>
  </w:style>
  <w:style w:type="paragraph" w:styleId="Revision">
    <w:name w:val="Revision"/>
    <w:hidden/>
    <w:uiPriority w:val="99"/>
    <w:semiHidden/>
    <w:rsid w:val="005A642E"/>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112.is/en/abuse-in-close-relationships"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ISL/Q/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9549</Words>
  <Characters>54431</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Patricia Lopez Horta</cp:lastModifiedBy>
  <cp:revision>3</cp:revision>
  <cp:lastPrinted>2023-05-05T14:43:00Z</cp:lastPrinted>
  <dcterms:created xsi:type="dcterms:W3CDTF">2023-05-05T14:43:00Z</dcterms:created>
  <dcterms:modified xsi:type="dcterms:W3CDTF">2023-05-05T14:43:00Z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2306500</vt:lpwstr>
  </property>
  <property fmtid="{D5CDD505-2E9C-101B-9397-08002B2CF9AE}" pid="3" name="ODSRefJobNo">
    <vt:lpwstr>2309873</vt:lpwstr>
  </property>
  <property fmtid="{D5CDD505-2E9C-101B-9397-08002B2CF9AE}" pid="4" name="Symbol1">
    <vt:lpwstr>CEDAW/C/ISL/RQ/9</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6 de abril de 2023</vt:lpwstr>
  </property>
  <property fmtid="{D5CDD505-2E9C-101B-9397-08002B2CF9AE}" pid="14" name="Original">
    <vt:lpwstr>inglés</vt:lpwstr>
  </property>
  <property fmtid="{D5CDD505-2E9C-101B-9397-08002B2CF9AE}" pid="15" name="Release Date">
    <vt:lpwstr>040523</vt:lpwstr>
  </property>
  <property fmtid="{D5CDD505-2E9C-101B-9397-08002B2CF9AE}" pid="16" name="Session1">
    <vt:lpwstr>85º período de sesiones_x000d_</vt:lpwstr>
  </property>
  <property fmtid="{D5CDD505-2E9C-101B-9397-08002B2CF9AE}" pid="17" name="Agenda1">
    <vt:lpwstr>8 a 26 de mayo de 2023_x000d_</vt:lpwstr>
  </property>
  <property fmtid="{D5CDD505-2E9C-101B-9397-08002B2CF9AE}" pid="18" name="Agenda2">
    <vt:lpwstr>Tema 4 del programa provisional_x000d_</vt:lpwstr>
  </property>
  <property fmtid="{D5CDD505-2E9C-101B-9397-08002B2CF9AE}" pid="19"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20" name="Title1">
    <vt:lpwstr>		Respuestas de Islandia a la lista de cuestiones y preguntas relativa a su noveno informe periódico*_x000d_</vt:lpwstr>
  </property>
</Properties>
</file>