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A16" w:rsidRDefault="00C04A16" w:rsidP="00C04A16">
      <w:pPr>
        <w:spacing w:line="60" w:lineRule="exact"/>
        <w:rPr>
          <w:sz w:val="6"/>
        </w:rPr>
        <w:sectPr w:rsidR="00C04A16" w:rsidSect="00C04A1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C04A16" w:rsidRDefault="00C04A16" w:rsidP="00C04A16">
      <w:pPr>
        <w:spacing w:line="60" w:lineRule="exact"/>
        <w:rPr>
          <w:sz w:val="6"/>
        </w:rPr>
      </w:pPr>
    </w:p>
    <w:p w:rsidR="009A54E3" w:rsidRPr="00FC0813" w:rsidRDefault="009A54E3" w:rsidP="00FC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sidRPr="00FC0813">
        <w:rPr>
          <w:rFonts w:hint="eastAsia"/>
        </w:rPr>
        <w:t>消除对妇女歧视委员会</w:t>
      </w:r>
    </w:p>
    <w:p w:rsidR="009A54E3" w:rsidRPr="00FC0813" w:rsidRDefault="009A54E3" w:rsidP="00FC0813">
      <w:pPr>
        <w:pStyle w:val="SingleTxt"/>
        <w:spacing w:after="60"/>
        <w:ind w:left="0"/>
        <w:rPr>
          <w:rFonts w:ascii="SimHei" w:eastAsia="SimHei" w:hint="eastAsia"/>
        </w:rPr>
      </w:pPr>
      <w:r w:rsidRPr="00FC0813">
        <w:rPr>
          <w:rFonts w:ascii="SimHei" w:eastAsia="SimHei" w:hint="eastAsia"/>
        </w:rPr>
        <w:t>第四十九届会议</w:t>
      </w:r>
      <w:bookmarkStart w:id="1" w:name="TmpSave"/>
      <w:bookmarkEnd w:id="1"/>
    </w:p>
    <w:p w:rsidR="009A54E3" w:rsidRDefault="009A54E3" w:rsidP="00224661">
      <w:pPr>
        <w:pStyle w:val="SingleTxt"/>
        <w:spacing w:after="0"/>
        <w:ind w:left="0"/>
        <w:rPr>
          <w:rFonts w:hint="eastAsia"/>
        </w:rPr>
      </w:pPr>
      <w:r>
        <w:rPr>
          <w:rFonts w:hint="eastAsia"/>
        </w:rPr>
        <w:t>2011年7月11日至29日</w:t>
      </w:r>
    </w:p>
    <w:p w:rsidR="00FC0813" w:rsidRPr="00FC0813" w:rsidRDefault="00FC0813" w:rsidP="00FC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FC0813" w:rsidRPr="00FC0813" w:rsidRDefault="00FC0813" w:rsidP="00FC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FC0813" w:rsidRPr="00FC0813" w:rsidRDefault="00FC0813" w:rsidP="00FC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9A54E3" w:rsidRPr="00FC0813" w:rsidRDefault="009A54E3" w:rsidP="00FC081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FC0813">
        <w:rPr>
          <w:rFonts w:hint="eastAsia"/>
        </w:rPr>
        <w:t>消除对妇女歧视委员会的结论意见</w:t>
      </w:r>
    </w:p>
    <w:p w:rsidR="00FC0813" w:rsidRPr="00FC0813" w:rsidRDefault="00FC0813" w:rsidP="00FC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FC0813" w:rsidRPr="00FC0813" w:rsidRDefault="00FC0813" w:rsidP="00FC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9A54E3" w:rsidRPr="00FC0813" w:rsidRDefault="009A54E3" w:rsidP="00FC081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FC0813">
        <w:rPr>
          <w:rFonts w:hint="eastAsia"/>
        </w:rPr>
        <w:t>大韩民国</w:t>
      </w:r>
    </w:p>
    <w:p w:rsidR="00FC0813" w:rsidRPr="00FC0813" w:rsidRDefault="00FC0813" w:rsidP="00FC0813">
      <w:pPr>
        <w:pStyle w:val="SingleTxt"/>
        <w:spacing w:after="0" w:line="120" w:lineRule="exact"/>
        <w:rPr>
          <w:rFonts w:hint="eastAsia"/>
          <w:sz w:val="10"/>
        </w:rPr>
      </w:pPr>
    </w:p>
    <w:p w:rsidR="009A54E3" w:rsidRDefault="009A54E3" w:rsidP="009A54E3">
      <w:pPr>
        <w:pStyle w:val="SingleTxt"/>
        <w:rPr>
          <w:rFonts w:hint="eastAsia"/>
        </w:rPr>
      </w:pPr>
      <w:r>
        <w:rPr>
          <w:rFonts w:hint="eastAsia"/>
        </w:rPr>
        <w:t>1.</w:t>
      </w:r>
      <w:r>
        <w:rPr>
          <w:rFonts w:hint="eastAsia"/>
        </w:rPr>
        <w:tab/>
        <w:t>2011年7月19日，委员会第987次和第988次会议审议了大韩民国的第七次定期报告</w:t>
      </w:r>
      <w:r w:rsidR="00BE6976">
        <w:rPr>
          <w:rFonts w:hint="eastAsia"/>
        </w:rPr>
        <w:t>(</w:t>
      </w:r>
      <w:r>
        <w:rPr>
          <w:rFonts w:hint="eastAsia"/>
        </w:rPr>
        <w:t>CEDAW/C/KOR/7</w:t>
      </w:r>
      <w:r w:rsidR="00BE6976">
        <w:rPr>
          <w:rFonts w:hint="eastAsia"/>
        </w:rPr>
        <w:t>)(</w:t>
      </w:r>
      <w:r>
        <w:rPr>
          <w:rFonts w:hint="eastAsia"/>
        </w:rPr>
        <w:t>见CEDAW/C/SR.987和988</w:t>
      </w:r>
      <w:r w:rsidR="00BE6976">
        <w:rPr>
          <w:rFonts w:hint="eastAsia"/>
        </w:rPr>
        <w:t>)</w:t>
      </w:r>
      <w:r>
        <w:rPr>
          <w:rFonts w:hint="eastAsia"/>
        </w:rPr>
        <w:t>。委员会的议题和问题清单载于CEDAW/C/KOR/Q/7，答复载于CEDAW/C/KOR/Q/7/Add.1。</w:t>
      </w:r>
    </w:p>
    <w:p w:rsidR="009A54E3" w:rsidRPr="00FC0813" w:rsidRDefault="009A54E3" w:rsidP="00FC08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FC0813">
        <w:rPr>
          <w:rFonts w:hint="eastAsia"/>
        </w:rPr>
        <w:t>导言</w:t>
      </w:r>
    </w:p>
    <w:p w:rsidR="00FC0813" w:rsidRPr="00FC0813" w:rsidRDefault="00FC0813" w:rsidP="00FC0813">
      <w:pPr>
        <w:pStyle w:val="SingleTxt"/>
        <w:spacing w:after="0" w:line="120" w:lineRule="exact"/>
        <w:rPr>
          <w:rFonts w:hint="eastAsia"/>
          <w:sz w:val="10"/>
        </w:rPr>
      </w:pPr>
    </w:p>
    <w:p w:rsidR="009A54E3" w:rsidRDefault="009A54E3" w:rsidP="00B52A06">
      <w:pPr>
        <w:pStyle w:val="SingleTxt"/>
        <w:spacing w:line="340" w:lineRule="exact"/>
        <w:rPr>
          <w:rFonts w:hint="eastAsia"/>
        </w:rPr>
      </w:pPr>
      <w:r>
        <w:rPr>
          <w:rFonts w:hint="eastAsia"/>
        </w:rPr>
        <w:t>2.</w:t>
      </w:r>
      <w:r>
        <w:rPr>
          <w:rFonts w:hint="eastAsia"/>
        </w:rPr>
        <w:tab/>
        <w:t>委员会感谢缔约国基本遵循委员会定期报告编写导则提交第七次定期报告。报告内容纳入了关于委员会先前结论性意见中所载建议的执行情况的一节</w:t>
      </w:r>
      <w:r w:rsidR="00BE6976">
        <w:rPr>
          <w:rFonts w:hint="eastAsia"/>
        </w:rPr>
        <w:t>(</w:t>
      </w:r>
      <w:r>
        <w:rPr>
          <w:rFonts w:hint="eastAsia"/>
        </w:rPr>
        <w:t>CEDAW/C/KOR/CO/6</w:t>
      </w:r>
      <w:r w:rsidR="00BE6976">
        <w:rPr>
          <w:rFonts w:hint="eastAsia"/>
        </w:rPr>
        <w:t>)</w:t>
      </w:r>
      <w:r w:rsidR="00CE692E">
        <w:rPr>
          <w:rFonts w:hint="eastAsia"/>
        </w:rPr>
        <w:t>。缔约国对会前工作组提出的议题和问题清单所作口头介绍</w:t>
      </w:r>
      <w:r>
        <w:rPr>
          <w:rFonts w:hint="eastAsia"/>
        </w:rPr>
        <w:t>和书面答复，并对委员会口头提出的问题作了进一步澄清，尽管对一些问题的答复不够充分。委员会对此表示赞赏。</w:t>
      </w:r>
    </w:p>
    <w:p w:rsidR="009A54E3" w:rsidRDefault="009A54E3" w:rsidP="00B52A06">
      <w:pPr>
        <w:pStyle w:val="SingleTxt"/>
        <w:spacing w:line="340" w:lineRule="exact"/>
        <w:rPr>
          <w:rFonts w:hint="eastAsia"/>
        </w:rPr>
      </w:pPr>
      <w:r>
        <w:rPr>
          <w:rFonts w:hint="eastAsia"/>
        </w:rPr>
        <w:t>3.</w:t>
      </w:r>
      <w:r>
        <w:rPr>
          <w:rFonts w:hint="eastAsia"/>
        </w:rPr>
        <w:tab/>
        <w:t>委员会赞扬缔约国派遣高级别代表团出席会议。代表团由两性平等和家庭事务部长率领，成员包括各部委和部门的代表，以及国民大会的妇女代表。委员会赞赏代表团与委员会成员之间进行的建设性对话。</w:t>
      </w:r>
    </w:p>
    <w:p w:rsidR="009A54E3" w:rsidRPr="00FC0813" w:rsidRDefault="009A54E3" w:rsidP="00FC08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FC0813">
        <w:rPr>
          <w:rFonts w:hint="eastAsia"/>
        </w:rPr>
        <w:t>积极方面</w:t>
      </w:r>
    </w:p>
    <w:p w:rsidR="00FC0813" w:rsidRPr="00FC0813" w:rsidRDefault="00FC0813" w:rsidP="00FC0813">
      <w:pPr>
        <w:pStyle w:val="SingleTxt"/>
        <w:spacing w:after="0" w:line="120" w:lineRule="exact"/>
        <w:rPr>
          <w:rFonts w:hint="eastAsia"/>
          <w:sz w:val="10"/>
        </w:rPr>
      </w:pPr>
    </w:p>
    <w:p w:rsidR="009A54E3" w:rsidRDefault="009A54E3" w:rsidP="00B52A06">
      <w:pPr>
        <w:pStyle w:val="SingleTxt"/>
        <w:spacing w:line="340" w:lineRule="exact"/>
        <w:rPr>
          <w:rFonts w:hint="eastAsia"/>
        </w:rPr>
      </w:pPr>
      <w:r>
        <w:rPr>
          <w:rFonts w:hint="eastAsia"/>
        </w:rPr>
        <w:t>4.</w:t>
      </w:r>
      <w:r>
        <w:rPr>
          <w:rFonts w:hint="eastAsia"/>
        </w:rPr>
        <w:tab/>
        <w:t>委员会赞赏地注意到，自委员会2007年审议缔约国第六次定期报告</w:t>
      </w:r>
      <w:r w:rsidR="00BE6976">
        <w:rPr>
          <w:rFonts w:hint="eastAsia"/>
        </w:rPr>
        <w:t>(</w:t>
      </w:r>
      <w:r>
        <w:rPr>
          <w:rFonts w:hint="eastAsia"/>
        </w:rPr>
        <w:t>CEDAW/C/KOR/6</w:t>
      </w:r>
      <w:r w:rsidR="00BE6976">
        <w:rPr>
          <w:rFonts w:hint="eastAsia"/>
        </w:rPr>
        <w:t>)</w:t>
      </w:r>
      <w:r>
        <w:rPr>
          <w:rFonts w:hint="eastAsia"/>
        </w:rPr>
        <w:t>以来，该国已经颁布和修订了多项旨在消除对妇女歧视和推动两性平等的法律和法律条文，以期按照《公约》规定履行其义务。委员会尤其欢迎通过了修正案：</w:t>
      </w:r>
    </w:p>
    <w:p w:rsidR="009A54E3" w:rsidRDefault="00224661" w:rsidP="00B52A06">
      <w:pPr>
        <w:pStyle w:val="SingleTxt"/>
        <w:spacing w:line="340" w:lineRule="exact"/>
        <w:rPr>
          <w:rFonts w:hint="eastAsia"/>
        </w:rPr>
      </w:pPr>
      <w:r>
        <w:rPr>
          <w:rFonts w:hint="eastAsia"/>
        </w:rPr>
        <w:tab/>
      </w:r>
      <w:r w:rsidR="00BE6976">
        <w:rPr>
          <w:rFonts w:hint="eastAsia"/>
        </w:rPr>
        <w:t>(</w:t>
      </w:r>
      <w:r w:rsidR="009A54E3">
        <w:rPr>
          <w:rFonts w:hint="eastAsia"/>
        </w:rPr>
        <w:t>a</w:t>
      </w:r>
      <w:r w:rsidR="00BE6976">
        <w:rPr>
          <w:rFonts w:hint="eastAsia"/>
        </w:rPr>
        <w:t>)</w:t>
      </w:r>
      <w:r>
        <w:rPr>
          <w:rFonts w:hint="eastAsia"/>
        </w:rPr>
        <w:tab/>
      </w:r>
      <w:r w:rsidR="009A54E3">
        <w:rPr>
          <w:rFonts w:hint="eastAsia"/>
        </w:rPr>
        <w:t>《民法》</w:t>
      </w:r>
      <w:r w:rsidR="00BE6976">
        <w:rPr>
          <w:rFonts w:hint="eastAsia"/>
        </w:rPr>
        <w:t>(</w:t>
      </w:r>
      <w:r w:rsidR="009A54E3">
        <w:rPr>
          <w:rFonts w:hint="eastAsia"/>
        </w:rPr>
        <w:t>2007年12月</w:t>
      </w:r>
      <w:r w:rsidR="00BE6976">
        <w:rPr>
          <w:rFonts w:hint="eastAsia"/>
        </w:rPr>
        <w:t>)</w:t>
      </w:r>
      <w:r w:rsidR="009A54E3">
        <w:rPr>
          <w:rFonts w:hint="eastAsia"/>
        </w:rPr>
        <w:t>将男女的最低</w:t>
      </w:r>
      <w:r w:rsidR="00CE692E">
        <w:rPr>
          <w:rFonts w:hint="eastAsia"/>
        </w:rPr>
        <w:t>结婚</w:t>
      </w:r>
      <w:r w:rsidR="009A54E3">
        <w:rPr>
          <w:rFonts w:hint="eastAsia"/>
        </w:rPr>
        <w:t>年龄确定为18岁；</w:t>
      </w:r>
    </w:p>
    <w:p w:rsidR="009A54E3" w:rsidRDefault="00224661" w:rsidP="009A54E3">
      <w:pPr>
        <w:pStyle w:val="SingleTxt"/>
        <w:rPr>
          <w:rFonts w:hint="eastAsia"/>
        </w:rPr>
      </w:pPr>
      <w:r>
        <w:rPr>
          <w:rFonts w:hint="eastAsia"/>
        </w:rPr>
        <w:tab/>
      </w:r>
      <w:r w:rsidR="00BE6976">
        <w:rPr>
          <w:rFonts w:hint="eastAsia"/>
        </w:rPr>
        <w:t>(</w:t>
      </w:r>
      <w:r w:rsidR="009A54E3">
        <w:rPr>
          <w:rFonts w:hint="eastAsia"/>
        </w:rPr>
        <w:t>b</w:t>
      </w:r>
      <w:r w:rsidR="00BE6976">
        <w:rPr>
          <w:rFonts w:hint="eastAsia"/>
        </w:rPr>
        <w:t>)</w:t>
      </w:r>
      <w:r>
        <w:rPr>
          <w:rFonts w:hint="eastAsia"/>
        </w:rPr>
        <w:tab/>
      </w:r>
      <w:r w:rsidR="009A54E3">
        <w:rPr>
          <w:rFonts w:hint="eastAsia"/>
        </w:rPr>
        <w:t>《保护儿童和青少年免受性暴力法》</w:t>
      </w:r>
      <w:r w:rsidR="00BE6976">
        <w:rPr>
          <w:rFonts w:hint="eastAsia"/>
        </w:rPr>
        <w:t>(</w:t>
      </w:r>
      <w:r w:rsidR="009A54E3">
        <w:rPr>
          <w:rFonts w:hint="eastAsia"/>
        </w:rPr>
        <w:t>2010年4月</w:t>
      </w:r>
      <w:r w:rsidR="00BE6976">
        <w:rPr>
          <w:rFonts w:hint="eastAsia"/>
        </w:rPr>
        <w:t>)</w:t>
      </w:r>
      <w:r w:rsidR="009A54E3">
        <w:rPr>
          <w:rFonts w:hint="eastAsia"/>
        </w:rPr>
        <w:t>规定可对儿童的性暴力罪行提出起诉</w:t>
      </w:r>
      <w:r w:rsidR="00BE6976">
        <w:rPr>
          <w:rFonts w:hint="eastAsia"/>
        </w:rPr>
        <w:t>；</w:t>
      </w:r>
    </w:p>
    <w:p w:rsidR="009A54E3" w:rsidRDefault="00224661" w:rsidP="009A54E3">
      <w:pPr>
        <w:pStyle w:val="SingleTxt"/>
        <w:rPr>
          <w:rFonts w:hint="eastAsia"/>
        </w:rPr>
      </w:pPr>
      <w:r>
        <w:rPr>
          <w:rFonts w:hint="eastAsia"/>
        </w:rPr>
        <w:tab/>
      </w:r>
      <w:r w:rsidR="00BE6976">
        <w:rPr>
          <w:rFonts w:hint="eastAsia"/>
        </w:rPr>
        <w:t>(</w:t>
      </w:r>
      <w:r w:rsidR="009A54E3">
        <w:rPr>
          <w:rFonts w:hint="eastAsia"/>
        </w:rPr>
        <w:t>c</w:t>
      </w:r>
      <w:r w:rsidR="00BE6976">
        <w:rPr>
          <w:rFonts w:hint="eastAsia"/>
        </w:rPr>
        <w:t>)</w:t>
      </w:r>
      <w:r>
        <w:rPr>
          <w:rFonts w:hint="eastAsia"/>
        </w:rPr>
        <w:tab/>
      </w:r>
      <w:r w:rsidR="009A54E3">
        <w:rPr>
          <w:rFonts w:hint="eastAsia"/>
        </w:rPr>
        <w:t>生命伦理与安全法</w:t>
      </w:r>
      <w:r w:rsidR="00BE6976">
        <w:rPr>
          <w:rFonts w:hint="eastAsia"/>
        </w:rPr>
        <w:t>(</w:t>
      </w:r>
      <w:r w:rsidR="009A54E3">
        <w:rPr>
          <w:rFonts w:hint="eastAsia"/>
        </w:rPr>
        <w:t>2008年</w:t>
      </w:r>
      <w:r w:rsidR="00BE6976">
        <w:rPr>
          <w:rFonts w:hint="eastAsia"/>
        </w:rPr>
        <w:t>)</w:t>
      </w:r>
      <w:r w:rsidR="009A54E3">
        <w:rPr>
          <w:rFonts w:hint="eastAsia"/>
        </w:rPr>
        <w:t>，规定为生殖目的捐赠或接受卵子时须得到知情书面同意的要求，并限制了每名妇女作出捐赠的频率和数量。</w:t>
      </w:r>
    </w:p>
    <w:p w:rsidR="009A54E3" w:rsidRDefault="009A54E3" w:rsidP="009A54E3">
      <w:pPr>
        <w:pStyle w:val="SingleTxt"/>
        <w:rPr>
          <w:rFonts w:hint="eastAsia"/>
        </w:rPr>
      </w:pPr>
      <w:r>
        <w:rPr>
          <w:rFonts w:hint="eastAsia"/>
        </w:rPr>
        <w:t>5.</w:t>
      </w:r>
      <w:r w:rsidR="00BE6976">
        <w:tab/>
      </w:r>
      <w:r>
        <w:rPr>
          <w:rFonts w:hint="eastAsia"/>
        </w:rPr>
        <w:t>委员会欢迎为防止家庭暴力而启动的全面计划</w:t>
      </w:r>
      <w:r w:rsidR="00BE6976">
        <w:rPr>
          <w:rFonts w:hint="eastAsia"/>
        </w:rPr>
        <w:t>(</w:t>
      </w:r>
      <w:r>
        <w:rPr>
          <w:rFonts w:hint="eastAsia"/>
        </w:rPr>
        <w:t>2011年</w:t>
      </w:r>
      <w:r w:rsidR="00BE6976">
        <w:rPr>
          <w:rFonts w:hint="eastAsia"/>
        </w:rPr>
        <w:t>)</w:t>
      </w:r>
      <w:r>
        <w:rPr>
          <w:rFonts w:hint="eastAsia"/>
        </w:rPr>
        <w:t>，计划的侧重点是与加强对家庭暴力案件的初步行动以及对受害人更好的保护。</w:t>
      </w:r>
    </w:p>
    <w:p w:rsidR="009A54E3" w:rsidRDefault="009A54E3" w:rsidP="009A54E3">
      <w:pPr>
        <w:pStyle w:val="SingleTxt"/>
        <w:rPr>
          <w:rFonts w:hint="eastAsia"/>
        </w:rPr>
      </w:pPr>
      <w:r>
        <w:rPr>
          <w:rFonts w:hint="eastAsia"/>
        </w:rPr>
        <w:t>6.</w:t>
      </w:r>
      <w:r w:rsidR="00BE6976">
        <w:tab/>
      </w:r>
      <w:r>
        <w:rPr>
          <w:rFonts w:hint="eastAsia"/>
        </w:rPr>
        <w:t>委员会赞赏缔约国为将性别层面纳入其发展合作方案和在这个框架内促进妇女人权所作努力。</w:t>
      </w:r>
    </w:p>
    <w:p w:rsidR="009A54E3" w:rsidRDefault="009A54E3" w:rsidP="009A54E3">
      <w:pPr>
        <w:pStyle w:val="SingleTxt"/>
        <w:rPr>
          <w:rFonts w:hint="eastAsia"/>
        </w:rPr>
      </w:pPr>
      <w:r>
        <w:rPr>
          <w:rFonts w:hint="eastAsia"/>
        </w:rPr>
        <w:t>7.</w:t>
      </w:r>
      <w:r>
        <w:rPr>
          <w:rFonts w:hint="eastAsia"/>
        </w:rPr>
        <w:tab/>
        <w:t>委员会赞扬缔约国于2008年12月11日批准“残疾人权利公约”。</w:t>
      </w:r>
    </w:p>
    <w:p w:rsidR="009A54E3" w:rsidRPr="00FC0813" w:rsidRDefault="009A54E3" w:rsidP="00FC08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FC0813">
        <w:rPr>
          <w:rFonts w:hint="eastAsia"/>
        </w:rPr>
        <w:t>主要关切领域和建议</w:t>
      </w:r>
    </w:p>
    <w:p w:rsidR="00FC0813" w:rsidRPr="00FC0813" w:rsidRDefault="00FC0813" w:rsidP="00FC0813">
      <w:pPr>
        <w:pStyle w:val="SingleTxt"/>
        <w:spacing w:after="0" w:line="120" w:lineRule="exact"/>
        <w:rPr>
          <w:rFonts w:hint="eastAsia"/>
          <w:sz w:val="10"/>
        </w:rPr>
      </w:pPr>
    </w:p>
    <w:p w:rsidR="009A54E3" w:rsidRDefault="009A54E3" w:rsidP="009A54E3">
      <w:pPr>
        <w:pStyle w:val="SingleTxt"/>
        <w:rPr>
          <w:rFonts w:hint="eastAsia"/>
        </w:rPr>
      </w:pPr>
      <w:r>
        <w:rPr>
          <w:rFonts w:hint="eastAsia"/>
        </w:rPr>
        <w:t>8.</w:t>
      </w:r>
      <w:r>
        <w:rPr>
          <w:rFonts w:hint="eastAsia"/>
        </w:rPr>
        <w:tab/>
      </w:r>
      <w:r w:rsidRPr="00497D3B">
        <w:rPr>
          <w:rFonts w:ascii="SimHei" w:eastAsia="SimHei" w:hint="eastAsia"/>
        </w:rPr>
        <w:t>委员会提请注意，缔约国有义务系统地、持续地执行《公约》各项规定，同时认为，从现在到提交下一次定期报告期间，缔约国必须优先注意本结论意见提出的各项关切的建议。因此，委员会促请缔约国将执行活动的重点放在这些领域上，并在下一次定期报告中汇报所采取的行动和取得的成果。委员会还吁请缔约国将本结论意见发交各相关部委和国民大会以及司法机关，以确保这些意见得到充分执行。</w:t>
      </w:r>
    </w:p>
    <w:p w:rsidR="009A54E3" w:rsidRPr="00FC0813" w:rsidRDefault="009A54E3" w:rsidP="00FC08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ascii="KaiTi_GB2312" w:eastAsia="KaiTi_GB2312" w:hint="eastAsia"/>
        </w:rPr>
      </w:pPr>
      <w:r w:rsidRPr="00FC0813">
        <w:rPr>
          <w:rFonts w:ascii="KaiTi_GB2312" w:eastAsia="KaiTi_GB2312" w:hint="eastAsia"/>
        </w:rPr>
        <w:t>国民大会</w:t>
      </w:r>
    </w:p>
    <w:p w:rsidR="00FC0813" w:rsidRPr="00FC0813" w:rsidRDefault="00FC0813" w:rsidP="00FC0813">
      <w:pPr>
        <w:pStyle w:val="SingleTxt"/>
        <w:spacing w:after="0" w:line="120" w:lineRule="exact"/>
        <w:rPr>
          <w:rFonts w:hint="eastAsia"/>
          <w:sz w:val="10"/>
        </w:rPr>
      </w:pPr>
    </w:p>
    <w:p w:rsidR="009A54E3" w:rsidRDefault="009A54E3" w:rsidP="009A54E3">
      <w:pPr>
        <w:pStyle w:val="SingleTxt"/>
        <w:rPr>
          <w:rFonts w:hint="eastAsia"/>
        </w:rPr>
      </w:pPr>
      <w:r>
        <w:rPr>
          <w:rFonts w:hint="eastAsia"/>
        </w:rPr>
        <w:t>9.</w:t>
      </w:r>
      <w:r w:rsidR="00BE6976">
        <w:tab/>
      </w:r>
      <w:r w:rsidRPr="00497D3B">
        <w:rPr>
          <w:rFonts w:ascii="SimHei" w:eastAsia="SimHei" w:hint="eastAsia"/>
        </w:rPr>
        <w:t>委员会重申，政府对充分执行缔约国的《公约》义务负有首要责任，尤其是要接受问责，同时强调《公约》对各政府部门具有约束力，并请缔约国鼓励国民大会根据其程序酌情采取必要步骤执行本结论意见，并按照《公约》的规定实施政府的下一次报告进程。</w:t>
      </w:r>
    </w:p>
    <w:p w:rsidR="009A54E3" w:rsidRPr="00FC0813" w:rsidRDefault="009A54E3" w:rsidP="00FC08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ascii="KaiTi_GB2312" w:eastAsia="KaiTi_GB2312" w:hint="eastAsia"/>
        </w:rPr>
      </w:pPr>
      <w:r w:rsidRPr="00FC0813">
        <w:rPr>
          <w:rFonts w:ascii="KaiTi_GB2312" w:eastAsia="KaiTi_GB2312" w:hint="eastAsia"/>
        </w:rPr>
        <w:t>保留</w:t>
      </w:r>
    </w:p>
    <w:p w:rsidR="00FC0813" w:rsidRPr="00FC0813" w:rsidRDefault="00FC0813" w:rsidP="00FC0813">
      <w:pPr>
        <w:pStyle w:val="SingleTxt"/>
        <w:spacing w:after="0" w:line="120" w:lineRule="exact"/>
        <w:rPr>
          <w:rFonts w:hint="eastAsia"/>
          <w:sz w:val="10"/>
        </w:rPr>
      </w:pPr>
    </w:p>
    <w:p w:rsidR="009A54E3" w:rsidRDefault="009A54E3" w:rsidP="00B52A06">
      <w:pPr>
        <w:pStyle w:val="SingleTxt"/>
        <w:spacing w:line="330" w:lineRule="exact"/>
        <w:rPr>
          <w:rFonts w:hint="eastAsia"/>
        </w:rPr>
      </w:pPr>
      <w:r>
        <w:rPr>
          <w:rFonts w:hint="eastAsia"/>
        </w:rPr>
        <w:t>10.</w:t>
      </w:r>
      <w:r>
        <w:rPr>
          <w:rFonts w:hint="eastAsia"/>
        </w:rPr>
        <w:tab/>
        <w:t>委员会承认收到了缔约国就其正在撤回对《公约》第16条第1款(g)项的保留进行的协商情况提供的资料，该项是关于夫妻有相同的个人权利，</w:t>
      </w:r>
      <w:r w:rsidR="00CE692E">
        <w:rPr>
          <w:rFonts w:hint="eastAsia"/>
        </w:rPr>
        <w:t>包括选择姓氏、专业和职业的权利</w:t>
      </w:r>
      <w:r>
        <w:rPr>
          <w:rFonts w:hint="eastAsia"/>
        </w:rPr>
        <w:t>，但委员会对没有结束这些协商以及撤回保留的明确时间框架表示担忧。</w:t>
      </w:r>
    </w:p>
    <w:p w:rsidR="009A54E3" w:rsidRDefault="009A54E3" w:rsidP="00B52A06">
      <w:pPr>
        <w:pStyle w:val="SingleTxt"/>
        <w:spacing w:line="330" w:lineRule="exact"/>
        <w:rPr>
          <w:rFonts w:hint="eastAsia"/>
        </w:rPr>
      </w:pPr>
      <w:r>
        <w:rPr>
          <w:rFonts w:hint="eastAsia"/>
        </w:rPr>
        <w:t>11.</w:t>
      </w:r>
      <w:r>
        <w:rPr>
          <w:rFonts w:hint="eastAsia"/>
        </w:rPr>
        <w:tab/>
      </w:r>
      <w:r w:rsidRPr="00497D3B">
        <w:rPr>
          <w:rFonts w:ascii="SimHei" w:eastAsia="SimHei" w:hint="eastAsia"/>
          <w:spacing w:val="-6"/>
        </w:rPr>
        <w:t>委员会重申其以前的建议</w:t>
      </w:r>
      <w:r w:rsidR="00BE6976" w:rsidRPr="00497D3B">
        <w:rPr>
          <w:rFonts w:ascii="SimHei" w:eastAsia="SimHei" w:hint="eastAsia"/>
          <w:spacing w:val="-6"/>
        </w:rPr>
        <w:t>(</w:t>
      </w:r>
      <w:r w:rsidRPr="00497D3B">
        <w:rPr>
          <w:rFonts w:ascii="SimHei" w:eastAsia="SimHei" w:hint="eastAsia"/>
          <w:spacing w:val="-6"/>
        </w:rPr>
        <w:t>见CEDAW/C/KOR/CO/6</w:t>
      </w:r>
      <w:r w:rsidR="00BE6976" w:rsidRPr="00497D3B">
        <w:rPr>
          <w:rFonts w:ascii="SimHei" w:eastAsia="SimHei" w:hint="eastAsia"/>
          <w:spacing w:val="-6"/>
        </w:rPr>
        <w:t>)</w:t>
      </w:r>
      <w:r w:rsidRPr="00497D3B">
        <w:rPr>
          <w:rFonts w:ascii="SimHei" w:eastAsia="SimHei" w:hint="eastAsia"/>
          <w:spacing w:val="-6"/>
        </w:rPr>
        <w:t>，并促请缔约国在其审议过程中将涉及第16条第1款(g)项的问题与那些涉及第1款(d)项的问题区分开来，以便加速努力，争取在具体的时间框架内撤回其对《公约》第16条第1款(g)项的保留。</w:t>
      </w:r>
    </w:p>
    <w:p w:rsidR="009A54E3" w:rsidRPr="00CE692E" w:rsidRDefault="009A54E3" w:rsidP="00B52A06">
      <w:pPr>
        <w:pStyle w:val="SingleTxt"/>
        <w:spacing w:line="330" w:lineRule="exact"/>
        <w:rPr>
          <w:rFonts w:ascii="KaiTi_GB2312" w:eastAsia="KaiTi_GB2312" w:hint="eastAsia"/>
        </w:rPr>
      </w:pPr>
      <w:r w:rsidRPr="00CE692E">
        <w:rPr>
          <w:rFonts w:ascii="KaiTi_GB2312" w:eastAsia="KaiTi_GB2312" w:hint="eastAsia"/>
        </w:rPr>
        <w:t>《公约》及其《任择议定书》的知名度</w:t>
      </w:r>
    </w:p>
    <w:p w:rsidR="009A54E3" w:rsidRDefault="009A54E3" w:rsidP="00B52A06">
      <w:pPr>
        <w:pStyle w:val="SingleTxt"/>
        <w:spacing w:line="310" w:lineRule="atLeast"/>
        <w:rPr>
          <w:rFonts w:hint="eastAsia"/>
        </w:rPr>
      </w:pPr>
      <w:r>
        <w:rPr>
          <w:rFonts w:hint="eastAsia"/>
        </w:rPr>
        <w:t>12.</w:t>
      </w:r>
      <w:r>
        <w:rPr>
          <w:rFonts w:hint="eastAsia"/>
        </w:rPr>
        <w:tab/>
        <w:t>委员会注意到对话期间提供的有关召开大型会议，在政府机关、司法当局、非政府组织和韩国妇女发展研究所中共享委员会先前的结论意见的资料。委员会还注意到缔约国努力在国民议会、传媒机构和法律界人士中宣传《公约》及其《任择议定书》。但是，委员会感到关切的是，这些举措没有将司法和执法官员作为宣传对象。委员会特别关切的是，妇女本身不知道《公约》规定的自己享有的权利或《任择议定书》规定的投诉程序，因此缺乏在与男子平等的基础上全面促进、保护和实现其权利的能力。</w:t>
      </w:r>
    </w:p>
    <w:p w:rsidR="009A54E3" w:rsidRDefault="009A54E3" w:rsidP="00B52A06">
      <w:pPr>
        <w:pStyle w:val="SingleTxt"/>
        <w:spacing w:line="310" w:lineRule="atLeast"/>
        <w:rPr>
          <w:rFonts w:hint="eastAsia"/>
        </w:rPr>
      </w:pPr>
      <w:r>
        <w:rPr>
          <w:rFonts w:hint="eastAsia"/>
        </w:rPr>
        <w:t>13.</w:t>
      </w:r>
      <w:r>
        <w:rPr>
          <w:rFonts w:hint="eastAsia"/>
        </w:rPr>
        <w:tab/>
      </w:r>
      <w:r w:rsidRPr="00497D3B">
        <w:rPr>
          <w:rFonts w:ascii="SimHei" w:eastAsia="SimHei" w:hint="eastAsia"/>
        </w:rPr>
        <w:t>委员会鼓励缔约国继续提高所有利益攸关者，包括政府各部委、议员、司法和执法人员对《公约》、《任择议定书》及其程序以及委员会一般性建议的认识，以便使人们了解妇女的人权。委员会还促请缔约国对妇女和司法机构开展教育和宣传运动，提高妇女对保护其人权的现有条款的认识，从而确保妇女能够在《公约》规定的权利受到侵犯时利用《任择议定书》规定的程序和补救措施。</w:t>
      </w:r>
    </w:p>
    <w:p w:rsidR="009A54E3" w:rsidRDefault="009A54E3" w:rsidP="00FC08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FC0813">
        <w:rPr>
          <w:rFonts w:ascii="KaiTi_GB2312" w:eastAsia="KaiTi_GB2312" w:hint="eastAsia"/>
        </w:rPr>
        <w:t>歧视性法律</w:t>
      </w:r>
    </w:p>
    <w:p w:rsidR="00FC0813" w:rsidRPr="00FC0813" w:rsidRDefault="00FC0813" w:rsidP="00FC0813">
      <w:pPr>
        <w:pStyle w:val="SingleTxt"/>
        <w:spacing w:after="0" w:line="120" w:lineRule="exact"/>
        <w:rPr>
          <w:rFonts w:hint="eastAsia"/>
          <w:sz w:val="10"/>
        </w:rPr>
      </w:pPr>
    </w:p>
    <w:p w:rsidR="009A54E3" w:rsidRDefault="009A54E3" w:rsidP="00B52A06">
      <w:pPr>
        <w:pStyle w:val="SingleTxt"/>
        <w:spacing w:line="304" w:lineRule="exact"/>
        <w:rPr>
          <w:rFonts w:hint="eastAsia"/>
        </w:rPr>
      </w:pPr>
      <w:r>
        <w:rPr>
          <w:rFonts w:hint="eastAsia"/>
        </w:rPr>
        <w:t>14.</w:t>
      </w:r>
      <w:r>
        <w:rPr>
          <w:rFonts w:hint="eastAsia"/>
        </w:rPr>
        <w:tab/>
        <w:t>虽然委员会注意到，反歧视法小组委员会就通过《反歧视法》和差不多90项关于歧视问题的现有法律开展的协商已于2010年底结束，但委员会感到遗憾的是，缺少有关这些协商的结果的资料，缔约国通过《反歧视法》的进展缓慢，自2008年5月以来一直被搁置。</w:t>
      </w:r>
    </w:p>
    <w:p w:rsidR="009A54E3" w:rsidRDefault="009A54E3" w:rsidP="00B52A06">
      <w:pPr>
        <w:pStyle w:val="SingleTxt"/>
        <w:spacing w:line="304" w:lineRule="exact"/>
        <w:rPr>
          <w:rFonts w:hint="eastAsia"/>
        </w:rPr>
      </w:pPr>
      <w:r>
        <w:rPr>
          <w:rFonts w:hint="eastAsia"/>
        </w:rPr>
        <w:t>15.</w:t>
      </w:r>
      <w:r>
        <w:rPr>
          <w:rFonts w:hint="eastAsia"/>
        </w:rPr>
        <w:tab/>
      </w:r>
      <w:r w:rsidRPr="00497D3B">
        <w:rPr>
          <w:rFonts w:ascii="SimHei" w:eastAsia="SimHei" w:hint="eastAsia"/>
        </w:rPr>
        <w:t>委员会呼吁缔约国采取紧急步骤，按照《公约》第1和第2条以及委员会第28</w:t>
      </w:r>
      <w:r w:rsidR="00BE6976" w:rsidRPr="00497D3B">
        <w:rPr>
          <w:rFonts w:ascii="SimHei" w:eastAsia="SimHei" w:hint="eastAsia"/>
        </w:rPr>
        <w:t>(</w:t>
      </w:r>
      <w:r w:rsidRPr="00497D3B">
        <w:rPr>
          <w:rFonts w:ascii="SimHei" w:eastAsia="SimHei" w:hint="eastAsia"/>
        </w:rPr>
        <w:t>2010</w:t>
      </w:r>
      <w:r w:rsidR="00BE6976" w:rsidRPr="00497D3B">
        <w:rPr>
          <w:rFonts w:ascii="SimHei" w:eastAsia="SimHei" w:hint="eastAsia"/>
        </w:rPr>
        <w:t>)</w:t>
      </w:r>
      <w:r w:rsidRPr="00497D3B">
        <w:rPr>
          <w:rFonts w:ascii="SimHei" w:eastAsia="SimHei" w:hint="eastAsia"/>
        </w:rPr>
        <w:t>号一般性建议并且还考虑到禁止基于性取向歧视的《全国人权委员会法》(韩国2005)第2条第4款，通过一部全面的《反歧视法》，其中明确禁止一切形式的歧视，直接和间接的歧视。</w:t>
      </w:r>
    </w:p>
    <w:p w:rsidR="009A54E3" w:rsidRPr="00FC0813" w:rsidRDefault="009A54E3" w:rsidP="00B52A06">
      <w:pPr>
        <w:pStyle w:val="SingleTxt"/>
        <w:spacing w:line="304" w:lineRule="exact"/>
        <w:rPr>
          <w:rFonts w:ascii="KaiTi_GB2312" w:eastAsia="KaiTi_GB2312" w:hint="eastAsia"/>
        </w:rPr>
      </w:pPr>
      <w:r w:rsidRPr="00FC0813">
        <w:rPr>
          <w:rFonts w:ascii="KaiTi_GB2312" w:eastAsia="KaiTi_GB2312" w:hint="eastAsia"/>
        </w:rPr>
        <w:t>提高妇女地位的国家机构</w:t>
      </w:r>
    </w:p>
    <w:p w:rsidR="009A54E3" w:rsidRDefault="009A54E3" w:rsidP="00B52A06">
      <w:pPr>
        <w:pStyle w:val="SingleTxt"/>
        <w:spacing w:line="304" w:lineRule="exact"/>
        <w:rPr>
          <w:rFonts w:hint="eastAsia"/>
        </w:rPr>
      </w:pPr>
      <w:r>
        <w:rPr>
          <w:rFonts w:hint="eastAsia"/>
        </w:rPr>
        <w:t>16.</w:t>
      </w:r>
      <w:r>
        <w:rPr>
          <w:rFonts w:hint="eastAsia"/>
        </w:rPr>
        <w:tab/>
        <w:t>委员会注意到，自从2010年3月恢复两性平等和家庭部作为负责所有有关妇女、青年和家庭的政策的政府机构的任务规定以来，划拨给该部的人力和财力资源有所增加。但是，委员会感到关切的是，将家庭事务和两性平等合并为一个单一任务，可能直接或间接地加强传统的重男轻女的规范，影响到实现两性平等。此外，委员会注意到，通过两性平等和家庭部对横跨各级政府的现有公共政策和方案进行的评估来保障性别平等主流化，但委员会感到关切的是，性别影响评估被用作事后而不是事前工具，所以，该部对此类公共政策和方案的实际拟定、设计和实施影响很小。此外，委员会注意到缺乏一种明确界定的协调机制来确保横向和纵向一致地实施两性平等方案。委员会还感到关切的是，尽管如《国家财政法》所示，政府机构的促进性别平等的预算编制是强制性的，但是，从整个公共预算中划拨给用于增强妇女权能的财政资源非常有限。</w:t>
      </w:r>
    </w:p>
    <w:p w:rsidR="009A54E3" w:rsidRPr="00497D3B" w:rsidRDefault="009A54E3" w:rsidP="00B52A06">
      <w:pPr>
        <w:pStyle w:val="SingleTxt"/>
        <w:spacing w:line="304" w:lineRule="exact"/>
        <w:rPr>
          <w:rFonts w:ascii="SimHei" w:eastAsia="SimHei" w:hint="eastAsia"/>
        </w:rPr>
      </w:pPr>
      <w:r>
        <w:rPr>
          <w:rFonts w:hint="eastAsia"/>
        </w:rPr>
        <w:t>17.</w:t>
      </w:r>
      <w:r>
        <w:rPr>
          <w:rFonts w:hint="eastAsia"/>
        </w:rPr>
        <w:tab/>
      </w:r>
      <w:r w:rsidRPr="00497D3B">
        <w:rPr>
          <w:rFonts w:ascii="SimHei" w:eastAsia="SimHei" w:hint="eastAsia"/>
        </w:rPr>
        <w:t>委员会回顾其第6号一般性建议和《北京行动纲要》内规定的准则，特别是有关为国家机制的有效运作建立必要条件方面的准则，建议缔约国：</w:t>
      </w:r>
    </w:p>
    <w:p w:rsidR="009A54E3" w:rsidRPr="00497D3B" w:rsidRDefault="009A54E3" w:rsidP="009A54E3">
      <w:pPr>
        <w:pStyle w:val="SingleTxt"/>
        <w:rPr>
          <w:rFonts w:ascii="SimHei" w:eastAsia="SimHei" w:hint="eastAsia"/>
        </w:rPr>
      </w:pPr>
      <w:r w:rsidRPr="00497D3B">
        <w:rPr>
          <w:rFonts w:ascii="SimHei" w:eastAsia="SimHei" w:hint="eastAsia"/>
        </w:rPr>
        <w:tab/>
        <w:t>(a)</w:t>
      </w:r>
      <w:r w:rsidRPr="00497D3B">
        <w:rPr>
          <w:rFonts w:ascii="SimHei" w:eastAsia="SimHei" w:hint="eastAsia"/>
        </w:rPr>
        <w:tab/>
        <w:t>明确界定两性平等和家庭部的任务、责任和给三个组成部分(两性平等、青年和家庭)划拨人力和财力资源，以及建立一个明确的协调机制，确保该部工作在横向和纵向方面均协调一致；</w:t>
      </w:r>
    </w:p>
    <w:p w:rsidR="009A54E3" w:rsidRPr="00497D3B" w:rsidRDefault="009A54E3" w:rsidP="009A54E3">
      <w:pPr>
        <w:pStyle w:val="SingleTxt"/>
        <w:rPr>
          <w:rFonts w:ascii="SimHei" w:eastAsia="SimHei" w:hint="eastAsia"/>
        </w:rPr>
      </w:pPr>
      <w:r w:rsidRPr="00497D3B">
        <w:rPr>
          <w:rFonts w:ascii="SimHei" w:eastAsia="SimHei" w:hint="eastAsia"/>
        </w:rPr>
        <w:tab/>
        <w:t>(b)</w:t>
      </w:r>
      <w:r w:rsidRPr="00497D3B">
        <w:rPr>
          <w:rFonts w:ascii="SimHei" w:eastAsia="SimHei" w:hint="eastAsia"/>
        </w:rPr>
        <w:tab/>
        <w:t>加强两性平等和家庭部的有关能力，利用性别影响评估向拟定和实施两性平等领域的立法和政策措施提供资料，并向各级政府促进性别平等的预算编制提供资料，就此类措施提供咨询意见，进行协调和监测。</w:t>
      </w:r>
    </w:p>
    <w:p w:rsidR="009A54E3" w:rsidRDefault="009A54E3" w:rsidP="00B52A06">
      <w:pPr>
        <w:pStyle w:val="SingleTxt"/>
        <w:spacing w:line="310" w:lineRule="exact"/>
        <w:rPr>
          <w:rFonts w:hint="eastAsia"/>
        </w:rPr>
      </w:pPr>
      <w:r>
        <w:rPr>
          <w:rFonts w:hint="eastAsia"/>
        </w:rPr>
        <w:t>18.</w:t>
      </w:r>
      <w:r>
        <w:rPr>
          <w:rFonts w:hint="eastAsia"/>
        </w:rPr>
        <w:tab/>
        <w:t>委员会注意到《第三个妇女政策基本计划》(2008至2012年)获得通过，其中，除其他外，包含两项政策目标，妇女积极参与国家管理和改善妇女的经济能力。然而，委员会感到关切的是，一些部和政府机构中取消妇女政策股和两性平等事务官员可能会给该计划的整体实施带来负面影响。</w:t>
      </w:r>
    </w:p>
    <w:p w:rsidR="009A54E3" w:rsidRDefault="009A54E3" w:rsidP="00B52A06">
      <w:pPr>
        <w:pStyle w:val="SingleTxt"/>
        <w:spacing w:line="310" w:lineRule="exact"/>
        <w:rPr>
          <w:rFonts w:hint="eastAsia"/>
        </w:rPr>
      </w:pPr>
      <w:r>
        <w:rPr>
          <w:rFonts w:hint="eastAsia"/>
        </w:rPr>
        <w:t>19.</w:t>
      </w:r>
      <w:r>
        <w:rPr>
          <w:rFonts w:hint="eastAsia"/>
        </w:rPr>
        <w:tab/>
      </w:r>
      <w:r w:rsidRPr="00497D3B">
        <w:rPr>
          <w:rFonts w:ascii="SimHei" w:eastAsia="SimHei" w:hint="eastAsia"/>
        </w:rPr>
        <w:t>委员会建议缔约国采取必要措施，确保充分实施《第三个妇女政策基本计划》(2008至2012年)，其中包括采用恢复妇女股和两性平等事务官员等办法。</w:t>
      </w:r>
    </w:p>
    <w:p w:rsidR="009A54E3" w:rsidRPr="00FC0813" w:rsidRDefault="009A54E3" w:rsidP="00B52A06">
      <w:pPr>
        <w:pStyle w:val="SingleTxt"/>
        <w:spacing w:line="310" w:lineRule="exact"/>
        <w:rPr>
          <w:rFonts w:ascii="KaiTi_GB2312" w:eastAsia="KaiTi_GB2312" w:hint="eastAsia"/>
        </w:rPr>
      </w:pPr>
      <w:r w:rsidRPr="00FC0813">
        <w:rPr>
          <w:rFonts w:ascii="KaiTi_GB2312" w:eastAsia="KaiTi_GB2312" w:hint="eastAsia"/>
        </w:rPr>
        <w:t>暴力侵害妇女行为</w:t>
      </w:r>
    </w:p>
    <w:p w:rsidR="009A54E3" w:rsidRDefault="009A54E3" w:rsidP="00B52A06">
      <w:pPr>
        <w:pStyle w:val="SingleTxt"/>
        <w:spacing w:line="310" w:lineRule="exact"/>
        <w:rPr>
          <w:rFonts w:hint="eastAsia"/>
        </w:rPr>
      </w:pPr>
      <w:r>
        <w:rPr>
          <w:rFonts w:hint="eastAsia"/>
        </w:rPr>
        <w:t>20.</w:t>
      </w:r>
      <w:r>
        <w:rPr>
          <w:rFonts w:hint="eastAsia"/>
        </w:rPr>
        <w:tab/>
        <w:t>委员会注意到已有诸多保护性暴力和家庭暴力的受害者的措施到位，如推出紧急热线、设有国家运营的暴力受害者咨询中心和庇护所，包括为沦为家庭暴力受害者的外国妻子设立的特别中心，但同时委员会感到关切的是，尽管根据《关于惩处家庭暴力的特别程序法》第4条，教育和卫生保健专业人员以及社会工作者有义务报告此类案件，但报案率偏低，与缔约国境内发生的家庭暴力案件的实际数量不符。委员会还感到关切的是，《刑法》条款规定，性暴力的成年受害者需进行投诉，才能起诉其案件，因此提出指控的受害者人数较少，起诉及定罪率偏低。委员会还对可用来处理性暴力和家庭暴力案件的女警官数量有限表示关切。委员会重申，对缔约国未在立法中而仅在案例法中将婚内强奸定为刑事犯罪表示遗憾。</w:t>
      </w:r>
    </w:p>
    <w:p w:rsidR="009A54E3" w:rsidRPr="00497D3B" w:rsidRDefault="009A54E3" w:rsidP="00B52A06">
      <w:pPr>
        <w:pStyle w:val="SingleTxt"/>
        <w:spacing w:line="310" w:lineRule="exact"/>
        <w:rPr>
          <w:rFonts w:ascii="SimHei" w:eastAsia="SimHei" w:hint="eastAsia"/>
        </w:rPr>
      </w:pPr>
      <w:r>
        <w:rPr>
          <w:rFonts w:hint="eastAsia"/>
        </w:rPr>
        <w:t>21.</w:t>
      </w:r>
      <w:r>
        <w:rPr>
          <w:rFonts w:hint="eastAsia"/>
        </w:rPr>
        <w:tab/>
      </w:r>
      <w:r w:rsidRPr="00497D3B">
        <w:rPr>
          <w:rFonts w:ascii="SimHei" w:eastAsia="SimHei" w:hint="eastAsia"/>
        </w:rPr>
        <w:t>委员会呼吁缔约国：</w:t>
      </w:r>
    </w:p>
    <w:p w:rsidR="009A54E3" w:rsidRPr="00497D3B" w:rsidRDefault="009A54E3" w:rsidP="00B52A06">
      <w:pPr>
        <w:pStyle w:val="SingleTxt"/>
        <w:spacing w:line="310" w:lineRule="exact"/>
        <w:rPr>
          <w:rFonts w:ascii="SimHei" w:eastAsia="SimHei" w:hint="eastAsia"/>
        </w:rPr>
      </w:pPr>
      <w:r w:rsidRPr="00497D3B">
        <w:rPr>
          <w:rFonts w:ascii="SimHei" w:eastAsia="SimHei" w:hint="eastAsia"/>
        </w:rPr>
        <w:tab/>
        <w:t>(a)</w:t>
      </w:r>
      <w:r w:rsidRPr="00497D3B">
        <w:rPr>
          <w:rFonts w:ascii="SimHei" w:eastAsia="SimHei" w:hint="eastAsia"/>
        </w:rPr>
        <w:tab/>
        <w:t>采取必要措施，鼓励报告家庭暴力和性暴力案件，包括确保教育专业人士、医疗卫生工作者和社会工作者充分熟悉有关法律规定，对所有形式的暴力侵害妇女行为有敏感认识，并能够遵守其报案的义务；</w:t>
      </w:r>
    </w:p>
    <w:p w:rsidR="009A54E3" w:rsidRPr="00497D3B" w:rsidRDefault="009A54E3" w:rsidP="00B52A06">
      <w:pPr>
        <w:pStyle w:val="SingleTxt"/>
        <w:spacing w:line="310" w:lineRule="exact"/>
        <w:rPr>
          <w:rFonts w:ascii="SimHei" w:eastAsia="SimHei" w:hint="eastAsia"/>
        </w:rPr>
      </w:pPr>
      <w:r w:rsidRPr="00497D3B">
        <w:rPr>
          <w:rFonts w:ascii="SimHei" w:eastAsia="SimHei" w:hint="eastAsia"/>
        </w:rPr>
        <w:tab/>
        <w:t>(b)</w:t>
      </w:r>
      <w:r w:rsidRPr="00497D3B">
        <w:rPr>
          <w:rFonts w:ascii="SimHei" w:eastAsia="SimHei" w:hint="eastAsia"/>
        </w:rPr>
        <w:tab/>
        <w:t>审查和修订《刑法》和其他有关立法，取消需要性暴力成年受害者投诉才能起诉其案件的条款；</w:t>
      </w:r>
    </w:p>
    <w:p w:rsidR="009A54E3" w:rsidRPr="00497D3B" w:rsidRDefault="009A54E3" w:rsidP="00B52A06">
      <w:pPr>
        <w:pStyle w:val="SingleTxt"/>
        <w:spacing w:line="310" w:lineRule="exact"/>
        <w:rPr>
          <w:rFonts w:ascii="SimHei" w:eastAsia="SimHei" w:hint="eastAsia"/>
        </w:rPr>
      </w:pPr>
      <w:r w:rsidRPr="00497D3B">
        <w:rPr>
          <w:rFonts w:ascii="SimHei" w:eastAsia="SimHei" w:hint="eastAsia"/>
        </w:rPr>
        <w:tab/>
        <w:t>(c)</w:t>
      </w:r>
      <w:r w:rsidRPr="00497D3B">
        <w:rPr>
          <w:rFonts w:ascii="SimHei" w:eastAsia="SimHei" w:hint="eastAsia"/>
        </w:rPr>
        <w:tab/>
        <w:t>采取措施增加女警官的数量，并采取步骤提高她们以对性别问题有敏感认识的方式处理暴力侵害妇女案件的能力；</w:t>
      </w:r>
    </w:p>
    <w:p w:rsidR="009A54E3" w:rsidRPr="00497D3B" w:rsidRDefault="009A54E3" w:rsidP="009A54E3">
      <w:pPr>
        <w:pStyle w:val="SingleTxt"/>
        <w:rPr>
          <w:rFonts w:ascii="SimHei" w:eastAsia="SimHei" w:hint="eastAsia"/>
        </w:rPr>
      </w:pPr>
      <w:r w:rsidRPr="00497D3B">
        <w:rPr>
          <w:rFonts w:ascii="SimHei" w:eastAsia="SimHei" w:hint="eastAsia"/>
        </w:rPr>
        <w:tab/>
        <w:t>(d)</w:t>
      </w:r>
      <w:r w:rsidRPr="00497D3B">
        <w:rPr>
          <w:rFonts w:ascii="SimHei" w:eastAsia="SimHei" w:hint="eastAsia"/>
        </w:rPr>
        <w:tab/>
        <w:t>对妇女，包括外国妇女开展提高认识运动，使她们了解自己的权利和矫正的途径，其中包括可用于保护和防止家庭暴力的措施；</w:t>
      </w:r>
    </w:p>
    <w:p w:rsidR="009A54E3" w:rsidRPr="00497D3B" w:rsidRDefault="009A54E3" w:rsidP="009A54E3">
      <w:pPr>
        <w:pStyle w:val="SingleTxt"/>
        <w:rPr>
          <w:rFonts w:ascii="SimHei" w:eastAsia="SimHei" w:hint="eastAsia"/>
        </w:rPr>
      </w:pPr>
      <w:r w:rsidRPr="00497D3B">
        <w:rPr>
          <w:rFonts w:ascii="SimHei" w:eastAsia="SimHei" w:hint="eastAsia"/>
        </w:rPr>
        <w:tab/>
        <w:t>(e)</w:t>
      </w:r>
      <w:r w:rsidRPr="00497D3B">
        <w:rPr>
          <w:rFonts w:ascii="SimHei" w:eastAsia="SimHei" w:hint="eastAsia"/>
        </w:rPr>
        <w:tab/>
        <w:t>采取一切必要的立法措施，将基于没有妻子同意而界定的婚内强奸定为刑事犯罪；</w:t>
      </w:r>
    </w:p>
    <w:p w:rsidR="009A54E3" w:rsidRDefault="009A54E3" w:rsidP="009A54E3">
      <w:pPr>
        <w:pStyle w:val="SingleTxt"/>
        <w:rPr>
          <w:rFonts w:hint="eastAsia"/>
        </w:rPr>
      </w:pPr>
      <w:r w:rsidRPr="00497D3B">
        <w:rPr>
          <w:rFonts w:ascii="SimHei" w:eastAsia="SimHei" w:hint="eastAsia"/>
        </w:rPr>
        <w:tab/>
        <w:t>(f)</w:t>
      </w:r>
      <w:r w:rsidRPr="00497D3B">
        <w:rPr>
          <w:rFonts w:ascii="SimHei" w:eastAsia="SimHei" w:hint="eastAsia"/>
        </w:rPr>
        <w:tab/>
        <w:t>按照委员会第19</w:t>
      </w:r>
      <w:r w:rsidR="00BE6976" w:rsidRPr="00497D3B">
        <w:rPr>
          <w:rFonts w:ascii="SimHei" w:eastAsia="SimHei" w:hint="eastAsia"/>
        </w:rPr>
        <w:t>(</w:t>
      </w:r>
      <w:r w:rsidRPr="00497D3B">
        <w:rPr>
          <w:rFonts w:ascii="SimHei" w:eastAsia="SimHei" w:hint="eastAsia"/>
        </w:rPr>
        <w:t>1992</w:t>
      </w:r>
      <w:r w:rsidR="00BE6976" w:rsidRPr="00497D3B">
        <w:rPr>
          <w:rFonts w:ascii="SimHei" w:eastAsia="SimHei" w:hint="eastAsia"/>
        </w:rPr>
        <w:t>)</w:t>
      </w:r>
      <w:r w:rsidRPr="00497D3B">
        <w:rPr>
          <w:rFonts w:ascii="SimHei" w:eastAsia="SimHei" w:hint="eastAsia"/>
        </w:rPr>
        <w:t>号一般性建议，就包括家庭范围内的暴力在内的一切形式的暴力侵害妇女行为的普遍程度、根源及后果收集数据和进行研究，并使用此类数据作为今后制定进一步综合措施和定向干预措施的依据。委员会请缔约国在下一次定期报告中列入统计数据和所采取措施的结果</w:t>
      </w:r>
      <w:r>
        <w:rPr>
          <w:rFonts w:hint="eastAsia"/>
        </w:rPr>
        <w:t>。</w:t>
      </w:r>
    </w:p>
    <w:p w:rsidR="009A54E3" w:rsidRPr="00FC0813" w:rsidRDefault="009A54E3" w:rsidP="009A54E3">
      <w:pPr>
        <w:pStyle w:val="SingleTxt"/>
        <w:rPr>
          <w:rFonts w:ascii="KaiTi_GB2312" w:eastAsia="KaiTi_GB2312" w:hint="eastAsia"/>
        </w:rPr>
      </w:pPr>
      <w:r w:rsidRPr="00FC0813">
        <w:rPr>
          <w:rFonts w:ascii="KaiTi_GB2312" w:eastAsia="KaiTi_GB2312" w:hint="eastAsia"/>
        </w:rPr>
        <w:t>贩运和利用妇女卖淫营利</w:t>
      </w:r>
    </w:p>
    <w:p w:rsidR="009A54E3" w:rsidRDefault="009A54E3" w:rsidP="00B52A06">
      <w:pPr>
        <w:pStyle w:val="SingleTxt"/>
        <w:spacing w:line="314" w:lineRule="exact"/>
        <w:rPr>
          <w:rFonts w:hint="eastAsia"/>
        </w:rPr>
      </w:pPr>
      <w:r>
        <w:rPr>
          <w:rFonts w:hint="eastAsia"/>
        </w:rPr>
        <w:t>22.</w:t>
      </w:r>
      <w:r>
        <w:rPr>
          <w:rFonts w:hint="eastAsia"/>
        </w:rPr>
        <w:tab/>
        <w:t>委员会感到关切的是，缔约国缺乏处理贩运人口问题的一部综合法令，并重申其对贩运和利用妇女卖淫营利的持续存在和缺乏有关这些现象的数据的关切。委员会特别关注持E-6娱乐工作签证进入该国的移徙女工和通过国际婚姻中介机构进入该国的外国妻子，因为收到的资料表明，其中许多妇女是贩运和利用妇女卖淫营利的受害者。委员会还担心，尽管缔约国内从事卖淫的妇女可能有接受咨询中心服务的机会，但她们必须证明自己的受害者身份，以便不会因卖淫罪被起诉。此外，委员会感到关切的是，缔约国仅仅签署但尚未批准《关于预防、禁止和惩治贩运人口特别是妇女和儿童行为的议定书》和《联合国打击跨国有组织犯罪公约的补充议定书》。</w:t>
      </w:r>
    </w:p>
    <w:p w:rsidR="009A54E3" w:rsidRDefault="009A54E3" w:rsidP="00B52A06">
      <w:pPr>
        <w:pStyle w:val="SingleTxt"/>
        <w:spacing w:line="314" w:lineRule="exact"/>
        <w:rPr>
          <w:rFonts w:hint="eastAsia"/>
        </w:rPr>
      </w:pPr>
      <w:r>
        <w:rPr>
          <w:rFonts w:hint="eastAsia"/>
        </w:rPr>
        <w:t>23.</w:t>
      </w:r>
      <w:r>
        <w:rPr>
          <w:rFonts w:hint="eastAsia"/>
        </w:rPr>
        <w:tab/>
      </w:r>
      <w:r w:rsidRPr="00497D3B">
        <w:rPr>
          <w:rFonts w:ascii="SimHei" w:eastAsia="SimHei" w:hint="eastAsia"/>
        </w:rPr>
        <w:t>委员会重申其要求全面落实《公约》第6条的建议</w:t>
      </w:r>
      <w:r w:rsidR="00BE6976" w:rsidRPr="00497D3B">
        <w:rPr>
          <w:rFonts w:ascii="SimHei" w:eastAsia="SimHei" w:hint="eastAsia"/>
        </w:rPr>
        <w:t>(</w:t>
      </w:r>
      <w:r w:rsidRPr="00497D3B">
        <w:rPr>
          <w:rFonts w:ascii="SimHei" w:eastAsia="SimHei" w:hint="eastAsia"/>
        </w:rPr>
        <w:t>见CEDAW/C/KOR/CO/6</w:t>
      </w:r>
      <w:r w:rsidR="00BE6976" w:rsidRPr="00497D3B">
        <w:rPr>
          <w:rFonts w:ascii="SimHei" w:eastAsia="SimHei" w:hint="eastAsia"/>
        </w:rPr>
        <w:t>)</w:t>
      </w:r>
      <w:r w:rsidRPr="00497D3B">
        <w:rPr>
          <w:rFonts w:ascii="SimHei" w:eastAsia="SimHei" w:hint="eastAsia"/>
        </w:rPr>
        <w:t>，并促请缔约国：</w:t>
      </w:r>
    </w:p>
    <w:p w:rsidR="009A54E3" w:rsidRPr="00224661" w:rsidRDefault="009A54E3" w:rsidP="00B52A06">
      <w:pPr>
        <w:pStyle w:val="SingleTxt"/>
        <w:spacing w:line="314" w:lineRule="exact"/>
        <w:rPr>
          <w:rFonts w:ascii="SimHei" w:eastAsia="SimHei" w:hint="eastAsia"/>
        </w:rPr>
      </w:pPr>
      <w:r w:rsidRPr="00224661">
        <w:rPr>
          <w:rFonts w:ascii="SimHei" w:eastAsia="SimHei" w:hint="eastAsia"/>
        </w:rPr>
        <w:tab/>
        <w:t>(a)</w:t>
      </w:r>
      <w:r w:rsidRPr="00224661">
        <w:rPr>
          <w:rFonts w:ascii="SimHei" w:eastAsia="SimHei" w:hint="eastAsia"/>
        </w:rPr>
        <w:tab/>
        <w:t>通过一项关于贩运人口的全面法律，并修改有关立法，如《刑法》，将贩运列入一种犯罪；</w:t>
      </w:r>
    </w:p>
    <w:p w:rsidR="009A54E3" w:rsidRPr="00224661" w:rsidRDefault="009A54E3" w:rsidP="00B52A06">
      <w:pPr>
        <w:pStyle w:val="SingleTxt"/>
        <w:spacing w:line="314" w:lineRule="exact"/>
        <w:rPr>
          <w:rFonts w:ascii="SimHei" w:eastAsia="SimHei" w:hint="eastAsia"/>
        </w:rPr>
      </w:pPr>
      <w:r w:rsidRPr="00224661">
        <w:rPr>
          <w:rFonts w:ascii="SimHei" w:eastAsia="SimHei" w:hint="eastAsia"/>
        </w:rPr>
        <w:tab/>
        <w:t>(b)</w:t>
      </w:r>
      <w:r w:rsidRPr="00224661">
        <w:rPr>
          <w:rFonts w:ascii="SimHei" w:eastAsia="SimHei" w:hint="eastAsia"/>
        </w:rPr>
        <w:tab/>
        <w:t>采取措施，加强对聘请外国妇女的娱乐公司的当前初步筛选程序，并建立对有持E-6签证工作的妇女的场所进行有效现场监测的机制，以确保她们不会被利用来卖淫营利；</w:t>
      </w:r>
    </w:p>
    <w:p w:rsidR="009A54E3" w:rsidRPr="00224661" w:rsidRDefault="009A54E3" w:rsidP="00B52A06">
      <w:pPr>
        <w:pStyle w:val="SingleTxt"/>
        <w:spacing w:line="314" w:lineRule="exact"/>
        <w:rPr>
          <w:rFonts w:ascii="SimHei" w:eastAsia="SimHei" w:hint="eastAsia"/>
        </w:rPr>
      </w:pPr>
      <w:r w:rsidRPr="00224661">
        <w:rPr>
          <w:rFonts w:ascii="SimHei" w:eastAsia="SimHei" w:hint="eastAsia"/>
        </w:rPr>
        <w:tab/>
        <w:t>(c)</w:t>
      </w:r>
      <w:r w:rsidRPr="00224661">
        <w:rPr>
          <w:rFonts w:ascii="SimHei" w:eastAsia="SimHei" w:hint="eastAsia"/>
        </w:rPr>
        <w:tab/>
        <w:t>采取立法和其他措施，确保有效实施《婚姻中介控制法》，以保护外国妇女免遭婚姻中介、贩运者和其配偶的剥削和虐待；</w:t>
      </w:r>
    </w:p>
    <w:p w:rsidR="009A54E3" w:rsidRPr="00224661" w:rsidRDefault="009A54E3" w:rsidP="00B52A06">
      <w:pPr>
        <w:pStyle w:val="SingleTxt"/>
        <w:spacing w:line="314" w:lineRule="exact"/>
        <w:rPr>
          <w:rFonts w:ascii="SimHei" w:eastAsia="SimHei" w:hint="eastAsia"/>
        </w:rPr>
      </w:pPr>
      <w:r w:rsidRPr="00224661">
        <w:rPr>
          <w:rFonts w:ascii="SimHei" w:eastAsia="SimHei" w:hint="eastAsia"/>
        </w:rPr>
        <w:tab/>
        <w:t>(d)</w:t>
      </w:r>
      <w:r w:rsidRPr="00224661">
        <w:rPr>
          <w:rFonts w:ascii="SimHei" w:eastAsia="SimHei" w:hint="eastAsia"/>
        </w:rPr>
        <w:tab/>
        <w:t>审查其有关卖淫方面的政策和相关法例，包括《刑法》，以确保妇女不因参与卖淫和性交易而被定为刑事犯罪；</w:t>
      </w:r>
    </w:p>
    <w:p w:rsidR="009A54E3" w:rsidRPr="00224661" w:rsidRDefault="009A54E3" w:rsidP="00B52A06">
      <w:pPr>
        <w:pStyle w:val="SingleTxt"/>
        <w:spacing w:line="314" w:lineRule="exact"/>
        <w:rPr>
          <w:rFonts w:ascii="SimHei" w:eastAsia="SimHei" w:hint="eastAsia"/>
        </w:rPr>
      </w:pPr>
      <w:r w:rsidRPr="00224661">
        <w:rPr>
          <w:rFonts w:ascii="SimHei" w:eastAsia="SimHei" w:hint="eastAsia"/>
        </w:rPr>
        <w:tab/>
        <w:t>(e)</w:t>
      </w:r>
      <w:r w:rsidRPr="00224661">
        <w:rPr>
          <w:rFonts w:ascii="SimHei" w:eastAsia="SimHei" w:hint="eastAsia"/>
        </w:rPr>
        <w:tab/>
        <w:t>采取进一步措施，保护和支持身为贩运受害者的妇女和女孩，并解决贩运的根源问题；</w:t>
      </w:r>
    </w:p>
    <w:p w:rsidR="009A54E3" w:rsidRPr="00224661" w:rsidRDefault="009A54E3" w:rsidP="00B52A06">
      <w:pPr>
        <w:pStyle w:val="SingleTxt"/>
        <w:spacing w:line="314" w:lineRule="exact"/>
        <w:rPr>
          <w:rFonts w:ascii="SimHei" w:eastAsia="SimHei" w:hint="eastAsia"/>
        </w:rPr>
      </w:pPr>
      <w:r w:rsidRPr="00224661">
        <w:rPr>
          <w:rFonts w:ascii="SimHei" w:eastAsia="SimHei" w:hint="eastAsia"/>
        </w:rPr>
        <w:tab/>
        <w:t>(f)</w:t>
      </w:r>
      <w:r w:rsidRPr="00224661">
        <w:rPr>
          <w:rFonts w:ascii="SimHei" w:eastAsia="SimHei" w:hint="eastAsia"/>
        </w:rPr>
        <w:tab/>
        <w:t>采取适当措施，制止利用妇女卖淫营利，包括阻止对卖淫的需求，并为被利用来卖淫营利的妇女和女孩提供复原和增强经济能力的方案，从而促进其重新融入社会；</w:t>
      </w:r>
    </w:p>
    <w:p w:rsidR="009A54E3" w:rsidRDefault="009A54E3" w:rsidP="00B52A06">
      <w:pPr>
        <w:pStyle w:val="SingleTxt"/>
        <w:spacing w:line="314" w:lineRule="exact"/>
        <w:rPr>
          <w:rFonts w:hint="eastAsia"/>
        </w:rPr>
      </w:pPr>
      <w:r w:rsidRPr="00224661">
        <w:rPr>
          <w:rFonts w:ascii="SimHei" w:eastAsia="SimHei" w:hint="eastAsia"/>
        </w:rPr>
        <w:tab/>
        <w:t>(g)</w:t>
      </w:r>
      <w:r w:rsidRPr="00224661">
        <w:rPr>
          <w:rFonts w:ascii="SimHei" w:eastAsia="SimHei" w:hint="eastAsia"/>
        </w:rPr>
        <w:tab/>
        <w:t>批准《联合国打击跨国有组织犯罪公约关于预防、禁止和惩治贩运人口特别是妇女和儿童行为的补充议定书》。</w:t>
      </w:r>
    </w:p>
    <w:p w:rsidR="009A54E3" w:rsidRPr="00FC0813" w:rsidRDefault="009A54E3" w:rsidP="00B52A06">
      <w:pPr>
        <w:pStyle w:val="SingleTxt"/>
        <w:spacing w:line="314" w:lineRule="exact"/>
        <w:rPr>
          <w:rFonts w:ascii="KaiTi_GB2312" w:eastAsia="KaiTi_GB2312" w:hint="eastAsia"/>
        </w:rPr>
      </w:pPr>
      <w:r w:rsidRPr="00FC0813">
        <w:rPr>
          <w:rFonts w:ascii="KaiTi_GB2312" w:eastAsia="KaiTi_GB2312" w:hint="eastAsia"/>
        </w:rPr>
        <w:t>政治参与和参与公共生活</w:t>
      </w:r>
    </w:p>
    <w:p w:rsidR="009A54E3" w:rsidRDefault="009A54E3" w:rsidP="009A54E3">
      <w:pPr>
        <w:pStyle w:val="SingleTxt"/>
        <w:rPr>
          <w:rFonts w:hint="eastAsia"/>
        </w:rPr>
      </w:pPr>
      <w:r>
        <w:rPr>
          <w:rFonts w:hint="eastAsia"/>
        </w:rPr>
        <w:t>24.</w:t>
      </w:r>
      <w:r>
        <w:rPr>
          <w:rFonts w:hint="eastAsia"/>
        </w:rPr>
        <w:tab/>
        <w:t>在增加妇女政治参与和参与公共生活方面，尤其是增加妇女在政府、议会、司法、外交界和私营部门的决策职位方面，以及在学术界担任高中校长和大学教授方面进展缓慢，虽然已有许多增加妇女在这些领域的人数的措施到位，如《雇用女性主管级公职人员倡议》，委员会对此表示关切。</w:t>
      </w:r>
    </w:p>
    <w:p w:rsidR="009A54E3" w:rsidRDefault="009A54E3" w:rsidP="009A54E3">
      <w:pPr>
        <w:pStyle w:val="SingleTxt"/>
        <w:rPr>
          <w:rFonts w:hint="eastAsia"/>
        </w:rPr>
      </w:pPr>
      <w:r>
        <w:rPr>
          <w:rFonts w:hint="eastAsia"/>
        </w:rPr>
        <w:t>25.</w:t>
      </w:r>
      <w:r>
        <w:rPr>
          <w:rFonts w:hint="eastAsia"/>
        </w:rPr>
        <w:tab/>
      </w:r>
      <w:r w:rsidRPr="00497D3B">
        <w:rPr>
          <w:rFonts w:ascii="SimHei" w:eastAsia="SimHei" w:hint="eastAsia"/>
        </w:rPr>
        <w:t>委员会促请缔约国加强努力，特别依照《公约》第4条第1款和委员会第25</w:t>
      </w:r>
      <w:r w:rsidR="00BE6976" w:rsidRPr="00497D3B">
        <w:rPr>
          <w:rFonts w:ascii="SimHei" w:eastAsia="SimHei" w:hint="eastAsia"/>
        </w:rPr>
        <w:t>(</w:t>
      </w:r>
      <w:r w:rsidRPr="00497D3B">
        <w:rPr>
          <w:rFonts w:ascii="SimHei" w:eastAsia="SimHei" w:hint="eastAsia"/>
        </w:rPr>
        <w:t>2004</w:t>
      </w:r>
      <w:r w:rsidR="00BE6976" w:rsidRPr="00497D3B">
        <w:rPr>
          <w:rFonts w:ascii="SimHei" w:eastAsia="SimHei" w:hint="eastAsia"/>
        </w:rPr>
        <w:t>)</w:t>
      </w:r>
      <w:r w:rsidRPr="00497D3B">
        <w:rPr>
          <w:rFonts w:ascii="SimHei" w:eastAsia="SimHei" w:hint="eastAsia"/>
        </w:rPr>
        <w:t>号一般性建议，通过实施临时特别措施，增加妇女参与政治和公共生活的代表人数，以加快实现男女实质上的平等。委员会吁请缔约国特别是在加快执行《公约》第7、8、10、11、12和14条方面，考虑利用一系列可能的措施，例如配额、基准、指标和奖励办法。委员会要求缔约国在下一次定期报告中提供数据和资料，说明妇女在政治和公共生活、私营部门、学术界和外交部门中的任职情况</w:t>
      </w:r>
      <w:r>
        <w:rPr>
          <w:rFonts w:hint="eastAsia"/>
        </w:rPr>
        <w:t>。</w:t>
      </w:r>
    </w:p>
    <w:p w:rsidR="009A54E3" w:rsidRPr="00FC0813" w:rsidRDefault="009A54E3" w:rsidP="009A54E3">
      <w:pPr>
        <w:pStyle w:val="SingleTxt"/>
        <w:rPr>
          <w:rFonts w:ascii="KaiTi_GB2312" w:eastAsia="KaiTi_GB2312" w:hint="eastAsia"/>
        </w:rPr>
      </w:pPr>
      <w:r w:rsidRPr="00FC0813">
        <w:rPr>
          <w:rFonts w:ascii="KaiTi_GB2312" w:eastAsia="KaiTi_GB2312" w:hint="eastAsia"/>
        </w:rPr>
        <w:t>国籍</w:t>
      </w:r>
    </w:p>
    <w:p w:rsidR="009A54E3" w:rsidRDefault="009A54E3" w:rsidP="009A54E3">
      <w:pPr>
        <w:pStyle w:val="SingleTxt"/>
        <w:rPr>
          <w:rFonts w:hint="eastAsia"/>
        </w:rPr>
      </w:pPr>
      <w:r>
        <w:rPr>
          <w:rFonts w:hint="eastAsia"/>
        </w:rPr>
        <w:t>26.</w:t>
      </w:r>
      <w:r>
        <w:rPr>
          <w:rFonts w:hint="eastAsia"/>
        </w:rPr>
        <w:tab/>
        <w:t>委员会确认收到了获得韩国国籍资格要求的书面和口头资料。但委员会感到关切的是，与韩国男性结婚的外国妇女如果不符合其丈夫支持申请入籍这一前提条件且如果没有孩子则可能会在获得韩国国籍上面临重重困难。</w:t>
      </w:r>
    </w:p>
    <w:p w:rsidR="009A54E3" w:rsidRDefault="009A54E3" w:rsidP="009A54E3">
      <w:pPr>
        <w:pStyle w:val="SingleTxt"/>
        <w:rPr>
          <w:rFonts w:hint="eastAsia"/>
        </w:rPr>
      </w:pPr>
      <w:r>
        <w:rPr>
          <w:rFonts w:hint="eastAsia"/>
        </w:rPr>
        <w:t>27.</w:t>
      </w:r>
      <w:r>
        <w:rPr>
          <w:rFonts w:hint="eastAsia"/>
        </w:rPr>
        <w:tab/>
      </w:r>
      <w:r w:rsidRPr="00497D3B">
        <w:rPr>
          <w:rFonts w:ascii="SimHei" w:eastAsia="SimHei" w:hint="eastAsia"/>
        </w:rPr>
        <w:t>委员会建议缔约国按照《公约》第9条规定修改其国籍法，以期取消涉及获得韩国国籍资格规定方面的所有歧视性条款。</w:t>
      </w:r>
    </w:p>
    <w:p w:rsidR="009A54E3" w:rsidRPr="00FC0813" w:rsidRDefault="009A54E3" w:rsidP="009A54E3">
      <w:pPr>
        <w:pStyle w:val="SingleTxt"/>
        <w:rPr>
          <w:rFonts w:ascii="KaiTi_GB2312" w:eastAsia="KaiTi_GB2312" w:hint="eastAsia"/>
        </w:rPr>
      </w:pPr>
      <w:r w:rsidRPr="00FC0813">
        <w:rPr>
          <w:rFonts w:ascii="KaiTi_GB2312" w:eastAsia="KaiTi_GB2312" w:hint="eastAsia"/>
        </w:rPr>
        <w:t>教育</w:t>
      </w:r>
    </w:p>
    <w:p w:rsidR="009A54E3" w:rsidRDefault="009A54E3" w:rsidP="009A54E3">
      <w:pPr>
        <w:pStyle w:val="SingleTxt"/>
        <w:rPr>
          <w:rFonts w:hint="eastAsia"/>
        </w:rPr>
      </w:pPr>
      <w:r>
        <w:rPr>
          <w:rFonts w:hint="eastAsia"/>
        </w:rPr>
        <w:t>28.</w:t>
      </w:r>
      <w:r>
        <w:rPr>
          <w:rFonts w:hint="eastAsia"/>
        </w:rPr>
        <w:tab/>
        <w:t>委员会注意到早就制订了一些措施，如《支持妇女与科技法》鼓励妇女参与科技等非传统女性领域，它感到关切的是，在高等教育和职业培训方面仍持续存在研究领域隔离现象，最终会造成劳动力市场的性别隔离。委员会特别关切的是，这种隔离是由于家庭和社会中持续存在重男轻女的态度以及对妇女和男子角色和责任的定型观念。委员会还关切的是，在对话期间，就学术机构对在校学生进行10小时性教育必修课这一要求的遵守情况提供的资料有限。</w:t>
      </w:r>
    </w:p>
    <w:p w:rsidR="00FC0813" w:rsidRDefault="009A54E3" w:rsidP="009A54E3">
      <w:pPr>
        <w:pStyle w:val="SingleTxt"/>
        <w:rPr>
          <w:rFonts w:hint="eastAsia"/>
        </w:rPr>
      </w:pPr>
      <w:r>
        <w:rPr>
          <w:rFonts w:hint="eastAsia"/>
        </w:rPr>
        <w:t>29.</w:t>
      </w:r>
      <w:r>
        <w:rPr>
          <w:rFonts w:hint="eastAsia"/>
        </w:rPr>
        <w:tab/>
      </w:r>
      <w:r w:rsidRPr="00497D3B">
        <w:rPr>
          <w:rFonts w:ascii="SimHei" w:eastAsia="SimHei" w:hint="eastAsia"/>
        </w:rPr>
        <w:t>委员会建议缔约国加强遵守第10条的规定，促进提高教育对增强妇女权能的重要性的认识。委员会鼓励缔约国采取措施，修订各级使用的教科书，以消除性别定型观念和引进强制性的教师两性平等培训，以努力克服给女孩和妇女的教育造成歧视性障碍的重男轻女态度和性别角色定型观念。委员会建议，继续积极鼓励女孩和妇女选择非传统研究领域和职业。委员会还建议缔约国制订有效的监督机制，以确保向学生提供10小时的性教育必修课，并考虑采用针对男孩和女孩的更全面的、与年龄相称的性教育方案，作为教育系统中基础和中等教育课程的一个正式部分。</w:t>
      </w:r>
    </w:p>
    <w:p w:rsidR="009A54E3" w:rsidRPr="00FC0813" w:rsidRDefault="009A54E3" w:rsidP="009A54E3">
      <w:pPr>
        <w:pStyle w:val="SingleTxt"/>
        <w:rPr>
          <w:rFonts w:ascii="KaiTi_GB2312" w:eastAsia="KaiTi_GB2312" w:hint="eastAsia"/>
        </w:rPr>
      </w:pPr>
      <w:r w:rsidRPr="00FC0813">
        <w:rPr>
          <w:rFonts w:ascii="KaiTi_GB2312" w:eastAsia="KaiTi_GB2312" w:hint="eastAsia"/>
        </w:rPr>
        <w:t>就业</w:t>
      </w:r>
    </w:p>
    <w:p w:rsidR="009A54E3" w:rsidRDefault="009A54E3" w:rsidP="009A54E3">
      <w:pPr>
        <w:pStyle w:val="SingleTxt"/>
        <w:rPr>
          <w:rFonts w:hint="eastAsia"/>
        </w:rPr>
      </w:pPr>
      <w:r>
        <w:rPr>
          <w:rFonts w:hint="eastAsia"/>
        </w:rPr>
        <w:t>30.</w:t>
      </w:r>
      <w:r>
        <w:rPr>
          <w:rFonts w:hint="eastAsia"/>
        </w:rPr>
        <w:tab/>
        <w:t>委员会感到关切的是缺乏据以确定妇女在正规和非正规劳动市场精确定位的足够的分类数据。委员会还感到关切的是妇女在就业部门面临种种不利，包括妇女集中在一些低工资部门，特别是非正式工(零工和短期)缺乏相关的工作保障和福利，且男女之间的工资差距显著。委员会仍关切的是，缺乏有效的监督机制和妇女提出权利主张的投诉程序，及妇女因而可能不愿就工作场所的性骚扰情况寻求补救办法。</w:t>
      </w:r>
    </w:p>
    <w:p w:rsidR="009A54E3" w:rsidRDefault="009A54E3" w:rsidP="00B52A06">
      <w:pPr>
        <w:pStyle w:val="SingleTxt"/>
        <w:spacing w:line="324" w:lineRule="exact"/>
        <w:rPr>
          <w:rFonts w:hint="eastAsia"/>
        </w:rPr>
      </w:pPr>
      <w:r>
        <w:rPr>
          <w:rFonts w:hint="eastAsia"/>
        </w:rPr>
        <w:t>31.</w:t>
      </w:r>
      <w:r>
        <w:rPr>
          <w:rFonts w:hint="eastAsia"/>
        </w:rPr>
        <w:tab/>
        <w:t>委</w:t>
      </w:r>
      <w:r w:rsidRPr="00497D3B">
        <w:rPr>
          <w:rFonts w:ascii="SimHei" w:eastAsia="SimHei" w:hint="eastAsia"/>
        </w:rPr>
        <w:t>员会促请缔约国在其下一次定期报告中提供关于劳动力市场指标的分类数据。还促请缔约国认真监测妇女在劳动力市场的情况，增加妇女在正规工作中的就业人数，确保企业为妇女提供更多获得全职和正规就业的机会从而增加有正规就业的妇女人数，且保护那些在非正规工作中的就业者，向大部分是妇女的零工和短期工人提供福利，包括带薪产假。委员会呼吁缔约国实行《平等就业法》关于同值工作同等报酬的规定。委员会还呼吁缔约国确保有效的监督机制到位，以便与现行立法保持一致，且制订程序让妇女在劳动权受到侵犯、特别是在受到性骚扰时提出投诉</w:t>
      </w:r>
      <w:r>
        <w:rPr>
          <w:rFonts w:hint="eastAsia"/>
        </w:rPr>
        <w:t>。</w:t>
      </w:r>
    </w:p>
    <w:p w:rsidR="009A54E3" w:rsidRDefault="009A54E3" w:rsidP="00B52A06">
      <w:pPr>
        <w:pStyle w:val="SingleTxt"/>
        <w:spacing w:line="324" w:lineRule="exact"/>
        <w:rPr>
          <w:rFonts w:hint="eastAsia"/>
        </w:rPr>
      </w:pPr>
      <w:r>
        <w:rPr>
          <w:rFonts w:hint="eastAsia"/>
        </w:rPr>
        <w:t>32.</w:t>
      </w:r>
      <w:r>
        <w:rPr>
          <w:rFonts w:hint="eastAsia"/>
        </w:rPr>
        <w:tab/>
        <w:t>委员会注意到缔约国开展的立法和政策工作，如《就业中的两性平等和支持兼顾工作与家庭法》和《就业中的两性平等和兼顾工作家庭基本计划》(2008年)，以及改善兼顾家庭和工作生活的其他措施，但感到关切的是，家务和家庭责任仍主要由妇女承担，这体现在《基本计划》的预期成果之一，即，加速低生育率以及由此造成的妇女为履行家庭责任中断职业或做零工。委员会还关切的是，休育儿假的男性人数有限。委员会还关切的是社会保障福利方面的负面影响，因为妇女的合同从正式工转为非正式、零工和(或)短期工的情况有所增且在持续。委员会还关切国营托儿中心数量有限，此类设施有私有化趋势且私人托儿中心收费高，因而，许多就业妇女、特别是那些低收入的女户主家庭无法享受这些设施。</w:t>
      </w:r>
    </w:p>
    <w:p w:rsidR="009A54E3" w:rsidRDefault="009A54E3" w:rsidP="00B52A06">
      <w:pPr>
        <w:pStyle w:val="SingleTxt"/>
        <w:spacing w:line="324" w:lineRule="exact"/>
        <w:rPr>
          <w:rFonts w:hint="eastAsia"/>
        </w:rPr>
      </w:pPr>
      <w:r>
        <w:rPr>
          <w:rFonts w:hint="eastAsia"/>
        </w:rPr>
        <w:t>33.</w:t>
      </w:r>
      <w:r>
        <w:rPr>
          <w:rFonts w:hint="eastAsia"/>
        </w:rPr>
        <w:tab/>
      </w:r>
      <w:r w:rsidRPr="00497D3B">
        <w:rPr>
          <w:rFonts w:ascii="SimHei" w:eastAsia="SimHei" w:hint="eastAsia"/>
        </w:rPr>
        <w:t>委员会鼓励缔约国促进家庭中的共同责任，并加紧努力，协助妇女和男子在家庭和工作责任之间取得平衡，特别是通过进一步提高男女对平等分担照顾孩子和家务的认识并开展教育活动，以及确保零工并不几乎完全由妇女承担。委员会敦促缔约国加紧努力，改进为不同年龄组的儿童、特别是女户主家庭的儿童提供保育设施的情况及其可负担性，并鼓励更多男子休育儿假</w:t>
      </w:r>
      <w:r>
        <w:rPr>
          <w:rFonts w:hint="eastAsia"/>
        </w:rPr>
        <w:t>。</w:t>
      </w:r>
    </w:p>
    <w:p w:rsidR="009A54E3" w:rsidRPr="00FC0813" w:rsidRDefault="009A54E3" w:rsidP="00B52A06">
      <w:pPr>
        <w:pStyle w:val="SingleTxt"/>
        <w:spacing w:line="324" w:lineRule="exact"/>
        <w:rPr>
          <w:rFonts w:ascii="KaiTi_GB2312" w:eastAsia="KaiTi_GB2312" w:hint="eastAsia"/>
        </w:rPr>
      </w:pPr>
      <w:r w:rsidRPr="00FC0813">
        <w:rPr>
          <w:rFonts w:ascii="KaiTi_GB2312" w:eastAsia="KaiTi_GB2312" w:hint="eastAsia"/>
        </w:rPr>
        <w:t>卫生</w:t>
      </w:r>
    </w:p>
    <w:p w:rsidR="009A54E3" w:rsidRDefault="009A54E3" w:rsidP="00B52A06">
      <w:pPr>
        <w:pStyle w:val="SingleTxt"/>
        <w:spacing w:line="324" w:lineRule="exact"/>
        <w:rPr>
          <w:rFonts w:hint="eastAsia"/>
        </w:rPr>
      </w:pPr>
      <w:r>
        <w:rPr>
          <w:rFonts w:hint="eastAsia"/>
        </w:rPr>
        <w:t>34.</w:t>
      </w:r>
      <w:r>
        <w:rPr>
          <w:rFonts w:hint="eastAsia"/>
        </w:rPr>
        <w:tab/>
        <w:t>委员会感到关切的是，缺乏说明是否制订了措施来解决妇女的精神健康状况不断恶化的情况，包括抑郁症的详细资料。委员会特别关切的是，妇女的自杀率在升高，这是缔约国的第二大死因。委员会还关切，尽管有全民医疗保险，但与收入较高妇女相比，收入较低的妇女的发病率较高且健康状况较差。《母亲和无父儿童保健法》第14条和第15条规定，强奸和乱伦等某些情况下允许堕胎，但依照缔约国《刑法》第269条和第270条规定，堕胎仍是要受惩处的罪行，委员会也对此表示关切。</w:t>
      </w:r>
    </w:p>
    <w:p w:rsidR="009A54E3" w:rsidRDefault="009A54E3" w:rsidP="009A54E3">
      <w:pPr>
        <w:pStyle w:val="SingleTxt"/>
        <w:rPr>
          <w:rFonts w:hint="eastAsia"/>
        </w:rPr>
      </w:pPr>
      <w:r>
        <w:rPr>
          <w:rFonts w:hint="eastAsia"/>
        </w:rPr>
        <w:t>35.</w:t>
      </w:r>
      <w:r>
        <w:rPr>
          <w:rFonts w:hint="eastAsia"/>
        </w:rPr>
        <w:tab/>
      </w:r>
      <w:r w:rsidRPr="00497D3B">
        <w:rPr>
          <w:rFonts w:ascii="SimHei" w:eastAsia="SimHei" w:hint="eastAsia"/>
        </w:rPr>
        <w:t>委员会敦促缔约国采取必要措施，解决恶化的心理健康状况，特别是抑郁症。委员会还鼓励缔约国全面落实其预防自杀的政策(2009-2013年)，并在其下一次定期报告中提供关于政策和取得的成果的资料。委员会建议，缔约国特别关注低收入老年妇女的情况，以确保她们可充分享有保健和社会服务。委员会还敦促缔约国考虑审查有关堕胎的法律，特别是《刑法》，以取消对堕胎妇女的惩罚性规定，并按照委员会的第24</w:t>
      </w:r>
      <w:r w:rsidR="00BE6976" w:rsidRPr="00497D3B">
        <w:rPr>
          <w:rFonts w:ascii="SimHei" w:eastAsia="SimHei" w:hint="eastAsia"/>
        </w:rPr>
        <w:t>(</w:t>
      </w:r>
      <w:r w:rsidRPr="00497D3B">
        <w:rPr>
          <w:rFonts w:ascii="SimHei" w:eastAsia="SimHei" w:hint="eastAsia"/>
        </w:rPr>
        <w:t>1999</w:t>
      </w:r>
      <w:r w:rsidR="00BE6976" w:rsidRPr="00497D3B">
        <w:rPr>
          <w:rFonts w:ascii="SimHei" w:eastAsia="SimHei" w:hint="eastAsia"/>
        </w:rPr>
        <w:t>)</w:t>
      </w:r>
      <w:r w:rsidRPr="00497D3B">
        <w:rPr>
          <w:rFonts w:ascii="SimHei" w:eastAsia="SimHei" w:hint="eastAsia"/>
        </w:rPr>
        <w:t>号一般性建议向其提供享有优质服务的机会，以控制因不安全人工流产造成的并发症</w:t>
      </w:r>
      <w:r>
        <w:rPr>
          <w:rFonts w:hint="eastAsia"/>
        </w:rPr>
        <w:t>。</w:t>
      </w:r>
    </w:p>
    <w:p w:rsidR="009A54E3" w:rsidRPr="00FC0813" w:rsidRDefault="009A54E3" w:rsidP="009A54E3">
      <w:pPr>
        <w:pStyle w:val="SingleTxt"/>
        <w:rPr>
          <w:rFonts w:ascii="KaiTi_GB2312" w:eastAsia="KaiTi_GB2312" w:hint="eastAsia"/>
        </w:rPr>
      </w:pPr>
      <w:r w:rsidRPr="00FC0813">
        <w:rPr>
          <w:rFonts w:ascii="KaiTi_GB2312" w:eastAsia="KaiTi_GB2312" w:hint="eastAsia"/>
        </w:rPr>
        <w:t>农村妇女</w:t>
      </w:r>
    </w:p>
    <w:p w:rsidR="009A54E3" w:rsidRDefault="009A54E3" w:rsidP="009A54E3">
      <w:pPr>
        <w:pStyle w:val="SingleTxt"/>
        <w:rPr>
          <w:rFonts w:hint="eastAsia"/>
        </w:rPr>
      </w:pPr>
      <w:r>
        <w:rPr>
          <w:rFonts w:hint="eastAsia"/>
        </w:rPr>
        <w:t>36.</w:t>
      </w:r>
      <w:r>
        <w:rPr>
          <w:rFonts w:hint="eastAsia"/>
        </w:rPr>
        <w:tab/>
        <w:t>委员会注意到，缔约国妇女在农业工人中占53.3%，缔约国还制订了措施，旨在实现农村妇女与男子的实质性平等，如培养女农民的第二个五年计划。委员会还注意到政策规定，青年农民倡议方案据此包括了20%的妇女配额。然而，委员会感到关切的是，70.3%的家庭农场为男子所拥有，仅有26.3%的家庭农场为年老寡妇所拥有，这表明妇女在拥有土地和财产方面困难重重。委员会还关切的是，政府的农业财政支持和援助是提供给户主的，而户主大部分是男性，因此妇女只有通过丈夫或其他家庭成员才有机会获得这种援助。</w:t>
      </w:r>
    </w:p>
    <w:p w:rsidR="009A54E3" w:rsidRDefault="009A54E3" w:rsidP="00B52A06">
      <w:pPr>
        <w:pStyle w:val="SingleTxt"/>
        <w:spacing w:line="324" w:lineRule="exact"/>
        <w:rPr>
          <w:rFonts w:hint="eastAsia"/>
        </w:rPr>
      </w:pPr>
      <w:r>
        <w:rPr>
          <w:rFonts w:hint="eastAsia"/>
        </w:rPr>
        <w:t>37.</w:t>
      </w:r>
      <w:r>
        <w:rPr>
          <w:rFonts w:hint="eastAsia"/>
        </w:rPr>
        <w:tab/>
      </w:r>
      <w:r w:rsidRPr="00497D3B">
        <w:rPr>
          <w:rFonts w:ascii="SimHei" w:eastAsia="SimHei" w:hint="eastAsia"/>
        </w:rPr>
        <w:t>委员会建议缔约国通过立法和切实措施继续努力改善农村妇女的状况，并确保旨在促进两性平等的所有政策和方案深入农村地区并得到充分执行，包括促进妇女有机会拥有土地和财产以及获得财政支持和援助。委员会还建议缔约国实施对性别问题有敏感认识的农村发展战略和方案，加速实施措施，促进年轻妇女务农，确保农村妇女充分参与制定和实施措施。</w:t>
      </w:r>
    </w:p>
    <w:p w:rsidR="009A54E3" w:rsidRPr="00FC0813" w:rsidRDefault="009A54E3" w:rsidP="00B52A06">
      <w:pPr>
        <w:pStyle w:val="SingleTxt"/>
        <w:spacing w:line="324" w:lineRule="exact"/>
        <w:rPr>
          <w:rFonts w:ascii="KaiTi_GB2312" w:eastAsia="KaiTi_GB2312" w:hint="eastAsia"/>
        </w:rPr>
      </w:pPr>
      <w:r w:rsidRPr="00FC0813">
        <w:rPr>
          <w:rFonts w:ascii="KaiTi_GB2312" w:eastAsia="KaiTi_GB2312" w:hint="eastAsia"/>
        </w:rPr>
        <w:t>婚姻和家庭关系</w:t>
      </w:r>
    </w:p>
    <w:p w:rsidR="009A54E3" w:rsidRDefault="009A54E3" w:rsidP="00B52A06">
      <w:pPr>
        <w:pStyle w:val="SingleTxt"/>
        <w:spacing w:line="324" w:lineRule="exact"/>
        <w:rPr>
          <w:rFonts w:hint="eastAsia"/>
        </w:rPr>
      </w:pPr>
      <w:r>
        <w:rPr>
          <w:rFonts w:hint="eastAsia"/>
        </w:rPr>
        <w:t>38.</w:t>
      </w:r>
      <w:r>
        <w:rPr>
          <w:rFonts w:hint="eastAsia"/>
        </w:rPr>
        <w:tab/>
        <w:t>委员会确认《民法》修正案(2007年12月)，其旨在保护配偶在另一方配偶处置财产时有权在法庭决定财产分配前恢复夫妻财产，但感到关切的是，在缔约国，离婚时平等分配夫妻财产只涉及有形财产(动产和不动产)，不包括养老金和储蓄基金等无形财产，而有形财产的平等分配基于法院先例且没有法律约束力。委员会还关切的是，婚姻任何一方的</w:t>
      </w:r>
      <w:r w:rsidR="00CE692E">
        <w:rPr>
          <w:rFonts w:hint="eastAsia"/>
        </w:rPr>
        <w:t>“</w:t>
      </w:r>
      <w:r>
        <w:rPr>
          <w:rFonts w:hint="eastAsia"/>
        </w:rPr>
        <w:t>过错</w:t>
      </w:r>
      <w:r w:rsidR="00CE692E">
        <w:rPr>
          <w:rFonts w:hint="eastAsia"/>
        </w:rPr>
        <w:t>”</w:t>
      </w:r>
      <w:r>
        <w:rPr>
          <w:rFonts w:hint="eastAsia"/>
        </w:rPr>
        <w:t>可能作为决定离婚案中财产分割的考虑因素。</w:t>
      </w:r>
    </w:p>
    <w:p w:rsidR="009A54E3" w:rsidRPr="00224661" w:rsidRDefault="009A54E3" w:rsidP="00B52A06">
      <w:pPr>
        <w:pStyle w:val="SingleTxt"/>
        <w:spacing w:line="324" w:lineRule="exact"/>
        <w:rPr>
          <w:rFonts w:hint="eastAsia"/>
          <w:spacing w:val="-6"/>
        </w:rPr>
      </w:pPr>
      <w:r>
        <w:rPr>
          <w:rFonts w:hint="eastAsia"/>
        </w:rPr>
        <w:t>39.</w:t>
      </w:r>
      <w:r>
        <w:rPr>
          <w:rFonts w:hint="eastAsia"/>
        </w:rPr>
        <w:tab/>
      </w:r>
      <w:r w:rsidRPr="00497D3B">
        <w:rPr>
          <w:rFonts w:ascii="SimHei" w:eastAsia="SimHei" w:hint="eastAsia"/>
          <w:spacing w:val="-6"/>
        </w:rPr>
        <w:t>委员会建议缔约国采取必要的立法措施，把养老金和储蓄基金等有形和无形财产作为夫妻财产的一部分，并在立法中纳入离婚时平等分配夫妻财产的规定，与关于婚姻和家庭关系平等的《公约》第16条和委员会第21</w:t>
      </w:r>
      <w:r w:rsidR="00BE6976" w:rsidRPr="00497D3B">
        <w:rPr>
          <w:rFonts w:ascii="SimHei" w:eastAsia="SimHei" w:hint="eastAsia"/>
          <w:spacing w:val="-6"/>
        </w:rPr>
        <w:t>(</w:t>
      </w:r>
      <w:r w:rsidRPr="00497D3B">
        <w:rPr>
          <w:rFonts w:ascii="SimHei" w:eastAsia="SimHei" w:hint="eastAsia"/>
          <w:spacing w:val="-6"/>
        </w:rPr>
        <w:t>1994</w:t>
      </w:r>
      <w:r w:rsidR="00BE6976" w:rsidRPr="00497D3B">
        <w:rPr>
          <w:rFonts w:ascii="SimHei" w:eastAsia="SimHei" w:hint="eastAsia"/>
          <w:spacing w:val="-6"/>
        </w:rPr>
        <w:t>)</w:t>
      </w:r>
      <w:r w:rsidRPr="00497D3B">
        <w:rPr>
          <w:rFonts w:ascii="SimHei" w:eastAsia="SimHei" w:hint="eastAsia"/>
          <w:spacing w:val="-6"/>
        </w:rPr>
        <w:t>号一般性建议保持一致。委员会还建议采取立法措施，在确定离婚案中财产分割时不要考虑</w:t>
      </w:r>
      <w:r w:rsidR="00CE692E" w:rsidRPr="00497D3B">
        <w:rPr>
          <w:rFonts w:ascii="SimHei" w:eastAsia="SimHei" w:hint="eastAsia"/>
          <w:spacing w:val="-6"/>
        </w:rPr>
        <w:t>“</w:t>
      </w:r>
      <w:r w:rsidRPr="00497D3B">
        <w:rPr>
          <w:rFonts w:ascii="SimHei" w:eastAsia="SimHei" w:hint="eastAsia"/>
          <w:spacing w:val="-6"/>
        </w:rPr>
        <w:t>过错</w:t>
      </w:r>
      <w:r w:rsidR="00CE692E" w:rsidRPr="00497D3B">
        <w:rPr>
          <w:rFonts w:ascii="SimHei" w:eastAsia="SimHei" w:hint="eastAsia"/>
          <w:spacing w:val="-6"/>
        </w:rPr>
        <w:t>”</w:t>
      </w:r>
      <w:r w:rsidRPr="00497D3B">
        <w:rPr>
          <w:rFonts w:ascii="SimHei" w:eastAsia="SimHei" w:hint="eastAsia"/>
          <w:spacing w:val="-6"/>
        </w:rPr>
        <w:t>因素。</w:t>
      </w:r>
    </w:p>
    <w:p w:rsidR="009A54E3" w:rsidRPr="00FC0813" w:rsidRDefault="009A54E3" w:rsidP="009A54E3">
      <w:pPr>
        <w:pStyle w:val="SingleTxt"/>
        <w:rPr>
          <w:rFonts w:ascii="KaiTi_GB2312" w:eastAsia="KaiTi_GB2312" w:hint="eastAsia"/>
        </w:rPr>
      </w:pPr>
      <w:r w:rsidRPr="00FC0813">
        <w:rPr>
          <w:rFonts w:ascii="KaiTi_GB2312" w:eastAsia="KaiTi_GB2312" w:hint="eastAsia"/>
        </w:rPr>
        <w:t>国家人权机构</w:t>
      </w:r>
    </w:p>
    <w:p w:rsidR="009A54E3" w:rsidRDefault="009A54E3" w:rsidP="009A54E3">
      <w:pPr>
        <w:pStyle w:val="SingleTxt"/>
        <w:rPr>
          <w:rFonts w:hint="eastAsia"/>
        </w:rPr>
      </w:pPr>
      <w:r>
        <w:rPr>
          <w:rFonts w:hint="eastAsia"/>
        </w:rPr>
        <w:t>40.</w:t>
      </w:r>
      <w:r>
        <w:rPr>
          <w:rFonts w:hint="eastAsia"/>
        </w:rPr>
        <w:tab/>
        <w:t>委员会赞赏韩国国家人权委员会每年对报告程序的贡献以及向委员会提供关于侵犯人权和歧视请愿数目的资料，但委员会同经济、社会和文化委员会一样(见E/C.12/KOR/CO/3)感到关切的是，国家人权委员会缩减了21%，而所有其他部委最多缩减了2%，且会员国最近的事态发展已经威胁到委员会的独立性。</w:t>
      </w:r>
    </w:p>
    <w:p w:rsidR="009A54E3" w:rsidRDefault="009A54E3" w:rsidP="00B52A06">
      <w:pPr>
        <w:pStyle w:val="SingleTxt"/>
        <w:spacing w:line="306" w:lineRule="exact"/>
        <w:rPr>
          <w:rFonts w:hint="eastAsia"/>
        </w:rPr>
      </w:pPr>
      <w:r>
        <w:rPr>
          <w:rFonts w:hint="eastAsia"/>
        </w:rPr>
        <w:t>41.</w:t>
      </w:r>
      <w:r>
        <w:rPr>
          <w:rFonts w:hint="eastAsia"/>
        </w:rPr>
        <w:tab/>
      </w:r>
      <w:r w:rsidRPr="00497D3B">
        <w:rPr>
          <w:rFonts w:ascii="SimHei" w:eastAsia="SimHei" w:hint="eastAsia"/>
        </w:rPr>
        <w:t>委员会提醒缔约国有责任确保韩国国家人权委员会仍然遵守《巴黎原则》，尤其是它的独立性。委员会敦促缔约国按照《韩国全国人权委员会法》向全国人权委员会划拨足够的人力和财政资源，包括人权问题专家，并加强其在两性平等和妇女权利等方面的监督职能，以便恢复可信性、公众的信心和合法性。</w:t>
      </w:r>
    </w:p>
    <w:p w:rsidR="009A54E3" w:rsidRPr="00CE692E" w:rsidRDefault="009A54E3" w:rsidP="00B52A06">
      <w:pPr>
        <w:pStyle w:val="SingleTxt"/>
        <w:spacing w:line="306" w:lineRule="exact"/>
        <w:rPr>
          <w:rFonts w:ascii="SimHei" w:eastAsia="SimHei" w:hint="eastAsia"/>
        </w:rPr>
      </w:pPr>
      <w:r w:rsidRPr="00CE692E">
        <w:rPr>
          <w:rFonts w:ascii="SimHei" w:eastAsia="SimHei" w:hint="eastAsia"/>
        </w:rPr>
        <w:t>《北京宣言和行动纲要》</w:t>
      </w:r>
    </w:p>
    <w:p w:rsidR="009A54E3" w:rsidRDefault="009A54E3" w:rsidP="00B52A06">
      <w:pPr>
        <w:pStyle w:val="SingleTxt"/>
        <w:spacing w:line="306" w:lineRule="exact"/>
        <w:rPr>
          <w:rFonts w:hint="eastAsia"/>
        </w:rPr>
      </w:pPr>
      <w:r>
        <w:rPr>
          <w:rFonts w:hint="eastAsia"/>
        </w:rPr>
        <w:t>42.</w:t>
      </w:r>
      <w:r>
        <w:rPr>
          <w:rFonts w:hint="eastAsia"/>
        </w:rPr>
        <w:tab/>
      </w:r>
      <w:r w:rsidRPr="00497D3B">
        <w:rPr>
          <w:rFonts w:ascii="SimHei" w:eastAsia="SimHei" w:hint="eastAsia"/>
        </w:rPr>
        <w:t>委员会促请缔约国在履行《公约》义务时，充分利用加强《公约》各项规定的《北京宣言和行动纲要》，并请缔约国在下一次定期报告中提供有关信息</w:t>
      </w:r>
      <w:r>
        <w:rPr>
          <w:rFonts w:hint="eastAsia"/>
        </w:rPr>
        <w:t>。</w:t>
      </w:r>
    </w:p>
    <w:p w:rsidR="009A54E3" w:rsidRPr="00CE692E" w:rsidRDefault="009A54E3" w:rsidP="00B52A06">
      <w:pPr>
        <w:pStyle w:val="SingleTxt"/>
        <w:spacing w:line="306" w:lineRule="exact"/>
        <w:rPr>
          <w:rFonts w:ascii="SimHei" w:eastAsia="SimHei" w:hint="eastAsia"/>
        </w:rPr>
      </w:pPr>
      <w:r w:rsidRPr="00CE692E">
        <w:rPr>
          <w:rFonts w:ascii="SimHei" w:eastAsia="SimHei" w:hint="eastAsia"/>
        </w:rPr>
        <w:t>千年发展目标</w:t>
      </w:r>
    </w:p>
    <w:p w:rsidR="009A54E3" w:rsidRPr="00497D3B" w:rsidRDefault="009A54E3" w:rsidP="00B52A06">
      <w:pPr>
        <w:pStyle w:val="SingleTxt"/>
        <w:spacing w:line="306" w:lineRule="exact"/>
        <w:rPr>
          <w:rFonts w:ascii="SimHei" w:eastAsia="SimHei" w:hint="eastAsia"/>
        </w:rPr>
      </w:pPr>
      <w:r>
        <w:rPr>
          <w:rFonts w:hint="eastAsia"/>
        </w:rPr>
        <w:t>43.</w:t>
      </w:r>
      <w:r>
        <w:rPr>
          <w:rFonts w:hint="eastAsia"/>
        </w:rPr>
        <w:tab/>
      </w:r>
      <w:r w:rsidRPr="00497D3B">
        <w:rPr>
          <w:rFonts w:ascii="SimHei" w:eastAsia="SimHei" w:hint="eastAsia"/>
        </w:rPr>
        <w:t>委员会强调，充分和有效地执行《公约》对实现千年发展目标不可或缺。委员会要求在实现目标的一切工作中纳入性别观点，明确体现《公约》各项规定，并请缔约国在下一次定期报告中提供有关信息。</w:t>
      </w:r>
    </w:p>
    <w:p w:rsidR="009A54E3" w:rsidRPr="00497D3B" w:rsidRDefault="009A54E3" w:rsidP="00B52A06">
      <w:pPr>
        <w:pStyle w:val="SingleTxt"/>
        <w:spacing w:line="306" w:lineRule="exact"/>
        <w:rPr>
          <w:rFonts w:ascii="SimHei" w:eastAsia="SimHei" w:hint="eastAsia"/>
        </w:rPr>
      </w:pPr>
      <w:r w:rsidRPr="00497D3B">
        <w:rPr>
          <w:rFonts w:ascii="SimHei" w:eastAsia="SimHei" w:hint="eastAsia"/>
        </w:rPr>
        <w:t>传播</w:t>
      </w:r>
    </w:p>
    <w:p w:rsidR="009A54E3" w:rsidRDefault="009A54E3" w:rsidP="00B52A06">
      <w:pPr>
        <w:pStyle w:val="SingleTxt"/>
        <w:spacing w:line="300" w:lineRule="exact"/>
        <w:rPr>
          <w:rFonts w:hint="eastAsia"/>
        </w:rPr>
      </w:pPr>
      <w:r>
        <w:rPr>
          <w:rFonts w:hint="eastAsia"/>
        </w:rPr>
        <w:t>44.</w:t>
      </w:r>
      <w:r>
        <w:rPr>
          <w:rFonts w:hint="eastAsia"/>
        </w:rPr>
        <w:tab/>
      </w:r>
      <w:r w:rsidRPr="00497D3B">
        <w:rPr>
          <w:rFonts w:ascii="SimHei" w:eastAsia="SimHei" w:hint="eastAsia"/>
        </w:rPr>
        <w:t>委员会请大韩民国广泛传播结论意见，使所有人，政府官员、政治家、议员以及妇女和人权组织，都认识到为了确保妇女在形式和实质上的平等而采取的步骤，以及这方面需要采取的进一步步骤。委员会建议将结论意见传播到社区一级。鼓励缔约国举办一系列会议，讨论在实施本结论意见方面取得的进展。委员会请缔约国继续广泛传播，特别是向妇女和人权组织传播委员会的一般性建议、《北京宣言》和《行动纲要》以及主题为“2000年妇女：二十一世纪两性平等、发展与和平”的大会第二十三届特别会议的成果文件。</w:t>
      </w:r>
    </w:p>
    <w:p w:rsidR="009A54E3" w:rsidRPr="00FC0813" w:rsidRDefault="009A54E3" w:rsidP="00B52A06">
      <w:pPr>
        <w:pStyle w:val="SingleTxt"/>
        <w:spacing w:line="300" w:lineRule="exact"/>
        <w:rPr>
          <w:rFonts w:ascii="KaiTi_GB2312" w:eastAsia="KaiTi_GB2312" w:hint="eastAsia"/>
        </w:rPr>
      </w:pPr>
      <w:r w:rsidRPr="00FC0813">
        <w:rPr>
          <w:rFonts w:ascii="KaiTi_GB2312" w:eastAsia="KaiTi_GB2312" w:hint="eastAsia"/>
        </w:rPr>
        <w:t>批准其他条约</w:t>
      </w:r>
    </w:p>
    <w:p w:rsidR="009A54E3" w:rsidRDefault="009A54E3" w:rsidP="00B52A06">
      <w:pPr>
        <w:pStyle w:val="SingleTxt"/>
        <w:spacing w:line="300" w:lineRule="exact"/>
        <w:rPr>
          <w:rFonts w:hint="eastAsia"/>
        </w:rPr>
      </w:pPr>
      <w:r>
        <w:rPr>
          <w:rFonts w:hint="eastAsia"/>
        </w:rPr>
        <w:t>45.</w:t>
      </w:r>
      <w:r>
        <w:rPr>
          <w:rFonts w:hint="eastAsia"/>
        </w:rPr>
        <w:tab/>
      </w:r>
      <w:r w:rsidRPr="00497D3B">
        <w:rPr>
          <w:rFonts w:ascii="SimHei" w:eastAsia="SimHei" w:hint="eastAsia"/>
        </w:rPr>
        <w:t>委员会指出缔约国加入所有九项主要国际人权文书</w:t>
      </w:r>
      <w:r w:rsidR="00CE692E" w:rsidRPr="00497D3B">
        <w:rPr>
          <w:rStyle w:val="FootnoteReference"/>
          <w:rFonts w:ascii="SimHei" w:eastAsia="SimHei"/>
        </w:rPr>
        <w:footnoteReference w:id="1"/>
      </w:r>
      <w:r w:rsidR="0041748F" w:rsidRPr="00497D3B">
        <w:rPr>
          <w:rFonts w:ascii="SimHei" w:eastAsia="SimHei"/>
        </w:rPr>
        <w:t xml:space="preserve"> </w:t>
      </w:r>
      <w:r w:rsidRPr="00497D3B">
        <w:rPr>
          <w:rFonts w:ascii="SimHei" w:eastAsia="SimHei" w:hint="eastAsia"/>
        </w:rPr>
        <w:t>将有助于妇女进一步享受生活所有领域人权和基本自由。因此，委员会鼓励大韩民国考虑批准其尚未加入的下述公约：《保护所有移徙工人及其家庭成员权利国际公约》和《保护所有人免遭强迫失踪国际公约》。</w:t>
      </w:r>
    </w:p>
    <w:p w:rsidR="009A54E3" w:rsidRPr="00FC0813" w:rsidRDefault="009A54E3" w:rsidP="00B52A06">
      <w:pPr>
        <w:pStyle w:val="SingleTxt"/>
        <w:spacing w:line="300" w:lineRule="exact"/>
        <w:rPr>
          <w:rFonts w:ascii="KaiTi_GB2312" w:eastAsia="KaiTi_GB2312" w:hint="eastAsia"/>
        </w:rPr>
      </w:pPr>
      <w:r w:rsidRPr="00FC0813">
        <w:rPr>
          <w:rFonts w:ascii="KaiTi_GB2312" w:eastAsia="KaiTi_GB2312" w:hint="eastAsia"/>
        </w:rPr>
        <w:t>结论意见后续行动</w:t>
      </w:r>
    </w:p>
    <w:p w:rsidR="009A54E3" w:rsidRDefault="009A54E3" w:rsidP="00B52A06">
      <w:pPr>
        <w:pStyle w:val="SingleTxt"/>
        <w:spacing w:line="300" w:lineRule="exact"/>
        <w:rPr>
          <w:rFonts w:hint="eastAsia"/>
        </w:rPr>
      </w:pPr>
      <w:r>
        <w:rPr>
          <w:rFonts w:hint="eastAsia"/>
        </w:rPr>
        <w:t>46.</w:t>
      </w:r>
      <w:r>
        <w:rPr>
          <w:rFonts w:hint="eastAsia"/>
        </w:rPr>
        <w:tab/>
      </w:r>
      <w:r w:rsidRPr="00497D3B">
        <w:rPr>
          <w:rFonts w:ascii="SimHei" w:eastAsia="SimHei" w:hint="eastAsia"/>
        </w:rPr>
        <w:t>委员会请缔约国在两年内提供书面材料，说明为了落实上文第15段和第21段所载各项建议而采取的措施。</w:t>
      </w:r>
    </w:p>
    <w:p w:rsidR="009A54E3" w:rsidRPr="00FC0813" w:rsidRDefault="009A54E3" w:rsidP="00B52A06">
      <w:pPr>
        <w:pStyle w:val="SingleTxt"/>
        <w:spacing w:line="300" w:lineRule="exact"/>
        <w:rPr>
          <w:rFonts w:ascii="KaiTi_GB2312" w:eastAsia="KaiTi_GB2312" w:hint="eastAsia"/>
        </w:rPr>
      </w:pPr>
      <w:r w:rsidRPr="00FC0813">
        <w:rPr>
          <w:rFonts w:ascii="KaiTi_GB2312" w:eastAsia="KaiTi_GB2312" w:hint="eastAsia"/>
        </w:rPr>
        <w:t>下一次报告的编写</w:t>
      </w:r>
    </w:p>
    <w:p w:rsidR="009A54E3" w:rsidRDefault="009A54E3" w:rsidP="009A54E3">
      <w:pPr>
        <w:pStyle w:val="SingleTxt"/>
        <w:rPr>
          <w:rFonts w:hint="eastAsia"/>
        </w:rPr>
      </w:pPr>
      <w:r>
        <w:rPr>
          <w:rFonts w:hint="eastAsia"/>
        </w:rPr>
        <w:t>47.</w:t>
      </w:r>
      <w:r>
        <w:rPr>
          <w:rFonts w:hint="eastAsia"/>
        </w:rPr>
        <w:tab/>
      </w:r>
      <w:r w:rsidRPr="00497D3B">
        <w:rPr>
          <w:rFonts w:ascii="SimHei" w:eastAsia="SimHei" w:hint="eastAsia"/>
        </w:rPr>
        <w:t>委员会要求缔约国确保所有的部委和公共机构都能广泛参与下一次定期报告的编写，并在此阶段与各个妇女和人权组织开展协商。</w:t>
      </w:r>
    </w:p>
    <w:p w:rsidR="009A54E3" w:rsidRPr="00497D3B" w:rsidRDefault="009A54E3" w:rsidP="009A54E3">
      <w:pPr>
        <w:pStyle w:val="SingleTxt"/>
        <w:rPr>
          <w:rFonts w:ascii="SimHei" w:eastAsia="SimHei" w:hint="eastAsia"/>
        </w:rPr>
      </w:pPr>
      <w:r>
        <w:rPr>
          <w:rFonts w:hint="eastAsia"/>
        </w:rPr>
        <w:t>48.</w:t>
      </w:r>
      <w:r>
        <w:rPr>
          <w:rFonts w:hint="eastAsia"/>
        </w:rPr>
        <w:tab/>
      </w:r>
      <w:r w:rsidRPr="00497D3B">
        <w:rPr>
          <w:rFonts w:ascii="SimHei" w:eastAsia="SimHei" w:hint="eastAsia"/>
        </w:rPr>
        <w:t>委员会请缔约国在根据《公约》第18条提交的下次定期报告中对在上述结论意见表示的关切作出答复。委员会请缔约国于2015年7月提交其第八次定期报告。</w:t>
      </w:r>
    </w:p>
    <w:p w:rsidR="00EA31C3" w:rsidRPr="00497D3B" w:rsidRDefault="009A54E3" w:rsidP="009A54E3">
      <w:pPr>
        <w:pStyle w:val="SingleTxt"/>
        <w:rPr>
          <w:rFonts w:ascii="SimHei" w:eastAsia="SimHei" w:hint="eastAsia"/>
        </w:rPr>
      </w:pPr>
      <w:r>
        <w:rPr>
          <w:rFonts w:hint="eastAsia"/>
        </w:rPr>
        <w:t>49.</w:t>
      </w:r>
      <w:r>
        <w:rPr>
          <w:rFonts w:hint="eastAsia"/>
        </w:rPr>
        <w:tab/>
      </w:r>
      <w:r w:rsidRPr="00497D3B">
        <w:rPr>
          <w:rFonts w:ascii="SimHei" w:eastAsia="SimHei" w:hint="eastAsia"/>
        </w:rPr>
        <w:t>委员会请缔约国遵循人权条约机构委员会间技术工作组于2006年6月通过的“根据国际人权条约提交报告的协调准则，包括编写共同核心文件、提交具体条约报告的准则”(见HRI/MC/2006/3和corr.1)。在遵循编写核心文件的协调准则的同时，还必须遵循委员会2008年1月第四十届会议通过的关于具体条约的报告准则。这两份准则构成了“根据《消除对妇女一切形式歧视公约》提交报告的协调准则”。关于每项条约的报告不得超过40页，增补的共同核心文件不得超过80页。</w:t>
      </w:r>
    </w:p>
    <w:p w:rsidR="009A54E3" w:rsidRPr="009A54E3" w:rsidRDefault="009A54E3" w:rsidP="009A54E3">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9A54E3" w:rsidRPr="009A54E3" w:rsidSect="00C04A1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9-02T13:39:00Z" w:initials="Start">
    <w:p w:rsidR="002567F4" w:rsidRDefault="002567F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NO&gt;&gt;N1144953C&lt;&lt;ODS JOB NO&gt;&gt;</w:t>
      </w:r>
    </w:p>
    <w:p w:rsidR="002567F4" w:rsidRDefault="002567F4">
      <w:pPr>
        <w:pStyle w:val="CommentText"/>
      </w:pPr>
      <w:r>
        <w:t>&lt;&lt;ODS DOC SYMBOL1&gt;&gt;CEDAW/C/KOR/CO/7&lt;&lt;ODS DOC SYMBOL1&gt;&gt;</w:t>
      </w:r>
    </w:p>
    <w:p w:rsidR="002567F4" w:rsidRDefault="002567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7F4" w:rsidRDefault="002567F4">
      <w:r>
        <w:separator/>
      </w:r>
    </w:p>
  </w:endnote>
  <w:endnote w:type="continuationSeparator" w:id="0">
    <w:p w:rsidR="002567F4" w:rsidRDefault="00256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67F4" w:rsidTr="00C04A16">
      <w:tblPrEx>
        <w:tblCellMar>
          <w:top w:w="0" w:type="dxa"/>
          <w:bottom w:w="0" w:type="dxa"/>
        </w:tblCellMar>
      </w:tblPrEx>
      <w:tc>
        <w:tcPr>
          <w:tcW w:w="5033" w:type="dxa"/>
          <w:shd w:val="clear" w:color="auto" w:fill="auto"/>
        </w:tcPr>
        <w:p w:rsidR="002567F4" w:rsidRPr="00C04A16" w:rsidRDefault="002567F4" w:rsidP="00C04A1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11-44953 (C)</w:t>
          </w:r>
          <w:r>
            <w:rPr>
              <w:b w:val="0"/>
              <w:w w:val="103"/>
              <w:sz w:val="14"/>
            </w:rPr>
            <w:fldChar w:fldCharType="end"/>
          </w:r>
        </w:p>
      </w:tc>
      <w:tc>
        <w:tcPr>
          <w:tcW w:w="5033" w:type="dxa"/>
          <w:shd w:val="clear" w:color="auto" w:fill="auto"/>
        </w:tcPr>
        <w:p w:rsidR="002567F4" w:rsidRPr="00C04A16" w:rsidRDefault="002567F4" w:rsidP="00C04A16">
          <w:pPr>
            <w:pStyle w:val="Footer"/>
            <w:jc w:val="lef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2567F4" w:rsidRPr="00C04A16" w:rsidRDefault="002567F4" w:rsidP="00C04A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67F4" w:rsidTr="00C04A16">
      <w:tblPrEx>
        <w:tblCellMar>
          <w:top w:w="0" w:type="dxa"/>
          <w:bottom w:w="0" w:type="dxa"/>
        </w:tblCellMar>
      </w:tblPrEx>
      <w:tc>
        <w:tcPr>
          <w:tcW w:w="5033" w:type="dxa"/>
          <w:shd w:val="clear" w:color="auto" w:fill="auto"/>
        </w:tcPr>
        <w:p w:rsidR="002567F4" w:rsidRPr="00C04A16" w:rsidRDefault="002567F4" w:rsidP="00C04A16">
          <w:pPr>
            <w:pStyle w:val="Footer"/>
            <w:jc w:val="right"/>
          </w:pPr>
          <w:r>
            <w:fldChar w:fldCharType="begin"/>
          </w:r>
          <w:r>
            <w:instrText xml:space="preserve"> PAGE  \* MERGEFORMAT </w:instrText>
          </w:r>
          <w:r>
            <w:fldChar w:fldCharType="separate"/>
          </w:r>
          <w:r>
            <w:t>9</w:t>
          </w:r>
          <w:r>
            <w:fldChar w:fldCharType="end"/>
          </w:r>
        </w:p>
      </w:tc>
      <w:tc>
        <w:tcPr>
          <w:tcW w:w="5033" w:type="dxa"/>
          <w:shd w:val="clear" w:color="auto" w:fill="auto"/>
        </w:tcPr>
        <w:p w:rsidR="002567F4" w:rsidRPr="00C04A16" w:rsidRDefault="002567F4" w:rsidP="00C04A1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11-44953 (C)</w:t>
          </w:r>
          <w:r>
            <w:rPr>
              <w:b w:val="0"/>
              <w:w w:val="103"/>
              <w:sz w:val="14"/>
            </w:rPr>
            <w:fldChar w:fldCharType="end"/>
          </w:r>
        </w:p>
      </w:tc>
    </w:tr>
  </w:tbl>
  <w:p w:rsidR="002567F4" w:rsidRPr="00C04A16" w:rsidRDefault="002567F4" w:rsidP="00C04A1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567F4">
      <w:tblPrEx>
        <w:tblCellMar>
          <w:top w:w="0" w:type="dxa"/>
          <w:bottom w:w="0" w:type="dxa"/>
        </w:tblCellMar>
      </w:tblPrEx>
      <w:tc>
        <w:tcPr>
          <w:tcW w:w="5033" w:type="dxa"/>
        </w:tcPr>
        <w:p w:rsidR="002567F4" w:rsidRDefault="002567F4" w:rsidP="00C04A1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11-44953 (C)</w:t>
          </w:r>
          <w:r>
            <w:rPr>
              <w:b w:val="0"/>
              <w:sz w:val="21"/>
            </w:rPr>
            <w:fldChar w:fldCharType="end"/>
          </w:r>
          <w:r>
            <w:rPr>
              <w:b w:val="0"/>
              <w:sz w:val="21"/>
            </w:rPr>
            <w:t xml:space="preserve">    020911    </w:t>
          </w:r>
          <w:r>
            <w:rPr>
              <w:rFonts w:hint="eastAsia"/>
              <w:b w:val="0"/>
              <w:sz w:val="21"/>
            </w:rPr>
            <w:t>1111</w:t>
          </w:r>
          <w:r>
            <w:rPr>
              <w:b w:val="0"/>
              <w:sz w:val="21"/>
            </w:rPr>
            <w:t>11</w:t>
          </w:r>
        </w:p>
        <w:p w:rsidR="002567F4" w:rsidRPr="00C04A16" w:rsidRDefault="002567F4" w:rsidP="00C04A16">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*1144953*</w:t>
          </w:r>
          <w:r>
            <w:rPr>
              <w:rFonts w:ascii="Barcode 3 of 9 by request" w:hAnsi="Barcode 3 of 9 by request" w:hint="eastAsia"/>
              <w:sz w:val="24"/>
            </w:rPr>
            <w:fldChar w:fldCharType="end"/>
          </w:r>
        </w:p>
      </w:tc>
      <w:tc>
        <w:tcPr>
          <w:tcW w:w="5033" w:type="dxa"/>
        </w:tcPr>
        <w:p w:rsidR="002567F4" w:rsidRDefault="002567F4" w:rsidP="00C04A16">
          <w:pPr>
            <w:pStyle w:val="Footer"/>
            <w:jc w:val="right"/>
            <w:rPr>
              <w:b w:val="0"/>
              <w:sz w:val="21"/>
            </w:rPr>
          </w:pPr>
          <w:r w:rsidRPr="00C04A16">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2567F4" w:rsidRPr="00C04A16" w:rsidRDefault="002567F4" w:rsidP="00C04A16">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7F4" w:rsidRPr="00CE692E" w:rsidRDefault="002567F4" w:rsidP="00CE692E">
      <w:pPr>
        <w:pStyle w:val="Footer"/>
        <w:spacing w:after="80"/>
        <w:ind w:left="792"/>
        <w:rPr>
          <w:sz w:val="16"/>
        </w:rPr>
      </w:pPr>
      <w:r w:rsidRPr="00CE692E">
        <w:rPr>
          <w:sz w:val="16"/>
        </w:rPr>
        <w:t>__________________</w:t>
      </w:r>
    </w:p>
  </w:footnote>
  <w:footnote w:type="continuationSeparator" w:id="0">
    <w:p w:rsidR="002567F4" w:rsidRPr="00CE692E" w:rsidRDefault="002567F4" w:rsidP="00CE692E">
      <w:pPr>
        <w:pStyle w:val="Footer"/>
        <w:spacing w:after="80"/>
        <w:ind w:left="792"/>
        <w:rPr>
          <w:sz w:val="16"/>
        </w:rPr>
      </w:pPr>
      <w:r w:rsidRPr="00CE692E">
        <w:rPr>
          <w:sz w:val="16"/>
        </w:rPr>
        <w:t>__________________</w:t>
      </w:r>
    </w:p>
  </w:footnote>
  <w:footnote w:id="1">
    <w:p w:rsidR="002567F4" w:rsidRPr="00CE692E" w:rsidRDefault="002567F4" w:rsidP="00CE692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E692E">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567F4" w:rsidTr="00C04A16">
      <w:tblPrEx>
        <w:tblCellMar>
          <w:top w:w="0" w:type="dxa"/>
          <w:bottom w:w="0" w:type="dxa"/>
        </w:tblCellMar>
      </w:tblPrEx>
      <w:trPr>
        <w:trHeight w:hRule="exact" w:val="864"/>
      </w:trPr>
      <w:tc>
        <w:tcPr>
          <w:tcW w:w="4838" w:type="dxa"/>
          <w:shd w:val="clear" w:color="auto" w:fill="auto"/>
          <w:vAlign w:val="bottom"/>
        </w:tcPr>
        <w:p w:rsidR="002567F4" w:rsidRPr="00C04A16" w:rsidRDefault="002567F4" w:rsidP="00C04A1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CEDAW/C/KOR/CO/7</w:t>
          </w:r>
          <w:r>
            <w:rPr>
              <w:b/>
              <w:sz w:val="17"/>
            </w:rPr>
            <w:fldChar w:fldCharType="end"/>
          </w:r>
        </w:p>
      </w:tc>
      <w:tc>
        <w:tcPr>
          <w:tcW w:w="5033" w:type="dxa"/>
          <w:shd w:val="clear" w:color="auto" w:fill="auto"/>
          <w:vAlign w:val="bottom"/>
        </w:tcPr>
        <w:p w:rsidR="002567F4" w:rsidRDefault="002567F4" w:rsidP="00C04A16">
          <w:pPr>
            <w:pStyle w:val="Header"/>
          </w:pPr>
        </w:p>
      </w:tc>
    </w:tr>
  </w:tbl>
  <w:p w:rsidR="002567F4" w:rsidRPr="00C04A16" w:rsidRDefault="002567F4" w:rsidP="00C04A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567F4" w:rsidTr="00C04A16">
      <w:tblPrEx>
        <w:tblCellMar>
          <w:top w:w="0" w:type="dxa"/>
          <w:bottom w:w="0" w:type="dxa"/>
        </w:tblCellMar>
      </w:tblPrEx>
      <w:trPr>
        <w:trHeight w:hRule="exact" w:val="864"/>
      </w:trPr>
      <w:tc>
        <w:tcPr>
          <w:tcW w:w="4838" w:type="dxa"/>
          <w:shd w:val="clear" w:color="auto" w:fill="auto"/>
          <w:vAlign w:val="bottom"/>
        </w:tcPr>
        <w:p w:rsidR="002567F4" w:rsidRDefault="002567F4" w:rsidP="00C04A16">
          <w:pPr>
            <w:pStyle w:val="Header"/>
          </w:pPr>
        </w:p>
      </w:tc>
      <w:tc>
        <w:tcPr>
          <w:tcW w:w="5033" w:type="dxa"/>
          <w:shd w:val="clear" w:color="auto" w:fill="auto"/>
          <w:vAlign w:val="bottom"/>
        </w:tcPr>
        <w:p w:rsidR="002567F4" w:rsidRPr="00C04A16" w:rsidRDefault="002567F4" w:rsidP="00C04A1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CEDAW/C/KOR/CO/7</w:t>
          </w:r>
          <w:r>
            <w:rPr>
              <w:b/>
              <w:sz w:val="17"/>
            </w:rPr>
            <w:fldChar w:fldCharType="end"/>
          </w:r>
        </w:p>
      </w:tc>
    </w:tr>
  </w:tbl>
  <w:p w:rsidR="002567F4" w:rsidRPr="00C04A16" w:rsidRDefault="002567F4" w:rsidP="00C04A1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567F4" w:rsidTr="00C04A1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567F4" w:rsidRDefault="002567F4" w:rsidP="00C04A16">
          <w:pPr>
            <w:pStyle w:val="Header"/>
            <w:spacing w:after="120"/>
          </w:pPr>
        </w:p>
      </w:tc>
      <w:tc>
        <w:tcPr>
          <w:tcW w:w="1872" w:type="dxa"/>
          <w:tcBorders>
            <w:bottom w:val="single" w:sz="4" w:space="0" w:color="auto"/>
          </w:tcBorders>
          <w:shd w:val="clear" w:color="auto" w:fill="auto"/>
          <w:vAlign w:val="bottom"/>
        </w:tcPr>
        <w:p w:rsidR="002567F4" w:rsidRPr="00C04A16" w:rsidRDefault="002567F4" w:rsidP="00C04A1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567F4" w:rsidRDefault="002567F4" w:rsidP="00C04A16">
          <w:pPr>
            <w:pStyle w:val="Header"/>
            <w:spacing w:after="120"/>
          </w:pPr>
        </w:p>
      </w:tc>
      <w:tc>
        <w:tcPr>
          <w:tcW w:w="6523" w:type="dxa"/>
          <w:gridSpan w:val="3"/>
          <w:tcBorders>
            <w:bottom w:val="single" w:sz="4" w:space="0" w:color="auto"/>
          </w:tcBorders>
          <w:shd w:val="clear" w:color="auto" w:fill="auto"/>
          <w:vAlign w:val="bottom"/>
        </w:tcPr>
        <w:p w:rsidR="002567F4" w:rsidRPr="00C04A16" w:rsidRDefault="002567F4" w:rsidP="00C04A16">
          <w:pPr>
            <w:spacing w:after="80" w:line="240" w:lineRule="auto"/>
            <w:jc w:val="right"/>
            <w:rPr>
              <w:rFonts w:ascii="Times New Roman"/>
              <w:position w:val="-4"/>
            </w:rPr>
          </w:pPr>
          <w:r>
            <w:rPr>
              <w:rFonts w:ascii="Times New Roman"/>
              <w:position w:val="-4"/>
              <w:sz w:val="40"/>
            </w:rPr>
            <w:t>CEDAW</w:t>
          </w:r>
          <w:r>
            <w:rPr>
              <w:rFonts w:ascii="Times New Roman"/>
              <w:position w:val="-4"/>
            </w:rPr>
            <w:t>/C/KOR/CO/7</w:t>
          </w:r>
        </w:p>
      </w:tc>
    </w:tr>
    <w:tr w:rsidR="002567F4" w:rsidRPr="00C04A16" w:rsidTr="00C04A1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567F4" w:rsidRDefault="002567F4" w:rsidP="00C04A1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567F4" w:rsidRPr="00C04A16" w:rsidRDefault="002567F4" w:rsidP="00C04A16">
          <w:pPr>
            <w:pStyle w:val="Header"/>
            <w:spacing w:before="109"/>
            <w:ind w:left="-72"/>
          </w:pPr>
        </w:p>
      </w:tc>
      <w:tc>
        <w:tcPr>
          <w:tcW w:w="5227" w:type="dxa"/>
          <w:gridSpan w:val="3"/>
          <w:tcBorders>
            <w:top w:val="single" w:sz="4" w:space="0" w:color="auto"/>
            <w:bottom w:val="single" w:sz="12" w:space="0" w:color="auto"/>
          </w:tcBorders>
          <w:shd w:val="clear" w:color="auto" w:fill="auto"/>
        </w:tcPr>
        <w:p w:rsidR="002567F4" w:rsidRPr="00C04A16" w:rsidRDefault="002567F4" w:rsidP="00C04A1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567F4" w:rsidRPr="00C04A16" w:rsidRDefault="002567F4" w:rsidP="00C04A16">
          <w:pPr>
            <w:pStyle w:val="Header"/>
            <w:spacing w:before="109"/>
          </w:pPr>
        </w:p>
      </w:tc>
      <w:tc>
        <w:tcPr>
          <w:tcW w:w="3180" w:type="dxa"/>
          <w:gridSpan w:val="2"/>
          <w:tcBorders>
            <w:top w:val="single" w:sz="4" w:space="0" w:color="auto"/>
            <w:bottom w:val="single" w:sz="12" w:space="0" w:color="auto"/>
          </w:tcBorders>
          <w:shd w:val="clear" w:color="auto" w:fill="auto"/>
        </w:tcPr>
        <w:p w:rsidR="002567F4" w:rsidRDefault="002567F4" w:rsidP="00C04A16">
          <w:pPr>
            <w:spacing w:before="240" w:line="240" w:lineRule="exact"/>
            <w:rPr>
              <w:rFonts w:ascii="Times New Roman"/>
            </w:rPr>
          </w:pPr>
          <w:r>
            <w:rPr>
              <w:rFonts w:ascii="Times New Roman"/>
            </w:rPr>
            <w:t>Distr.: General</w:t>
          </w:r>
        </w:p>
        <w:p w:rsidR="002567F4" w:rsidRDefault="002567F4" w:rsidP="00C04A16">
          <w:pPr>
            <w:spacing w:line="240" w:lineRule="exact"/>
            <w:rPr>
              <w:rFonts w:ascii="Times New Roman"/>
            </w:rPr>
          </w:pPr>
          <w:r>
            <w:rPr>
              <w:rFonts w:ascii="Times New Roman"/>
            </w:rPr>
            <w:t>1 August 2011</w:t>
          </w:r>
        </w:p>
        <w:p w:rsidR="002567F4" w:rsidRDefault="002567F4" w:rsidP="00C04A16">
          <w:pPr>
            <w:spacing w:line="240" w:lineRule="exact"/>
            <w:rPr>
              <w:rFonts w:ascii="Times New Roman"/>
            </w:rPr>
          </w:pPr>
          <w:r>
            <w:rPr>
              <w:rFonts w:ascii="Times New Roman"/>
            </w:rPr>
            <w:t>Chinese</w:t>
          </w:r>
        </w:p>
        <w:p w:rsidR="002567F4" w:rsidRPr="00C04A16" w:rsidRDefault="002567F4" w:rsidP="00C04A16">
          <w:pPr>
            <w:spacing w:line="240" w:lineRule="exact"/>
            <w:rPr>
              <w:rFonts w:ascii="Times New Roman"/>
            </w:rPr>
          </w:pPr>
          <w:r>
            <w:rPr>
              <w:rFonts w:ascii="Times New Roman"/>
            </w:rPr>
            <w:t>Original: English</w:t>
          </w:r>
        </w:p>
      </w:tc>
    </w:tr>
  </w:tbl>
  <w:p w:rsidR="002567F4" w:rsidRPr="00C04A16" w:rsidRDefault="002567F4" w:rsidP="00C04A1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953*"/>
    <w:docVar w:name="CreationDt" w:val="02/09/2011 13:12:22"/>
    <w:docVar w:name="DocCategory" w:val="Doc"/>
    <w:docVar w:name="DocType" w:val="Final"/>
    <w:docVar w:name="FooterJN" w:val="11-44953 (C)"/>
    <w:docVar w:name="jobn" w:val="11-44953 (C)"/>
    <w:docVar w:name="jobnDT" w:val="11-44953 (C)   020911"/>
    <w:docVar w:name="jobnDTDT" w:val="11-44953 (C)   020911   020911"/>
    <w:docVar w:name="JobNo" w:val="1144953C"/>
    <w:docVar w:name="OandT" w:val="wxq"/>
    <w:docVar w:name="sss1" w:val="CEDAW/C/KOR/CO/7"/>
    <w:docVar w:name="sss2" w:val="-"/>
    <w:docVar w:name="Symbol1" w:val="CEDAW/C/KOR/CO/7"/>
    <w:docVar w:name="Symbol2" w:val="-"/>
  </w:docVars>
  <w:rsids>
    <w:rsidRoot w:val="00D750B2"/>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24661"/>
    <w:rsid w:val="00231575"/>
    <w:rsid w:val="00247382"/>
    <w:rsid w:val="00252E35"/>
    <w:rsid w:val="00254858"/>
    <w:rsid w:val="002567F4"/>
    <w:rsid w:val="00257053"/>
    <w:rsid w:val="00266257"/>
    <w:rsid w:val="00271BE6"/>
    <w:rsid w:val="0027454D"/>
    <w:rsid w:val="00277AAE"/>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3F6BE2"/>
    <w:rsid w:val="00414423"/>
    <w:rsid w:val="0041748F"/>
    <w:rsid w:val="004411AD"/>
    <w:rsid w:val="004424EF"/>
    <w:rsid w:val="00453BB0"/>
    <w:rsid w:val="00460162"/>
    <w:rsid w:val="004620A8"/>
    <w:rsid w:val="00466BB5"/>
    <w:rsid w:val="004700CF"/>
    <w:rsid w:val="00487444"/>
    <w:rsid w:val="00497D3B"/>
    <w:rsid w:val="004A06D1"/>
    <w:rsid w:val="004A11FC"/>
    <w:rsid w:val="004A45EC"/>
    <w:rsid w:val="004C0224"/>
    <w:rsid w:val="004C053E"/>
    <w:rsid w:val="004C3255"/>
    <w:rsid w:val="004D079C"/>
    <w:rsid w:val="004D07E1"/>
    <w:rsid w:val="004D1C19"/>
    <w:rsid w:val="004F29B8"/>
    <w:rsid w:val="0050413E"/>
    <w:rsid w:val="00515657"/>
    <w:rsid w:val="00521275"/>
    <w:rsid w:val="0052216F"/>
    <w:rsid w:val="005232CA"/>
    <w:rsid w:val="00523636"/>
    <w:rsid w:val="005335B9"/>
    <w:rsid w:val="00536CCE"/>
    <w:rsid w:val="005430CF"/>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26713"/>
    <w:rsid w:val="0096193C"/>
    <w:rsid w:val="009711E8"/>
    <w:rsid w:val="00973958"/>
    <w:rsid w:val="009769E1"/>
    <w:rsid w:val="00977E0D"/>
    <w:rsid w:val="00986132"/>
    <w:rsid w:val="00986C04"/>
    <w:rsid w:val="009A2F76"/>
    <w:rsid w:val="009A54E3"/>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A78C8"/>
    <w:rsid w:val="00AB2786"/>
    <w:rsid w:val="00AD4308"/>
    <w:rsid w:val="00AF2A33"/>
    <w:rsid w:val="00B309DD"/>
    <w:rsid w:val="00B36621"/>
    <w:rsid w:val="00B36D64"/>
    <w:rsid w:val="00B41B48"/>
    <w:rsid w:val="00B52A06"/>
    <w:rsid w:val="00B56194"/>
    <w:rsid w:val="00B60F41"/>
    <w:rsid w:val="00B61A34"/>
    <w:rsid w:val="00B64E8E"/>
    <w:rsid w:val="00B65E8B"/>
    <w:rsid w:val="00B8025A"/>
    <w:rsid w:val="00B827B1"/>
    <w:rsid w:val="00BB23A4"/>
    <w:rsid w:val="00BC2276"/>
    <w:rsid w:val="00BD2150"/>
    <w:rsid w:val="00BE1CC3"/>
    <w:rsid w:val="00BE365A"/>
    <w:rsid w:val="00BE47C4"/>
    <w:rsid w:val="00BE6976"/>
    <w:rsid w:val="00C04A16"/>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E692E"/>
    <w:rsid w:val="00CF7718"/>
    <w:rsid w:val="00D177F1"/>
    <w:rsid w:val="00D323B5"/>
    <w:rsid w:val="00D33440"/>
    <w:rsid w:val="00D42ACC"/>
    <w:rsid w:val="00D51DC5"/>
    <w:rsid w:val="00D676D7"/>
    <w:rsid w:val="00D71517"/>
    <w:rsid w:val="00D7168D"/>
    <w:rsid w:val="00D750B2"/>
    <w:rsid w:val="00D874E1"/>
    <w:rsid w:val="00D9586D"/>
    <w:rsid w:val="00DA51B2"/>
    <w:rsid w:val="00DA6EF3"/>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43E6C"/>
    <w:rsid w:val="00F50336"/>
    <w:rsid w:val="00F55E5B"/>
    <w:rsid w:val="00F62E3F"/>
    <w:rsid w:val="00F67F90"/>
    <w:rsid w:val="00F77B3E"/>
    <w:rsid w:val="00F833CB"/>
    <w:rsid w:val="00F87754"/>
    <w:rsid w:val="00F90A4B"/>
    <w:rsid w:val="00F90C56"/>
    <w:rsid w:val="00FC0813"/>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10</Pages>
  <Words>1345</Words>
  <Characters>7671</Characters>
  <Application>Microsoft Office Word</Application>
  <DocSecurity>4</DocSecurity>
  <Lines>63</Lines>
  <Paragraphs>17</Paragraphs>
  <ScaleCrop>false</ScaleCrop>
  <Company>United Nations</Company>
  <LinksUpToDate>false</LinksUpToDate>
  <CharactersWithSpaces>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WXQ</dc:creator>
  <cp:keywords/>
  <dc:description/>
  <cp:lastModifiedBy>CTPU SDH</cp:lastModifiedBy>
  <cp:revision>32</cp:revision>
  <cp:lastPrinted>2011-09-14T13:25:00Z</cp:lastPrinted>
  <dcterms:created xsi:type="dcterms:W3CDTF">2011-09-02T11:10:00Z</dcterms:created>
  <dcterms:modified xsi:type="dcterms:W3CDTF">2011-09-14T13:26:00Z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1144953</vt:lpwstr>
  </property>
  <property fmtid="{D5CDD505-2E9C-101B-9397-08002B2CF9AE}" pid="3" name="Symbol1">
    <vt:lpwstr>CEDAW/C/KOR/CO/7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wxq</vt:lpwstr>
  </property>
</Properties>
</file>