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44"/>
          <w:lang w:val="fr-FR"/>
        </w:rPr>
      </w:pPr>
    </w:p>
    <w:tbl>
      <w:tblPr>
        <w:tblW w:w="9412" w:type="dxa"/>
        <w:jc w:val="center"/>
        <w:tblInd w:w="793" w:type="dxa"/>
        <w:tblLayout w:type="fixed"/>
        <w:tblCellMar>
          <w:left w:w="793" w:type="dxa"/>
          <w:right w:w="793" w:type="dxa"/>
        </w:tblCellMar>
        <w:tblLook w:val="0000" w:firstRow="0" w:lastRow="0" w:firstColumn="0" w:lastColumn="0" w:noHBand="0" w:noVBand="0"/>
      </w:tblPr>
      <w:tblGrid>
        <w:gridCol w:w="4706"/>
        <w:gridCol w:w="4706"/>
      </w:tblGrid>
      <w:tr w:rsidR="00000000">
        <w:tblPrEx>
          <w:tblCellMar>
            <w:top w:w="0" w:type="dxa"/>
            <w:bottom w:w="0" w:type="dxa"/>
          </w:tblCellMar>
        </w:tblPrEx>
        <w:trPr>
          <w:jc w:val="center"/>
        </w:trPr>
        <w:tc>
          <w:tcPr>
            <w:tcW w:w="4734" w:type="dxa"/>
            <w:tcBorders>
              <w:bottom w:val="single" w:sz="8" w:space="0" w:color="auto"/>
            </w:tcBorders>
          </w:tcPr>
          <w:p w:rsidR="00000000" w:rsidRDefault="00000000">
            <w:pPr>
              <w:spacing w:before="120" w:after="58"/>
              <w:ind w:left="-652"/>
              <w:rPr>
                <w:rFonts w:ascii="Arial" w:hAnsi="Arial" w:cs="Arial"/>
                <w:sz w:val="28"/>
                <w:lang w:val="fr-FR"/>
              </w:rPr>
            </w:pPr>
            <w:r>
              <w:rPr>
                <w:rFonts w:ascii="Arial" w:hAnsi="Arial" w:cs="Arial"/>
                <w:b/>
                <w:sz w:val="28"/>
                <w:lang w:val="fr-FR"/>
              </w:rPr>
              <w:t>NATIONS</w:t>
            </w:r>
            <w:r>
              <w:rPr>
                <w:rFonts w:ascii="Arial" w:hAnsi="Arial" w:cs="Arial"/>
                <w:b/>
                <w:sz w:val="28"/>
                <w:lang w:val="fr-FR"/>
              </w:rPr>
              <w:br/>
              <w:t>UNIES</w:t>
            </w:r>
          </w:p>
        </w:tc>
        <w:tc>
          <w:tcPr>
            <w:tcW w:w="4734" w:type="dxa"/>
            <w:tcBorders>
              <w:bottom w:val="single" w:sz="8" w:space="0" w:color="auto"/>
            </w:tcBorders>
          </w:tcPr>
          <w:p w:rsidR="00000000" w:rsidRDefault="00000000">
            <w:pPr>
              <w:pStyle w:val="Heading1"/>
              <w:keepNext w:val="0"/>
              <w:spacing w:before="120" w:after="40"/>
              <w:ind w:left="1871" w:right="-539"/>
              <w:jc w:val="right"/>
              <w:rPr>
                <w:rFonts w:ascii="Arial" w:hAnsi="Arial"/>
                <w:bCs w:val="0"/>
                <w:color w:val="auto"/>
                <w:sz w:val="72"/>
                <w:szCs w:val="20"/>
                <w:lang w:val="fr-FR" w:eastAsia="fr-FR"/>
              </w:rPr>
            </w:pPr>
            <w:r>
              <w:rPr>
                <w:rFonts w:ascii="Arial" w:hAnsi="Arial"/>
                <w:bCs w:val="0"/>
                <w:color w:val="auto"/>
                <w:sz w:val="72"/>
                <w:szCs w:val="20"/>
                <w:lang w:val="fr-FR" w:eastAsia="fr-FR"/>
              </w:rPr>
              <w:t>E</w:t>
            </w:r>
          </w:p>
        </w:tc>
      </w:tr>
    </w:tbl>
    <w:p w:rsidR="00000000" w:rsidRDefault="00000000">
      <w:pPr>
        <w:tabs>
          <w:tab w:val="right" w:pos="3195"/>
        </w:tabs>
        <w:spacing w:line="19" w:lineRule="exact"/>
        <w:ind w:hanging="1"/>
        <w:rPr>
          <w:sz w:val="20"/>
          <w:lang w:val="fr-FR"/>
        </w:rPr>
      </w:pPr>
    </w:p>
    <w:tbl>
      <w:tblPr>
        <w:tblW w:w="9412" w:type="dxa"/>
        <w:tblInd w:w="120" w:type="dxa"/>
        <w:tblLayout w:type="fixed"/>
        <w:tblCellMar>
          <w:left w:w="120" w:type="dxa"/>
          <w:right w:w="120" w:type="dxa"/>
        </w:tblCellMar>
        <w:tblLook w:val="0000" w:firstRow="0" w:lastRow="0" w:firstColumn="0" w:lastColumn="0" w:noHBand="0" w:noVBand="0"/>
      </w:tblPr>
      <w:tblGrid>
        <w:gridCol w:w="1523"/>
        <w:gridCol w:w="4507"/>
        <w:gridCol w:w="3382"/>
      </w:tblGrid>
      <w:tr w:rsidR="00000000">
        <w:tblPrEx>
          <w:tblCellMar>
            <w:top w:w="0" w:type="dxa"/>
            <w:bottom w:w="0" w:type="dxa"/>
          </w:tblCellMar>
        </w:tblPrEx>
        <w:tc>
          <w:tcPr>
            <w:tcW w:w="1523" w:type="dxa"/>
            <w:tcBorders>
              <w:bottom w:val="single" w:sz="36" w:space="0" w:color="auto"/>
            </w:tcBorders>
          </w:tcPr>
          <w:p w:rsidR="00000000" w:rsidRDefault="00000000">
            <w:pPr>
              <w:pBdr>
                <w:top w:val="single" w:sz="6" w:space="0" w:color="FFFFFF"/>
                <w:left w:val="single" w:sz="6" w:space="0" w:color="FFFFFF"/>
                <w:bottom w:val="single" w:sz="6" w:space="0" w:color="FFFFFF"/>
                <w:right w:val="single" w:sz="6" w:space="0" w:color="FFFFFF"/>
              </w:pBdr>
              <w:spacing w:after="60"/>
              <w:rPr>
                <w:sz w:val="28"/>
                <w:lang w:val="fr-FR"/>
              </w:rPr>
            </w:pPr>
          </w:p>
          <w:p w:rsidR="00000000" w:rsidRDefault="00000000">
            <w:pPr>
              <w:pBdr>
                <w:top w:val="single" w:sz="6" w:space="0" w:color="FFFFFF"/>
                <w:left w:val="single" w:sz="6" w:space="0" w:color="FFFFFF"/>
                <w:bottom w:val="single" w:sz="6" w:space="0" w:color="FFFFFF"/>
                <w:right w:val="single" w:sz="6" w:space="0" w:color="FFFFFF"/>
              </w:pBdr>
              <w:rPr>
                <w:lang w:val="fr-FR"/>
              </w:rPr>
            </w:pPr>
            <w:r>
              <w:rPr>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sz w:val="20"/>
                <w:lang w:val="fr-FR"/>
              </w:rPr>
            </w:pPr>
          </w:p>
        </w:tc>
        <w:tc>
          <w:tcPr>
            <w:tcW w:w="4507" w:type="dxa"/>
            <w:tcBorders>
              <w:bottom w:val="single" w:sz="36" w:space="0" w:color="auto"/>
            </w:tcBorders>
          </w:tcPr>
          <w:p w:rsidR="00000000" w:rsidRDefault="00000000">
            <w:pPr>
              <w:tabs>
                <w:tab w:val="right" w:pos="3195"/>
              </w:tabs>
              <w:spacing w:before="600"/>
              <w:rPr>
                <w:rFonts w:ascii="Arial" w:hAnsi="Arial"/>
                <w:b/>
                <w:sz w:val="32"/>
                <w:lang w:val="fr-FR"/>
              </w:rPr>
            </w:pPr>
            <w:r>
              <w:rPr>
                <w:rFonts w:ascii="Arial" w:hAnsi="Arial"/>
                <w:b/>
                <w:sz w:val="32"/>
                <w:lang w:val="fr-FR"/>
              </w:rPr>
              <w:t>Conseil économique</w:t>
            </w:r>
          </w:p>
          <w:p w:rsidR="00000000" w:rsidRDefault="00000000">
            <w:pPr>
              <w:tabs>
                <w:tab w:val="right" w:pos="3195"/>
              </w:tabs>
              <w:ind w:hanging="1"/>
              <w:rPr>
                <w:rFonts w:ascii="Arial" w:hAnsi="Arial"/>
                <w:b/>
                <w:sz w:val="32"/>
                <w:lang w:val="fr-FR"/>
              </w:rPr>
            </w:pPr>
            <w:r>
              <w:rPr>
                <w:rFonts w:ascii="Arial" w:hAnsi="Arial"/>
                <w:b/>
                <w:sz w:val="32"/>
                <w:lang w:val="fr-FR"/>
              </w:rPr>
              <w:t>et social</w:t>
            </w:r>
          </w:p>
          <w:p w:rsidR="00000000" w:rsidRDefault="00000000">
            <w:pPr>
              <w:tabs>
                <w:tab w:val="right" w:pos="3195"/>
              </w:tabs>
              <w:spacing w:after="58"/>
              <w:ind w:hanging="1"/>
              <w:rPr>
                <w:sz w:val="20"/>
                <w:lang w:val="fr-FR"/>
              </w:rPr>
            </w:pPr>
          </w:p>
        </w:tc>
        <w:tc>
          <w:tcPr>
            <w:tcW w:w="3382" w:type="dxa"/>
            <w:tcBorders>
              <w:bottom w:val="single" w:sz="36" w:space="0" w:color="auto"/>
            </w:tcBorders>
          </w:tcPr>
          <w:p w:rsidR="00000000" w:rsidRDefault="00000000">
            <w:pPr>
              <w:spacing w:before="360" w:after="240"/>
              <w:ind w:left="690"/>
              <w:rPr>
                <w:lang w:val="fr-FR"/>
              </w:rPr>
            </w:pPr>
            <w:r>
              <w:rPr>
                <w:lang w:val="fr-FR"/>
              </w:rPr>
              <w:t>Distr.</w:t>
            </w:r>
            <w:r>
              <w:rPr>
                <w:lang w:val="fr-FR"/>
              </w:rPr>
              <w:br/>
              <w:t>GÉNÉRALE</w:t>
            </w:r>
          </w:p>
          <w:p w:rsidR="00000000" w:rsidRDefault="00000000">
            <w:pPr>
              <w:spacing w:after="240"/>
              <w:ind w:left="690"/>
              <w:rPr>
                <w:lang w:val="fr-FR"/>
              </w:rPr>
            </w:pPr>
            <w:r>
              <w:rPr>
                <w:lang w:val="fr-FR"/>
              </w:rPr>
              <w:t>E/1990/6/Add.36</w:t>
            </w:r>
            <w:r>
              <w:rPr>
                <w:lang w:val="fr-FR"/>
              </w:rPr>
              <w:br/>
              <w:t>20 décembre 2002</w:t>
            </w:r>
          </w:p>
          <w:p w:rsidR="00000000" w:rsidRDefault="00000000">
            <w:pPr>
              <w:tabs>
                <w:tab w:val="right" w:pos="3195"/>
              </w:tabs>
              <w:spacing w:after="240"/>
              <w:ind w:left="690"/>
              <w:rPr>
                <w:lang w:val="fr-FR"/>
              </w:rPr>
            </w:pPr>
            <w:r>
              <w:rPr>
                <w:lang w:val="fr-FR"/>
              </w:rPr>
              <w:t>FRANÇAIS</w:t>
            </w:r>
            <w:r>
              <w:rPr>
                <w:lang w:val="fr-FR"/>
              </w:rPr>
              <w:br/>
              <w:t>Original : ESPAGNOL</w:t>
            </w:r>
          </w:p>
        </w:tc>
      </w:tr>
    </w:tbl>
    <w:p w:rsidR="00000000" w:rsidRDefault="00000000">
      <w:pPr>
        <w:tabs>
          <w:tab w:val="right" w:pos="3195"/>
        </w:tabs>
        <w:spacing w:before="80"/>
        <w:rPr>
          <w:lang w:val="fr-FR"/>
        </w:rPr>
      </w:pPr>
      <w:r>
        <w:rPr>
          <w:lang w:val="fr-FR"/>
        </w:rPr>
        <w:t>Session de fond de 2003</w:t>
      </w:r>
    </w:p>
    <w:p w:rsidR="00000000" w:rsidRDefault="00000000">
      <w:pPr>
        <w:tabs>
          <w:tab w:val="right" w:pos="3195"/>
        </w:tabs>
        <w:ind w:hanging="1"/>
        <w:jc w:val="center"/>
        <w:rPr>
          <w:lang w:val="fr-FR"/>
        </w:rPr>
      </w:pPr>
    </w:p>
    <w:p w:rsidR="00000000" w:rsidRDefault="00000000">
      <w:pPr>
        <w:ind w:hanging="1"/>
        <w:jc w:val="center"/>
        <w:rPr>
          <w:lang w:val="fr-FR"/>
        </w:rPr>
      </w:pPr>
    </w:p>
    <w:p w:rsidR="00000000" w:rsidRDefault="00000000">
      <w:pPr>
        <w:jc w:val="center"/>
        <w:rPr>
          <w:lang w:val="fr-FR"/>
        </w:rPr>
      </w:pPr>
    </w:p>
    <w:p w:rsidR="00000000" w:rsidRDefault="00000000">
      <w:pPr>
        <w:rPr>
          <w:sz w:val="22"/>
          <w:lang w:val="fr-FR"/>
        </w:rPr>
      </w:pPr>
    </w:p>
    <w:p w:rsidR="00000000" w:rsidRDefault="00000000">
      <w:pPr>
        <w:rPr>
          <w:sz w:val="22"/>
          <w:lang w:val="fr-FR"/>
        </w:rPr>
      </w:pPr>
    </w:p>
    <w:p w:rsidR="00000000" w:rsidRDefault="00000000">
      <w:pPr>
        <w:spacing w:after="240"/>
        <w:jc w:val="center"/>
        <w:rPr>
          <w:b/>
          <w:bCs/>
          <w:caps/>
          <w:lang w:val="fr-FR"/>
        </w:rPr>
      </w:pPr>
      <w:r>
        <w:rPr>
          <w:b/>
          <w:bCs/>
          <w:caps/>
          <w:lang w:val="fr-FR"/>
        </w:rPr>
        <w:t>APPLICATION du pacte international relatif aux droits économiques, sociaux et culturels</w:t>
      </w:r>
    </w:p>
    <w:p w:rsidR="00000000" w:rsidRDefault="00000000">
      <w:pPr>
        <w:pStyle w:val="BodyText"/>
        <w:spacing w:after="240"/>
        <w:rPr>
          <w:b/>
          <w:bCs/>
          <w:u w:val="none"/>
          <w:lang w:val="fr-FR"/>
        </w:rPr>
      </w:pPr>
      <w:r>
        <w:rPr>
          <w:b/>
          <w:bCs/>
          <w:u w:val="none"/>
          <w:lang w:val="fr-FR"/>
        </w:rPr>
        <w:t xml:space="preserve">Deuxièmes rapports périodiques présentés par les États parties </w:t>
      </w:r>
      <w:r>
        <w:rPr>
          <w:b/>
          <w:bCs/>
          <w:u w:val="none"/>
          <w:lang w:val="fr-FR"/>
        </w:rPr>
        <w:br/>
        <w:t>en vertu des articles 16 et 17 du Pacte</w:t>
      </w:r>
    </w:p>
    <w:p w:rsidR="00000000" w:rsidRDefault="00000000">
      <w:pPr>
        <w:pStyle w:val="BodyText"/>
        <w:spacing w:after="240"/>
        <w:rPr>
          <w:b/>
          <w:bCs/>
          <w:u w:val="none"/>
          <w:lang w:val="fr-FR"/>
        </w:rPr>
      </w:pPr>
      <w:r>
        <w:rPr>
          <w:b/>
          <w:bCs/>
          <w:u w:val="none"/>
          <w:lang w:val="fr-FR"/>
        </w:rPr>
        <w:t>Additif</w:t>
      </w:r>
    </w:p>
    <w:p w:rsidR="00000000" w:rsidRDefault="00000000">
      <w:pPr>
        <w:spacing w:after="240"/>
        <w:jc w:val="center"/>
        <w:rPr>
          <w:b/>
          <w:bCs/>
          <w:lang w:val="fr-FR"/>
        </w:rPr>
      </w:pPr>
      <w:r>
        <w:rPr>
          <w:b/>
          <w:bCs/>
          <w:lang w:val="fr-FR"/>
        </w:rPr>
        <w:t xml:space="preserve">     ÉQUATEUR* **</w:t>
      </w:r>
    </w:p>
    <w:p w:rsidR="00000000" w:rsidRDefault="00000000">
      <w:pPr>
        <w:spacing w:after="240"/>
        <w:jc w:val="center"/>
        <w:rPr>
          <w:sz w:val="22"/>
          <w:lang w:val="fr-FR"/>
        </w:rPr>
      </w:pPr>
    </w:p>
    <w:p w:rsidR="00000000" w:rsidRDefault="00000000">
      <w:pPr>
        <w:spacing w:after="240"/>
        <w:jc w:val="right"/>
        <w:rPr>
          <w:lang w:val="fr-FR"/>
        </w:rPr>
      </w:pPr>
      <w:r>
        <w:rPr>
          <w:lang w:val="fr-FR"/>
        </w:rPr>
        <w:t>[25 octobre 2002]</w:t>
      </w:r>
    </w:p>
    <w:p w:rsidR="00000000" w:rsidRDefault="00000000">
      <w:pPr>
        <w:rPr>
          <w:sz w:val="22"/>
          <w:lang w:val="fr-FR"/>
        </w:rPr>
      </w:pPr>
    </w:p>
    <w:p w:rsidR="00000000" w:rsidRDefault="00000000">
      <w:pPr>
        <w:spacing w:after="240"/>
        <w:rPr>
          <w:sz w:val="22"/>
          <w:lang w:val="fr-FR"/>
        </w:rPr>
      </w:pPr>
    </w:p>
    <w:p w:rsidR="00000000" w:rsidRDefault="00000000">
      <w:pPr>
        <w:spacing w:after="600"/>
        <w:rPr>
          <w:sz w:val="22"/>
          <w:lang w:val="fr-FR"/>
        </w:rPr>
      </w:pPr>
    </w:p>
    <w:p w:rsidR="00000000" w:rsidRDefault="00000000">
      <w:pPr>
        <w:spacing w:after="120"/>
        <w:rPr>
          <w:sz w:val="22"/>
          <w:lang w:val="fr-FR"/>
        </w:rPr>
      </w:pPr>
      <w:r>
        <w:rPr>
          <w:sz w:val="22"/>
          <w:lang w:val="fr-FR"/>
        </w:rPr>
        <w:t>–––––––––––––––</w:t>
      </w:r>
    </w:p>
    <w:p w:rsidR="00000000" w:rsidRDefault="00000000">
      <w:pPr>
        <w:spacing w:after="240"/>
        <w:rPr>
          <w:sz w:val="22"/>
          <w:lang w:val="fr-FR"/>
        </w:rPr>
      </w:pPr>
      <w:r>
        <w:rPr>
          <w:sz w:val="22"/>
          <w:lang w:val="fr-FR"/>
        </w:rPr>
        <w:tab/>
        <w:t>*  Les rapports initiaux (E/1978/8/Add.1, E/1986/3/Add.14 et E/1988/5/Add.7) concernant les droits visés respectivement aux articles 6 à 9, 10 à 12 et 13 à 15 du Pacte, ainsi que le deuxième rapport périodique relatif aux droits visés aux articles 6 et 9 du Pacte présenté par le Gouvernement équatorien ont été examinés par le Groupe de travail d’experts gouvernementaux du Conseil économique et social en 1980 (voir les documents E/1980/WG.1/SR.4 et 5), en 1984 (voir les documents E/1984/WG.20 et 22), et par le Comité des droits économiques, sociaux et culturels à sa cinquième session en 1990 (voir les documents E/C.12/1990/SR.37 à 39 et 42).</w:t>
      </w:r>
    </w:p>
    <w:p w:rsidR="00000000" w:rsidRDefault="00000000">
      <w:pPr>
        <w:spacing w:after="480"/>
        <w:rPr>
          <w:sz w:val="22"/>
          <w:lang w:val="fr-FR"/>
        </w:rPr>
      </w:pPr>
      <w:r>
        <w:rPr>
          <w:sz w:val="22"/>
          <w:lang w:val="fr-FR"/>
        </w:rPr>
        <w:tab/>
        <w:t>**  Les renseignements présentés conformément aux directives unifiées concernant la première partie des rapports des États parties figurent dans le document de base portant la cote HRI/CORE/1/Add.3.</w:t>
      </w:r>
    </w:p>
    <w:p w:rsidR="00000000" w:rsidRDefault="00000000">
      <w:pPr>
        <w:spacing w:after="120"/>
        <w:jc w:val="center"/>
        <w:rPr>
          <w:lang w:val="fr-FR"/>
        </w:rPr>
      </w:pPr>
      <w:r>
        <w:rPr>
          <w:lang w:val="fr-FR"/>
        </w:rPr>
        <w:t>TABLE DES MATIÈRES</w:t>
      </w:r>
    </w:p>
    <w:p w:rsidR="00000000" w:rsidRDefault="00000000">
      <w:pPr>
        <w:spacing w:after="120"/>
        <w:jc w:val="center"/>
        <w:rPr>
          <w:lang w:val="fr-FR"/>
        </w:rPr>
      </w:pPr>
    </w:p>
    <w:p w:rsidR="00000000" w:rsidRDefault="00000000">
      <w:pPr>
        <w:spacing w:after="120"/>
        <w:jc w:val="center"/>
        <w:rPr>
          <w:lang w:val="fr-FR"/>
        </w:rPr>
      </w:pPr>
    </w:p>
    <w:p w:rsidR="00000000" w:rsidRDefault="00000000">
      <w:pPr>
        <w:tabs>
          <w:tab w:val="center" w:pos="7938"/>
          <w:tab w:val="right" w:pos="9360"/>
        </w:tabs>
        <w:suppressAutoHyphens/>
        <w:rPr>
          <w:i/>
          <w:iCs/>
          <w:sz w:val="20"/>
          <w:lang w:val="fr-FR"/>
        </w:rPr>
      </w:pPr>
      <w:r>
        <w:rPr>
          <w:i/>
          <w:iCs/>
          <w:lang w:val="fr-FR"/>
        </w:rPr>
        <w:tab/>
      </w:r>
      <w:r>
        <w:rPr>
          <w:i/>
          <w:iCs/>
          <w:sz w:val="20"/>
          <w:lang w:val="fr-FR"/>
        </w:rPr>
        <w:t>Paragraphes</w:t>
      </w:r>
      <w:r>
        <w:rPr>
          <w:i/>
          <w:iCs/>
          <w:sz w:val="20"/>
          <w:lang w:val="fr-FR"/>
        </w:rPr>
        <w:tab/>
        <w:t>Page</w:t>
      </w:r>
    </w:p>
    <w:p w:rsidR="00000000" w:rsidRDefault="00000000">
      <w:pPr>
        <w:tabs>
          <w:tab w:val="left" w:pos="454"/>
          <w:tab w:val="left" w:pos="907"/>
          <w:tab w:val="left" w:pos="1361"/>
          <w:tab w:val="left" w:pos="1814"/>
          <w:tab w:val="center" w:leader="dot" w:pos="7088"/>
          <w:tab w:val="center" w:pos="7938"/>
          <w:tab w:val="right" w:pos="9412"/>
        </w:tabs>
        <w:suppressAutoHyphens/>
        <w:rPr>
          <w:lang w:val="fr-FR"/>
        </w:rPr>
      </w:pPr>
    </w:p>
    <w:p w:rsidR="00000000" w:rsidRDefault="00000000">
      <w:pPr>
        <w:tabs>
          <w:tab w:val="left" w:pos="454"/>
          <w:tab w:val="left" w:pos="907"/>
          <w:tab w:val="left" w:pos="1361"/>
          <w:tab w:val="left" w:pos="1814"/>
          <w:tab w:val="center" w:leader="dot" w:pos="7088"/>
          <w:tab w:val="center" w:pos="7938"/>
          <w:tab w:val="right" w:pos="9360"/>
        </w:tabs>
        <w:suppressAutoHyphens/>
        <w:spacing w:after="240"/>
        <w:rPr>
          <w:lang w:val="fr-FR"/>
        </w:rPr>
      </w:pPr>
      <w:r>
        <w:rPr>
          <w:lang w:val="fr-FR"/>
        </w:rPr>
        <w:t xml:space="preserve">INTRODUCTION </w:t>
      </w:r>
      <w:r>
        <w:rPr>
          <w:lang w:val="fr-FR"/>
        </w:rPr>
        <w:tab/>
      </w:r>
      <w:r>
        <w:rPr>
          <w:lang w:val="fr-FR"/>
        </w:rPr>
        <w:tab/>
        <w:t>10 - 5</w:t>
      </w:r>
      <w:r>
        <w:rPr>
          <w:lang w:val="fr-FR"/>
        </w:rPr>
        <w:tab/>
        <w:t>3</w:t>
      </w:r>
    </w:p>
    <w:p w:rsidR="00000000" w:rsidRDefault="00000000">
      <w:pPr>
        <w:tabs>
          <w:tab w:val="left" w:pos="454"/>
          <w:tab w:val="left" w:leader="dot" w:pos="7088"/>
          <w:tab w:val="center" w:pos="7938"/>
          <w:tab w:val="right" w:pos="9360"/>
        </w:tabs>
        <w:suppressAutoHyphens/>
        <w:spacing w:after="240"/>
        <w:rPr>
          <w:smallCaps/>
          <w:lang w:val="fr-FR"/>
        </w:rPr>
      </w:pPr>
      <w:r>
        <w:rPr>
          <w:smallCaps/>
          <w:lang w:val="fr-FR"/>
        </w:rPr>
        <w:t xml:space="preserve">Article premier </w:t>
      </w:r>
      <w:r>
        <w:rPr>
          <w:smallCaps/>
          <w:lang w:val="fr-FR"/>
        </w:rPr>
        <w:tab/>
      </w:r>
      <w:r>
        <w:rPr>
          <w:smallCaps/>
          <w:lang w:val="fr-FR"/>
        </w:rPr>
        <w:tab/>
        <w:t>6</w:t>
      </w:r>
      <w:r>
        <w:rPr>
          <w:smallCaps/>
          <w:lang w:val="fr-FR"/>
        </w:rPr>
        <w:tab/>
        <w:t>3</w:t>
      </w:r>
    </w:p>
    <w:p w:rsidR="00000000" w:rsidRDefault="00000000">
      <w:pPr>
        <w:tabs>
          <w:tab w:val="left" w:pos="454"/>
          <w:tab w:val="left" w:leader="dot" w:pos="7088"/>
          <w:tab w:val="center" w:pos="7938"/>
          <w:tab w:val="right" w:pos="9360"/>
        </w:tabs>
        <w:suppressAutoHyphens/>
        <w:spacing w:after="240"/>
        <w:rPr>
          <w:smallCaps/>
          <w:lang w:val="fr-FR"/>
        </w:rPr>
      </w:pPr>
      <w:r>
        <w:rPr>
          <w:smallCaps/>
          <w:lang w:val="fr-FR"/>
        </w:rPr>
        <w:t xml:space="preserve">Article 2 </w:t>
      </w:r>
      <w:r>
        <w:rPr>
          <w:smallCaps/>
          <w:lang w:val="fr-FR"/>
        </w:rPr>
        <w:tab/>
      </w:r>
      <w:r>
        <w:rPr>
          <w:smallCaps/>
          <w:lang w:val="fr-FR"/>
        </w:rPr>
        <w:tab/>
        <w:t>7</w:t>
      </w:r>
      <w:r>
        <w:rPr>
          <w:lang w:val="fr-FR"/>
        </w:rPr>
        <w:t xml:space="preserve"> - 11</w:t>
      </w:r>
      <w:r>
        <w:rPr>
          <w:smallCaps/>
          <w:lang w:val="fr-FR"/>
        </w:rPr>
        <w:tab/>
        <w:t>4</w:t>
      </w:r>
    </w:p>
    <w:p w:rsidR="00000000" w:rsidRDefault="00000000">
      <w:pPr>
        <w:tabs>
          <w:tab w:val="left" w:pos="454"/>
          <w:tab w:val="left" w:leader="dot" w:pos="7088"/>
          <w:tab w:val="center" w:pos="7938"/>
          <w:tab w:val="right" w:pos="9360"/>
        </w:tabs>
        <w:suppressAutoHyphens/>
        <w:spacing w:after="240"/>
        <w:rPr>
          <w:smallCaps/>
          <w:lang w:val="fr-FR"/>
        </w:rPr>
      </w:pPr>
      <w:r>
        <w:rPr>
          <w:smallCaps/>
          <w:lang w:val="fr-FR"/>
        </w:rPr>
        <w:t xml:space="preserve">Article 3 </w:t>
      </w:r>
      <w:r>
        <w:rPr>
          <w:smallCaps/>
          <w:lang w:val="fr-FR"/>
        </w:rPr>
        <w:tab/>
      </w:r>
      <w:r>
        <w:rPr>
          <w:smallCaps/>
          <w:lang w:val="fr-FR"/>
        </w:rPr>
        <w:tab/>
        <w:t>12</w:t>
      </w:r>
      <w:r>
        <w:rPr>
          <w:lang w:val="fr-FR"/>
        </w:rPr>
        <w:t xml:space="preserve"> - 35</w:t>
      </w:r>
      <w:r>
        <w:rPr>
          <w:smallCaps/>
          <w:lang w:val="fr-FR"/>
        </w:rPr>
        <w:tab/>
        <w:t>4</w:t>
      </w:r>
    </w:p>
    <w:p w:rsidR="00000000" w:rsidRDefault="00000000">
      <w:pPr>
        <w:tabs>
          <w:tab w:val="left" w:pos="454"/>
          <w:tab w:val="left" w:leader="dot" w:pos="7088"/>
          <w:tab w:val="center" w:pos="7938"/>
          <w:tab w:val="right" w:pos="9360"/>
        </w:tabs>
        <w:suppressAutoHyphens/>
        <w:spacing w:after="240"/>
        <w:rPr>
          <w:smallCaps/>
          <w:lang w:val="fr-FR"/>
        </w:rPr>
      </w:pPr>
      <w:r>
        <w:rPr>
          <w:smallCaps/>
          <w:lang w:val="fr-FR"/>
        </w:rPr>
        <w:t xml:space="preserve">Article 4 </w:t>
      </w:r>
      <w:r>
        <w:rPr>
          <w:smallCaps/>
          <w:lang w:val="fr-FR"/>
        </w:rPr>
        <w:tab/>
      </w:r>
      <w:r>
        <w:rPr>
          <w:smallCaps/>
          <w:lang w:val="fr-FR"/>
        </w:rPr>
        <w:tab/>
        <w:t>36</w:t>
      </w:r>
      <w:r>
        <w:rPr>
          <w:smallCaps/>
          <w:lang w:val="fr-FR"/>
        </w:rPr>
        <w:tab/>
        <w:t>9</w:t>
      </w:r>
    </w:p>
    <w:p w:rsidR="00000000" w:rsidRDefault="00000000">
      <w:pPr>
        <w:tabs>
          <w:tab w:val="left" w:pos="454"/>
          <w:tab w:val="left" w:leader="dot" w:pos="7088"/>
          <w:tab w:val="center" w:pos="7938"/>
          <w:tab w:val="right" w:pos="9360"/>
        </w:tabs>
        <w:suppressAutoHyphens/>
        <w:spacing w:after="240"/>
        <w:rPr>
          <w:smallCaps/>
          <w:lang w:val="fr-FR"/>
        </w:rPr>
      </w:pPr>
      <w:r>
        <w:rPr>
          <w:smallCaps/>
          <w:lang w:val="fr-FR"/>
        </w:rPr>
        <w:t xml:space="preserve">Article 5 </w:t>
      </w:r>
      <w:r>
        <w:rPr>
          <w:smallCaps/>
          <w:lang w:val="fr-FR"/>
        </w:rPr>
        <w:tab/>
      </w:r>
      <w:r>
        <w:rPr>
          <w:smallCaps/>
          <w:lang w:val="fr-FR"/>
        </w:rPr>
        <w:tab/>
        <w:t>37 - 41</w:t>
      </w:r>
      <w:r>
        <w:rPr>
          <w:smallCaps/>
          <w:lang w:val="fr-FR"/>
        </w:rPr>
        <w:tab/>
        <w:t>9</w:t>
      </w:r>
    </w:p>
    <w:p w:rsidR="00000000" w:rsidRDefault="00000000">
      <w:pPr>
        <w:tabs>
          <w:tab w:val="left" w:pos="454"/>
          <w:tab w:val="left" w:leader="dot" w:pos="7088"/>
          <w:tab w:val="center" w:pos="7938"/>
          <w:tab w:val="right" w:pos="9360"/>
        </w:tabs>
        <w:suppressAutoHyphens/>
        <w:spacing w:after="240"/>
        <w:rPr>
          <w:smallCaps/>
          <w:lang w:val="fr-FR"/>
        </w:rPr>
      </w:pPr>
      <w:r>
        <w:rPr>
          <w:smallCaps/>
          <w:lang w:val="fr-FR"/>
        </w:rPr>
        <w:t xml:space="preserve">Article 6 </w:t>
      </w:r>
      <w:r>
        <w:rPr>
          <w:smallCaps/>
          <w:lang w:val="fr-FR"/>
        </w:rPr>
        <w:tab/>
      </w:r>
      <w:r>
        <w:rPr>
          <w:smallCaps/>
          <w:lang w:val="fr-FR"/>
        </w:rPr>
        <w:tab/>
        <w:t>42</w:t>
      </w:r>
      <w:r>
        <w:rPr>
          <w:lang w:val="fr-FR"/>
        </w:rPr>
        <w:t xml:space="preserve"> - 83</w:t>
      </w:r>
      <w:r>
        <w:rPr>
          <w:smallCaps/>
          <w:lang w:val="fr-FR"/>
        </w:rPr>
        <w:tab/>
        <w:t>10</w:t>
      </w:r>
    </w:p>
    <w:p w:rsidR="00000000" w:rsidRDefault="00000000">
      <w:pPr>
        <w:tabs>
          <w:tab w:val="left" w:pos="454"/>
          <w:tab w:val="left" w:leader="dot" w:pos="7088"/>
          <w:tab w:val="center" w:pos="7938"/>
          <w:tab w:val="right" w:pos="9360"/>
        </w:tabs>
        <w:suppressAutoHyphens/>
        <w:spacing w:after="240"/>
        <w:rPr>
          <w:smallCaps/>
          <w:lang w:val="fr-FR"/>
        </w:rPr>
      </w:pPr>
      <w:r>
        <w:rPr>
          <w:smallCaps/>
          <w:lang w:val="fr-FR"/>
        </w:rPr>
        <w:t xml:space="preserve">Article 7 </w:t>
      </w:r>
      <w:r>
        <w:rPr>
          <w:smallCaps/>
          <w:lang w:val="fr-FR"/>
        </w:rPr>
        <w:tab/>
      </w:r>
      <w:r>
        <w:rPr>
          <w:smallCaps/>
          <w:lang w:val="fr-FR"/>
        </w:rPr>
        <w:tab/>
        <w:t>84</w:t>
      </w:r>
      <w:r>
        <w:rPr>
          <w:lang w:val="fr-FR"/>
        </w:rPr>
        <w:t xml:space="preserve"> - 138</w:t>
      </w:r>
      <w:r>
        <w:rPr>
          <w:smallCaps/>
          <w:lang w:val="fr-FR"/>
        </w:rPr>
        <w:tab/>
        <w:t>21</w:t>
      </w:r>
    </w:p>
    <w:p w:rsidR="00000000" w:rsidRDefault="00000000">
      <w:pPr>
        <w:tabs>
          <w:tab w:val="left" w:pos="454"/>
          <w:tab w:val="left" w:leader="dot" w:pos="7088"/>
          <w:tab w:val="center" w:pos="7938"/>
          <w:tab w:val="right" w:pos="9360"/>
        </w:tabs>
        <w:suppressAutoHyphens/>
        <w:spacing w:after="240"/>
        <w:rPr>
          <w:smallCaps/>
          <w:lang w:val="fr-FR"/>
        </w:rPr>
      </w:pPr>
      <w:r>
        <w:rPr>
          <w:smallCaps/>
          <w:lang w:val="fr-FR"/>
        </w:rPr>
        <w:t xml:space="preserve">Article 8 </w:t>
      </w:r>
      <w:r>
        <w:rPr>
          <w:smallCaps/>
          <w:lang w:val="fr-FR"/>
        </w:rPr>
        <w:tab/>
      </w:r>
      <w:r>
        <w:rPr>
          <w:smallCaps/>
          <w:lang w:val="fr-FR"/>
        </w:rPr>
        <w:tab/>
        <w:t>139</w:t>
      </w:r>
      <w:r>
        <w:rPr>
          <w:lang w:val="fr-FR"/>
        </w:rPr>
        <w:t xml:space="preserve"> - 158</w:t>
      </w:r>
      <w:r>
        <w:rPr>
          <w:smallCaps/>
          <w:lang w:val="fr-FR"/>
        </w:rPr>
        <w:tab/>
        <w:t>35</w:t>
      </w:r>
    </w:p>
    <w:p w:rsidR="00000000" w:rsidRDefault="00000000">
      <w:pPr>
        <w:tabs>
          <w:tab w:val="left" w:pos="454"/>
          <w:tab w:val="left" w:leader="dot" w:pos="7088"/>
          <w:tab w:val="center" w:pos="7938"/>
          <w:tab w:val="right" w:pos="9360"/>
        </w:tabs>
        <w:suppressAutoHyphens/>
        <w:spacing w:after="240"/>
        <w:rPr>
          <w:smallCaps/>
          <w:lang w:val="fr-FR"/>
        </w:rPr>
      </w:pPr>
      <w:r>
        <w:rPr>
          <w:smallCaps/>
          <w:lang w:val="fr-FR"/>
        </w:rPr>
        <w:t xml:space="preserve">Article 9 </w:t>
      </w:r>
      <w:r>
        <w:rPr>
          <w:smallCaps/>
          <w:lang w:val="fr-FR"/>
        </w:rPr>
        <w:tab/>
      </w:r>
      <w:r>
        <w:rPr>
          <w:smallCaps/>
          <w:lang w:val="fr-FR"/>
        </w:rPr>
        <w:tab/>
        <w:t>159</w:t>
      </w:r>
      <w:r>
        <w:rPr>
          <w:lang w:val="fr-FR"/>
        </w:rPr>
        <w:t xml:space="preserve"> - 209</w:t>
      </w:r>
      <w:r>
        <w:rPr>
          <w:smallCaps/>
          <w:lang w:val="fr-FR"/>
        </w:rPr>
        <w:tab/>
        <w:t>39</w:t>
      </w:r>
    </w:p>
    <w:p w:rsidR="00000000" w:rsidRDefault="00000000">
      <w:pPr>
        <w:tabs>
          <w:tab w:val="left" w:pos="454"/>
          <w:tab w:val="left" w:leader="dot" w:pos="7088"/>
          <w:tab w:val="center" w:pos="7938"/>
          <w:tab w:val="right" w:pos="9360"/>
        </w:tabs>
        <w:suppressAutoHyphens/>
        <w:spacing w:after="240"/>
        <w:rPr>
          <w:smallCaps/>
          <w:lang w:val="fr-FR"/>
        </w:rPr>
      </w:pPr>
      <w:r>
        <w:rPr>
          <w:smallCaps/>
          <w:lang w:val="fr-FR"/>
        </w:rPr>
        <w:t xml:space="preserve">Article 10 </w:t>
      </w:r>
      <w:r>
        <w:rPr>
          <w:smallCaps/>
          <w:lang w:val="fr-FR"/>
        </w:rPr>
        <w:tab/>
      </w:r>
      <w:r>
        <w:rPr>
          <w:smallCaps/>
          <w:lang w:val="fr-FR"/>
        </w:rPr>
        <w:tab/>
        <w:t>210</w:t>
      </w:r>
      <w:r>
        <w:rPr>
          <w:lang w:val="fr-FR"/>
        </w:rPr>
        <w:t xml:space="preserve"> - 274</w:t>
      </w:r>
      <w:r>
        <w:rPr>
          <w:smallCaps/>
          <w:lang w:val="fr-FR"/>
        </w:rPr>
        <w:tab/>
        <w:t>47</w:t>
      </w:r>
    </w:p>
    <w:p w:rsidR="00000000" w:rsidRDefault="00000000">
      <w:pPr>
        <w:tabs>
          <w:tab w:val="left" w:pos="454"/>
          <w:tab w:val="left" w:leader="dot" w:pos="7088"/>
          <w:tab w:val="center" w:pos="7938"/>
          <w:tab w:val="right" w:pos="9360"/>
        </w:tabs>
        <w:suppressAutoHyphens/>
        <w:spacing w:after="240"/>
        <w:rPr>
          <w:smallCaps/>
          <w:lang w:val="fr-FR"/>
        </w:rPr>
      </w:pPr>
      <w:r>
        <w:rPr>
          <w:smallCaps/>
          <w:lang w:val="fr-FR"/>
        </w:rPr>
        <w:t xml:space="preserve">Article 11 </w:t>
      </w:r>
      <w:r>
        <w:rPr>
          <w:smallCaps/>
          <w:lang w:val="fr-FR"/>
        </w:rPr>
        <w:tab/>
      </w:r>
      <w:r>
        <w:rPr>
          <w:smallCaps/>
          <w:lang w:val="fr-FR"/>
        </w:rPr>
        <w:tab/>
        <w:t>275</w:t>
      </w:r>
      <w:r>
        <w:rPr>
          <w:lang w:val="fr-FR"/>
        </w:rPr>
        <w:t xml:space="preserve"> - 376</w:t>
      </w:r>
      <w:r>
        <w:rPr>
          <w:smallCaps/>
          <w:lang w:val="fr-FR"/>
        </w:rPr>
        <w:tab/>
        <w:t>58</w:t>
      </w:r>
    </w:p>
    <w:p w:rsidR="00000000" w:rsidRDefault="00000000">
      <w:pPr>
        <w:tabs>
          <w:tab w:val="left" w:pos="454"/>
          <w:tab w:val="left" w:leader="dot" w:pos="7088"/>
          <w:tab w:val="center" w:pos="7938"/>
          <w:tab w:val="right" w:pos="9360"/>
        </w:tabs>
        <w:suppressAutoHyphens/>
        <w:spacing w:after="240"/>
        <w:rPr>
          <w:smallCaps/>
          <w:lang w:val="fr-FR"/>
        </w:rPr>
      </w:pPr>
      <w:r>
        <w:rPr>
          <w:smallCaps/>
          <w:lang w:val="fr-FR"/>
        </w:rPr>
        <w:t xml:space="preserve">Article 12 </w:t>
      </w:r>
      <w:r>
        <w:rPr>
          <w:smallCaps/>
          <w:lang w:val="fr-FR"/>
        </w:rPr>
        <w:tab/>
      </w:r>
      <w:r>
        <w:rPr>
          <w:smallCaps/>
          <w:lang w:val="fr-FR"/>
        </w:rPr>
        <w:tab/>
        <w:t>377</w:t>
      </w:r>
      <w:r>
        <w:rPr>
          <w:lang w:val="fr-FR"/>
        </w:rPr>
        <w:t xml:space="preserve"> - 480</w:t>
      </w:r>
      <w:r>
        <w:rPr>
          <w:smallCaps/>
          <w:lang w:val="fr-FR"/>
        </w:rPr>
        <w:tab/>
        <w:t>81</w:t>
      </w:r>
    </w:p>
    <w:p w:rsidR="00000000" w:rsidRDefault="00000000">
      <w:pPr>
        <w:tabs>
          <w:tab w:val="left" w:pos="454"/>
          <w:tab w:val="left" w:leader="dot" w:pos="7088"/>
          <w:tab w:val="center" w:pos="7938"/>
          <w:tab w:val="right" w:pos="9360"/>
        </w:tabs>
        <w:suppressAutoHyphens/>
        <w:spacing w:after="240"/>
        <w:rPr>
          <w:smallCaps/>
          <w:lang w:val="fr-FR"/>
        </w:rPr>
      </w:pPr>
      <w:r>
        <w:rPr>
          <w:smallCaps/>
          <w:lang w:val="fr-FR"/>
        </w:rPr>
        <w:t xml:space="preserve">Article 13 </w:t>
      </w:r>
      <w:r>
        <w:rPr>
          <w:smallCaps/>
          <w:lang w:val="fr-FR"/>
        </w:rPr>
        <w:tab/>
      </w:r>
      <w:r>
        <w:rPr>
          <w:smallCaps/>
          <w:lang w:val="fr-FR"/>
        </w:rPr>
        <w:tab/>
        <w:t>481</w:t>
      </w:r>
      <w:r>
        <w:rPr>
          <w:lang w:val="fr-FR"/>
        </w:rPr>
        <w:t xml:space="preserve"> - 544</w:t>
      </w:r>
      <w:r>
        <w:rPr>
          <w:smallCaps/>
          <w:lang w:val="fr-FR"/>
        </w:rPr>
        <w:tab/>
        <w:t>105</w:t>
      </w:r>
    </w:p>
    <w:p w:rsidR="00000000" w:rsidRDefault="00000000">
      <w:pPr>
        <w:tabs>
          <w:tab w:val="left" w:pos="454"/>
          <w:tab w:val="left" w:leader="dot" w:pos="7088"/>
          <w:tab w:val="center" w:pos="7938"/>
          <w:tab w:val="right" w:pos="9360"/>
        </w:tabs>
        <w:suppressAutoHyphens/>
        <w:spacing w:after="240"/>
        <w:rPr>
          <w:smallCaps/>
          <w:lang w:val="fr-FR"/>
        </w:rPr>
      </w:pPr>
      <w:r>
        <w:rPr>
          <w:smallCaps/>
          <w:lang w:val="fr-FR"/>
        </w:rPr>
        <w:t xml:space="preserve">Article 14 </w:t>
      </w:r>
      <w:r>
        <w:rPr>
          <w:smallCaps/>
          <w:lang w:val="fr-FR"/>
        </w:rPr>
        <w:tab/>
      </w:r>
      <w:r>
        <w:rPr>
          <w:smallCaps/>
          <w:lang w:val="fr-FR"/>
        </w:rPr>
        <w:tab/>
        <w:t>545</w:t>
      </w:r>
      <w:r>
        <w:rPr>
          <w:smallCaps/>
          <w:lang w:val="fr-FR"/>
        </w:rPr>
        <w:tab/>
        <w:t>123</w:t>
      </w:r>
    </w:p>
    <w:p w:rsidR="00000000" w:rsidRDefault="00000000">
      <w:pPr>
        <w:tabs>
          <w:tab w:val="left" w:pos="454"/>
          <w:tab w:val="left" w:leader="dot" w:pos="7088"/>
          <w:tab w:val="center" w:pos="7938"/>
          <w:tab w:val="right" w:pos="9360"/>
        </w:tabs>
        <w:suppressAutoHyphens/>
        <w:spacing w:after="240"/>
        <w:rPr>
          <w:smallCaps/>
          <w:lang w:val="fr-FR"/>
        </w:rPr>
      </w:pPr>
      <w:r>
        <w:rPr>
          <w:smallCaps/>
          <w:lang w:val="fr-FR"/>
        </w:rPr>
        <w:t xml:space="preserve">Article 15 </w:t>
      </w:r>
      <w:r>
        <w:rPr>
          <w:smallCaps/>
          <w:lang w:val="fr-FR"/>
        </w:rPr>
        <w:tab/>
      </w:r>
      <w:r>
        <w:rPr>
          <w:smallCaps/>
          <w:lang w:val="fr-FR"/>
        </w:rPr>
        <w:tab/>
        <w:t>546</w:t>
      </w:r>
      <w:r>
        <w:rPr>
          <w:lang w:val="fr-FR"/>
        </w:rPr>
        <w:t xml:space="preserve"> - 615</w:t>
      </w:r>
      <w:r>
        <w:rPr>
          <w:smallCaps/>
          <w:lang w:val="fr-FR"/>
        </w:rPr>
        <w:tab/>
        <w:t>123</w:t>
      </w:r>
    </w:p>
    <w:p w:rsidR="00000000" w:rsidRDefault="00000000">
      <w:pPr>
        <w:tabs>
          <w:tab w:val="right" w:pos="9360"/>
        </w:tabs>
        <w:spacing w:after="240"/>
        <w:rPr>
          <w:lang w:val="fr-FR"/>
        </w:rPr>
      </w:pPr>
    </w:p>
    <w:p w:rsidR="00000000" w:rsidRDefault="00000000">
      <w:pPr>
        <w:autoSpaceDE w:val="0"/>
        <w:autoSpaceDN w:val="0"/>
        <w:adjustRightInd w:val="0"/>
        <w:spacing w:after="240"/>
        <w:jc w:val="center"/>
        <w:rPr>
          <w:b/>
          <w:bCs/>
          <w:szCs w:val="28"/>
          <w:lang w:val="fr-FR"/>
        </w:rPr>
      </w:pPr>
      <w:r>
        <w:rPr>
          <w:lang w:val="fr-FR"/>
        </w:rPr>
        <w:br w:type="page"/>
      </w:r>
      <w:r>
        <w:rPr>
          <w:b/>
          <w:bCs/>
          <w:szCs w:val="28"/>
          <w:lang w:val="fr-FR"/>
        </w:rPr>
        <w:t>INTRODUCTION</w:t>
      </w:r>
    </w:p>
    <w:p w:rsidR="00000000" w:rsidRDefault="00000000">
      <w:pPr>
        <w:autoSpaceDE w:val="0"/>
        <w:autoSpaceDN w:val="0"/>
        <w:adjustRightInd w:val="0"/>
        <w:spacing w:after="240"/>
        <w:rPr>
          <w:szCs w:val="28"/>
          <w:lang w:val="fr-FR"/>
        </w:rPr>
      </w:pPr>
      <w:r>
        <w:rPr>
          <w:szCs w:val="28"/>
          <w:lang w:val="fr-FR"/>
        </w:rPr>
        <w:t>1.</w:t>
      </w:r>
      <w:r>
        <w:rPr>
          <w:szCs w:val="28"/>
          <w:lang w:val="fr-FR"/>
        </w:rPr>
        <w:tab/>
        <w:t>Le présent rapport de l'Équateur sur les droits économiques et sociaux porte sur les années 1990 et contient des projections pour la période allant jusqu'en 2002.</w:t>
      </w:r>
    </w:p>
    <w:p w:rsidR="00000000" w:rsidRDefault="00000000">
      <w:pPr>
        <w:autoSpaceDE w:val="0"/>
        <w:autoSpaceDN w:val="0"/>
        <w:adjustRightInd w:val="0"/>
        <w:spacing w:after="240"/>
        <w:rPr>
          <w:szCs w:val="28"/>
          <w:lang w:val="fr-FR"/>
        </w:rPr>
      </w:pPr>
      <w:r>
        <w:rPr>
          <w:szCs w:val="28"/>
          <w:lang w:val="fr-FR"/>
        </w:rPr>
        <w:t>2.</w:t>
      </w:r>
      <w:r>
        <w:rPr>
          <w:szCs w:val="28"/>
          <w:lang w:val="fr-FR"/>
        </w:rPr>
        <w:tab/>
        <w:t>L'Équateur a, comme indiqué plus haut,  présenté ses rapports initiaux et son deuxième rapport périodique concernant les droits visés aux articles 6 à 9 du Pacte international relatif aux droits économiques, sociaux et culturels</w:t>
      </w:r>
      <w:r>
        <w:rPr>
          <w:rStyle w:val="FootnoteReference"/>
          <w:b/>
          <w:bCs/>
          <w:szCs w:val="28"/>
          <w:lang w:val="fr-FR"/>
        </w:rPr>
        <w:footnoteReference w:id="1"/>
      </w:r>
      <w:r>
        <w:rPr>
          <w:szCs w:val="28"/>
          <w:lang w:val="fr-FR"/>
        </w:rPr>
        <w:t>.  Il convient de noter que divers rapports ont précédemment été soumis à d'autres comités nouvellement créés par l'Organisation des Nations Unies, en particulier les rapports sur les mesures contre la discrimination à l'égard des femmes, sur la protection de l'enfance et sur la discrimination raciale, et qu'ils fournissent des éléments étoffant certains chapitres du présent document qui pourraient paraître incomplets.</w:t>
      </w:r>
    </w:p>
    <w:p w:rsidR="00000000" w:rsidRDefault="00000000">
      <w:pPr>
        <w:autoSpaceDE w:val="0"/>
        <w:autoSpaceDN w:val="0"/>
        <w:adjustRightInd w:val="0"/>
        <w:spacing w:after="240"/>
        <w:rPr>
          <w:szCs w:val="28"/>
          <w:lang w:val="fr-FR"/>
        </w:rPr>
      </w:pPr>
      <w:r>
        <w:rPr>
          <w:szCs w:val="28"/>
          <w:lang w:val="fr-FR"/>
        </w:rPr>
        <w:t>3.</w:t>
      </w:r>
      <w:r>
        <w:rPr>
          <w:szCs w:val="28"/>
          <w:lang w:val="fr-FR"/>
        </w:rPr>
        <w:tab/>
        <w:t>La population du pays a diminué.  Par rapport aux projections du recensement national de 1990, on observe un déficit de près d'un demi-million de personnes.  Cette différence s'explique essentiellement par un courant d'émigration, notamment vers les États-Unis, l'Espagne et l'Italie</w:t>
      </w:r>
      <w:r>
        <w:rPr>
          <w:rStyle w:val="FootnoteReference"/>
          <w:b/>
          <w:szCs w:val="28"/>
          <w:lang w:val="fr-FR"/>
        </w:rPr>
        <w:footnoteReference w:id="2"/>
      </w:r>
      <w:r>
        <w:rPr>
          <w:szCs w:val="28"/>
          <w:lang w:val="fr-FR"/>
        </w:rPr>
        <w:t>.</w:t>
      </w:r>
    </w:p>
    <w:p w:rsidR="00000000" w:rsidRDefault="00000000">
      <w:pPr>
        <w:spacing w:after="240"/>
        <w:rPr>
          <w:lang w:val="fr-FR"/>
        </w:rPr>
      </w:pPr>
      <w:r>
        <w:rPr>
          <w:lang w:val="fr-FR"/>
        </w:rPr>
        <w:t>4.</w:t>
      </w:r>
      <w:r>
        <w:rPr>
          <w:lang w:val="fr-FR"/>
        </w:rPr>
        <w:tab/>
        <w:t>La nouvelle Constitution, approuvée en 1998 par l'Assemblée constituante, proclame certains droits fondamentaux tels que la reconnaissance des minorités ethniques, de leurs langues et de leurs cultures ancestrales, ce qui n'était pas le cas dans les constitutions antérieures.  L'égalité d'accès aux droits de première et deuxième génération, l'institution de mécanismes de défense comme le recours en amparo, l'habeas data et la fonction de défenseur du peuple, sont des éléments nouveaux.</w:t>
      </w:r>
    </w:p>
    <w:p w:rsidR="00000000" w:rsidRDefault="00000000">
      <w:pPr>
        <w:spacing w:after="240"/>
        <w:rPr>
          <w:lang w:val="fr-FR"/>
        </w:rPr>
      </w:pPr>
      <w:r>
        <w:rPr>
          <w:lang w:val="fr-FR"/>
        </w:rPr>
        <w:t>5.</w:t>
      </w:r>
      <w:r>
        <w:rPr>
          <w:lang w:val="fr-FR"/>
        </w:rPr>
        <w:tab/>
        <w:t>Pour une meilleure compréhension des statistiques présentées sur la base du système de taux de change en sucres, en vigueur jusqu'en 2000, un tableau figurant en annexe donne les équivalences pour les années 1990.</w:t>
      </w:r>
    </w:p>
    <w:p w:rsidR="00000000" w:rsidRDefault="00000000">
      <w:pPr>
        <w:spacing w:after="240"/>
        <w:rPr>
          <w:lang w:val="fr-FR"/>
        </w:rPr>
      </w:pPr>
      <w:r>
        <w:rPr>
          <w:b/>
          <w:bCs/>
          <w:lang w:val="fr-FR"/>
        </w:rPr>
        <w:t>Article premier</w:t>
      </w:r>
    </w:p>
    <w:p w:rsidR="00000000" w:rsidRDefault="00000000">
      <w:pPr>
        <w:spacing w:after="240"/>
        <w:rPr>
          <w:lang w:val="fr-FR"/>
        </w:rPr>
      </w:pPr>
      <w:r>
        <w:rPr>
          <w:lang w:val="fr-FR"/>
        </w:rPr>
        <w:t>6.</w:t>
      </w:r>
      <w:r>
        <w:rPr>
          <w:lang w:val="fr-FR"/>
        </w:rPr>
        <w:tab/>
        <w:t>Dans son article premier, la Constitution proclame : "L'Équateur est un État social de droit, souverain, unitaire, indépendant, démocratique, pluriculturel et multiethnique.  [...] La souveraineté procède du peuple, dont la volonté est le fondement de l'autorité, qui s'exerce au travers des organes du pouvoir public et par les moyens démocratiques prévus dans la présente Constitution".  À l'article 4, elle affirme le droit à l'autodétermination : "L'Équateur, dans ses relations avec la communauté internationale : [...] rejette toute forme de colonialisme, de néocolonialisme, de discrimination ou de ségrégation, et reconnaît le droit des peuples à l'autodétermination et leur droit à se libérer des régimes oppressifs"</w:t>
      </w:r>
    </w:p>
    <w:p w:rsidR="00000000" w:rsidRDefault="00000000">
      <w:pPr>
        <w:spacing w:after="240"/>
        <w:rPr>
          <w:lang w:val="fr-FR"/>
        </w:rPr>
      </w:pPr>
      <w:r>
        <w:rPr>
          <w:b/>
          <w:bCs/>
          <w:lang w:val="fr-FR"/>
        </w:rPr>
        <w:t>Article 2</w:t>
      </w:r>
    </w:p>
    <w:p w:rsidR="00000000" w:rsidRDefault="00000000">
      <w:pPr>
        <w:spacing w:after="240"/>
        <w:rPr>
          <w:lang w:val="fr-FR"/>
        </w:rPr>
      </w:pPr>
      <w:r>
        <w:rPr>
          <w:lang w:val="fr-FR"/>
        </w:rPr>
        <w:t>7.</w:t>
      </w:r>
      <w:r>
        <w:rPr>
          <w:lang w:val="fr-FR"/>
        </w:rPr>
        <w:tab/>
        <w:t>La Constitution de l'Équateur, en son article 23, proclame" L'égalité devant la loi.  Toutes les personnes sont considérées comme étant égales et jouissent des mêmes droits, libertés et possibilités, sans discrimination fondée sur la naissance, l'âge, le sexe, l'ethnie, la couleur, l'origine sociale, la langue, la religion, l'appartenance politique, la fortune, l'orientation sexuelle, l’état de santé, l’invalidité ou sur tout autre critère".</w:t>
      </w:r>
    </w:p>
    <w:p w:rsidR="00000000" w:rsidRDefault="00000000">
      <w:pPr>
        <w:spacing w:after="240"/>
        <w:rPr>
          <w:lang w:val="fr-FR"/>
        </w:rPr>
      </w:pPr>
      <w:r>
        <w:rPr>
          <w:lang w:val="fr-FR"/>
        </w:rPr>
        <w:t>8.</w:t>
      </w:r>
      <w:r>
        <w:rPr>
          <w:lang w:val="fr-FR"/>
        </w:rPr>
        <w:tab/>
        <w:t>L'État équatorien a le devoir suprême de garantir, à travers ses institutions, l'existence, le respect et la jouissance des droits fondamentaux de l'homme et des citoyens, sans distinction de nationalité, conformément aux dispositions de la Constitution ou des accords internationaux pertinents.</w:t>
      </w:r>
    </w:p>
    <w:p w:rsidR="00000000" w:rsidRDefault="00000000">
      <w:pPr>
        <w:spacing w:after="240"/>
        <w:rPr>
          <w:lang w:val="fr-FR"/>
        </w:rPr>
      </w:pPr>
      <w:r>
        <w:rPr>
          <w:lang w:val="fr-FR"/>
        </w:rPr>
        <w:t>9.</w:t>
      </w:r>
      <w:r>
        <w:rPr>
          <w:lang w:val="fr-FR"/>
        </w:rPr>
        <w:tab/>
        <w:t>En vertu de l'article 3 de la Constitution, l'État a le devoir d'assurer "le respect des droits de l'homme".</w:t>
      </w:r>
    </w:p>
    <w:p w:rsidR="00000000" w:rsidRDefault="00000000">
      <w:pPr>
        <w:spacing w:after="240"/>
        <w:rPr>
          <w:lang w:val="fr-FR"/>
        </w:rPr>
      </w:pPr>
      <w:r>
        <w:rPr>
          <w:lang w:val="fr-FR"/>
        </w:rPr>
        <w:t>10.</w:t>
      </w:r>
      <w:r>
        <w:rPr>
          <w:lang w:val="fr-FR"/>
        </w:rPr>
        <w:tab/>
        <w:t>La Constitution reconnaît, en son article 13,  l'égalité des droits des étrangers et des équatoriens, à l'exception des droits civils et politiques que la Constitution et la législation en vigueur réservent exclusivement aux équatoriens.</w:t>
      </w:r>
    </w:p>
    <w:p w:rsidR="00000000" w:rsidRDefault="00000000">
      <w:pPr>
        <w:spacing w:after="240"/>
        <w:rPr>
          <w:lang w:val="fr-FR"/>
        </w:rPr>
      </w:pPr>
      <w:r>
        <w:rPr>
          <w:lang w:val="fr-FR"/>
        </w:rPr>
        <w:t>11.</w:t>
      </w:r>
      <w:r>
        <w:rPr>
          <w:lang w:val="fr-FR"/>
        </w:rPr>
        <w:tab/>
        <w:t>La Loi relative au statut des étrangers, dans son article premier, fait à l'État équatorien l'obligation de réguler la situation des étrangers dans le pays.</w:t>
      </w:r>
    </w:p>
    <w:p w:rsidR="00000000" w:rsidRDefault="00000000">
      <w:pPr>
        <w:spacing w:after="240"/>
        <w:rPr>
          <w:lang w:val="fr-FR"/>
        </w:rPr>
      </w:pPr>
      <w:r>
        <w:rPr>
          <w:b/>
          <w:bCs/>
          <w:lang w:val="fr-FR"/>
        </w:rPr>
        <w:t>Article 3</w:t>
      </w:r>
    </w:p>
    <w:p w:rsidR="00000000" w:rsidRDefault="00000000">
      <w:pPr>
        <w:spacing w:after="240"/>
        <w:rPr>
          <w:lang w:val="fr-FR"/>
        </w:rPr>
      </w:pPr>
      <w:r>
        <w:rPr>
          <w:lang w:val="fr-FR"/>
        </w:rPr>
        <w:t>12.</w:t>
      </w:r>
      <w:r>
        <w:rPr>
          <w:lang w:val="fr-FR"/>
        </w:rPr>
        <w:tab/>
        <w:t xml:space="preserve">Le texte constitutionnel, établi par l'Assemblée nationale et publié au </w:t>
      </w:r>
      <w:r>
        <w:rPr>
          <w:i/>
          <w:iCs/>
          <w:lang w:val="fr-FR"/>
        </w:rPr>
        <w:t xml:space="preserve">Journal officiel </w:t>
      </w:r>
      <w:r>
        <w:rPr>
          <w:lang w:val="fr-FR"/>
        </w:rPr>
        <w:t>N° 1 du 11 août 1998, a tenu compte des opinions de la société civile et inclu les aspects relatifs, notamment, à l'égalité des sexes, à la justice sociale, à l'identité pluriculturelle, aux droits de l'homme, à l'environnement, à la promotion des droits économiques, sociaux et culturels des habitants et à la promotion du système démocratique.  Les articles 34, 41 et 102 de la Constitution en vigueur traitent des droits liés à l'égalité des sexes.</w:t>
      </w:r>
    </w:p>
    <w:p w:rsidR="00000000" w:rsidRDefault="00000000">
      <w:pPr>
        <w:spacing w:after="240"/>
        <w:rPr>
          <w:lang w:val="fr-FR"/>
        </w:rPr>
      </w:pPr>
      <w:r>
        <w:rPr>
          <w:lang w:val="fr-FR"/>
        </w:rPr>
        <w:t>13.</w:t>
      </w:r>
      <w:r>
        <w:rPr>
          <w:lang w:val="fr-FR"/>
        </w:rPr>
        <w:tab/>
        <w:t>C'est ainsi que, selon l'article 34 de la Constitution, "L'État garantit l'égalité des droits et des chances des femmes et des hommes dans l'accès aux ressources pour la production et dans la prise de décisions économiques concernant l'administration de la vie conjugale et la propriété"; aux termes de l'article 41, "L'État élabore et applique des politiques visant à assurer l'égalité des chances entre les hommes et femmes"; ainsi que, aux termes de l'article 102, "la participation équitable des femmes et des hommes en matière d'éligibilité, dans les instances de direction et de décision du domaine public".  Ces articles complètent le paragraphe 3 de l'article 23 relatif aux droits constitutionnels, qui condamne explicitement la discrimination fondée sur le sexe, l'ethnie, la couleur, l'invalidité, ou tout autre critère.</w:t>
      </w:r>
    </w:p>
    <w:p w:rsidR="00000000" w:rsidRDefault="00000000">
      <w:pPr>
        <w:spacing w:after="240"/>
        <w:rPr>
          <w:lang w:val="fr-FR"/>
        </w:rPr>
      </w:pPr>
      <w:r>
        <w:rPr>
          <w:lang w:val="fr-FR"/>
        </w:rPr>
        <w:t>14.</w:t>
      </w:r>
      <w:r>
        <w:rPr>
          <w:lang w:val="fr-FR"/>
        </w:rPr>
        <w:tab/>
        <w:t>En ce qui concerne les enfants, les adolescents, les femmes enceintes, les personnes handicapées, les personnes âgées et celles qui souffrent de maladies graves, l'article 47 du texte constitutionnel les définit comme des groupes vulnérables nécessitant une attention préférentielle de la part des organismes publics et privés.</w:t>
      </w:r>
    </w:p>
    <w:p w:rsidR="00000000" w:rsidRDefault="00000000">
      <w:pPr>
        <w:spacing w:after="240"/>
        <w:rPr>
          <w:lang w:val="fr-FR"/>
        </w:rPr>
      </w:pPr>
      <w:r>
        <w:rPr>
          <w:lang w:val="fr-FR"/>
        </w:rPr>
        <w:t>15.</w:t>
      </w:r>
      <w:r>
        <w:rPr>
          <w:lang w:val="fr-FR"/>
        </w:rPr>
        <w:tab/>
        <w:t>La Constitution réaffirme la conviction que la législation équatorienne interdit actuellement tout type de discrimination fondée sur la race, le sexe, la religion ou l'invalidité et que des politiques doivent être mises en oeuvre pour améliorer l’égalité réelle des droits et des chances des femmes, avec la participation de toute la société, l'égalité ne devant absolument pas être considérée comme le problème exclusif des femmes.</w:t>
      </w:r>
    </w:p>
    <w:p w:rsidR="00000000" w:rsidRDefault="00000000">
      <w:pPr>
        <w:spacing w:after="240"/>
        <w:rPr>
          <w:lang w:val="fr-FR"/>
        </w:rPr>
      </w:pPr>
      <w:r>
        <w:rPr>
          <w:lang w:val="fr-FR"/>
        </w:rPr>
        <w:t>16.</w:t>
      </w:r>
      <w:r>
        <w:rPr>
          <w:lang w:val="fr-FR"/>
        </w:rPr>
        <w:tab/>
        <w:t>La contribution active de la femme au devenir de la société équatorienne, caractérisée essentiellement par le changement de son rôle et la part qu'elle a réussi à assumer, au prix de beaucoup d'efforts, dans la prise de décision au cours des dernières années, n’a cessé de renforcer sa présence dans la politique et sa volonté d'être entendue en tant que partie intégrante de la nation.</w:t>
      </w:r>
    </w:p>
    <w:p w:rsidR="00000000" w:rsidRDefault="00000000">
      <w:pPr>
        <w:spacing w:after="240"/>
        <w:rPr>
          <w:lang w:val="fr-FR"/>
        </w:rPr>
      </w:pPr>
      <w:r>
        <w:rPr>
          <w:lang w:val="fr-FR"/>
        </w:rPr>
        <w:t>17.</w:t>
      </w:r>
      <w:r>
        <w:rPr>
          <w:lang w:val="fr-FR"/>
        </w:rPr>
        <w:tab/>
        <w:t>La participation de la femme dans le domaine politique au cours de la décennie écoulée a été remarquable.  C'est au cours de la période 1980-1984 qu'une femme a été nommée pour la première fois ministre d'État chargé de la protection sociale.  En 1990, aucun poste de ministre n'était occupé par une femme.  Au cours de la période 1993-1996 deux femmes ont été nommées aux postes de ministres d'État pour l'éducation et la protection sociale.  Sur les 74 députés, on comptait trois femmes.  En 1978, 4 % seulement des élus aux conseils municipaux étaient des femmes, alors que pendant la période 1997-2000, 86 candidates se sont présentées aux différents postes électifs, 58 au niveau local et cinq au niveau provincial.</w:t>
      </w:r>
    </w:p>
    <w:p w:rsidR="00000000" w:rsidRDefault="00000000">
      <w:pPr>
        <w:spacing w:after="240"/>
        <w:rPr>
          <w:lang w:val="fr-FR"/>
        </w:rPr>
      </w:pPr>
      <w:r>
        <w:rPr>
          <w:lang w:val="fr-FR"/>
        </w:rPr>
        <w:t>18.</w:t>
      </w:r>
      <w:r>
        <w:rPr>
          <w:lang w:val="fr-FR"/>
        </w:rPr>
        <w:tab/>
        <w:t>Aujourd'hui, on considère comme normal, bien que cela ne soit pas encore très fréquent, de voir des femmes aux postes de responsabilité au sein de grandes entreprises, de comités directeurs, d'organisations professionnelles et d'associations les plus diverses.  Et elles sont de plus en plus nombreuses, au sein de cabinets ou de congrès, à assumer des décisions politiques difficiles et de grande importance.</w:t>
      </w:r>
    </w:p>
    <w:p w:rsidR="00000000" w:rsidRDefault="00000000">
      <w:pPr>
        <w:spacing w:after="240"/>
        <w:rPr>
          <w:lang w:val="fr-FR"/>
        </w:rPr>
      </w:pPr>
      <w:r>
        <w:rPr>
          <w:lang w:val="fr-FR"/>
        </w:rPr>
        <w:t>19.</w:t>
      </w:r>
      <w:r>
        <w:rPr>
          <w:lang w:val="fr-FR"/>
        </w:rPr>
        <w:tab/>
        <w:t>D'après le recensement de la population de 1990, le pays comptait 4 851 777 femmes et 4 796 412 hommes, les femmes représentant 50,3 % de la population totale.  Dans la tranche d'âges 0-14 ans, les hommes sont plus nombreux, alors que pour le groupe d'âges 15-64 ans, la proportion de femmes est supérieure à celle des hommes, essentiellement parce que les premières ont une plus grande espérance de vie à la naissance.</w:t>
      </w:r>
    </w:p>
    <w:p w:rsidR="00000000" w:rsidRDefault="00000000">
      <w:pPr>
        <w:spacing w:after="240"/>
        <w:rPr>
          <w:lang w:val="fr-FR"/>
        </w:rPr>
      </w:pPr>
      <w:r>
        <w:rPr>
          <w:lang w:val="fr-FR"/>
        </w:rPr>
        <w:t>20.</w:t>
      </w:r>
      <w:r>
        <w:rPr>
          <w:lang w:val="fr-FR"/>
        </w:rPr>
        <w:tab/>
        <w:t>Les femmes représentent 48,9 % de la population des zones rurales, et 51,4 % de celle des zones urbaines.  La proportion de femmes est donc plus grande dans les zones urbaines que dans les zones rurales.</w:t>
      </w:r>
    </w:p>
    <w:p w:rsidR="00000000" w:rsidRDefault="00000000">
      <w:pPr>
        <w:spacing w:after="240"/>
        <w:rPr>
          <w:lang w:val="fr-FR"/>
        </w:rPr>
      </w:pPr>
      <w:r>
        <w:rPr>
          <w:lang w:val="fr-FR"/>
        </w:rPr>
        <w:t>21.</w:t>
      </w:r>
      <w:r>
        <w:rPr>
          <w:lang w:val="fr-FR"/>
        </w:rPr>
        <w:tab/>
        <w:t>Les femmes se marient plus tôt que les hommes.  D'après les données de l'INEC pour 1997, les mariages contractés dans les groupes d'âges de moins de quinze ans et de 15 à19 ans le sont en majorité par des femmes, alors que la majorité des hommes se marient entre 20 et 24 ans.</w:t>
      </w:r>
    </w:p>
    <w:p w:rsidR="00000000" w:rsidRDefault="00000000">
      <w:pPr>
        <w:spacing w:after="240"/>
        <w:rPr>
          <w:lang w:val="fr-FR"/>
        </w:rPr>
      </w:pPr>
      <w:r>
        <w:rPr>
          <w:lang w:val="fr-FR"/>
        </w:rPr>
        <w:t>22.</w:t>
      </w:r>
      <w:r>
        <w:rPr>
          <w:lang w:val="fr-FR"/>
        </w:rPr>
        <w:tab/>
        <w:t>La Constitution protège le mariage, ainsi que l'union de fait, par laquelle un homme et une femme, libres de lien matrimonial avec une autre personne, peuvent constituer un foyer de fait, générant les mêmes droits et obligations que pour les familles fondées sur le mariage officiel.  "L'union libre est beaucoup plus fréquente parmi les femmes de la Costa, où elle est plus répandue que le mariage, alors que le mariage est plus fréquent dans la Sierra"</w:t>
      </w:r>
      <w:r>
        <w:rPr>
          <w:rStyle w:val="FootnoteReference"/>
          <w:b/>
          <w:lang w:val="fr-FR"/>
        </w:rPr>
        <w:footnoteReference w:id="3"/>
      </w:r>
      <w:r>
        <w:rPr>
          <w:lang w:val="fr-FR"/>
        </w:rPr>
        <w:t>.</w:t>
      </w:r>
    </w:p>
    <w:p w:rsidR="00000000" w:rsidRDefault="00000000">
      <w:pPr>
        <w:spacing w:after="240"/>
        <w:rPr>
          <w:lang w:val="fr-FR"/>
        </w:rPr>
      </w:pPr>
      <w:r>
        <w:rPr>
          <w:lang w:val="fr-FR"/>
        </w:rPr>
        <w:t>23.</w:t>
      </w:r>
      <w:r>
        <w:rPr>
          <w:lang w:val="fr-FR"/>
        </w:rPr>
        <w:tab/>
        <w:t>La fécondité des femmes dans le pays a diminué, ainsi qu'il ressort du tableau ci-après :</w:t>
      </w:r>
    </w:p>
    <w:p w:rsidR="00000000" w:rsidRDefault="00000000">
      <w:pPr>
        <w:pStyle w:val="FootnoteText"/>
        <w:spacing w:before="120"/>
        <w:jc w:val="center"/>
        <w:rPr>
          <w:b/>
          <w:bCs/>
          <w:lang w:val="fr-FR"/>
        </w:rPr>
      </w:pPr>
      <w:r>
        <w:rPr>
          <w:b/>
          <w:bCs/>
          <w:lang w:val="fr-FR"/>
        </w:rPr>
        <w:t>Taux global de fécondité des femmes âgées de 15 à 49 ans</w:t>
      </w:r>
    </w:p>
    <w:p w:rsidR="00000000" w:rsidRDefault="00000000">
      <w:pPr>
        <w:autoSpaceDE w:val="0"/>
        <w:autoSpaceDN w:val="0"/>
        <w:adjustRightInd w:val="0"/>
        <w:spacing w:after="120"/>
        <w:jc w:val="center"/>
        <w:rPr>
          <w:i/>
          <w:iCs/>
          <w:color w:val="000000"/>
          <w:sz w:val="20"/>
          <w:szCs w:val="22"/>
          <w:lang w:val="fr-FR"/>
        </w:rPr>
      </w:pPr>
      <w:r>
        <w:rPr>
          <w:i/>
          <w:iCs/>
          <w:sz w:val="20"/>
          <w:szCs w:val="28"/>
          <w:lang w:val="fr-FR"/>
        </w:rPr>
        <w:t>(Nombre d'enfants désiré, 1965-1994)</w:t>
      </w:r>
    </w:p>
    <w:tbl>
      <w:tblPr>
        <w:tblW w:w="6804" w:type="dxa"/>
        <w:jc w:val="center"/>
        <w:tblLayout w:type="fixed"/>
        <w:tblCellMar>
          <w:left w:w="70" w:type="dxa"/>
          <w:right w:w="70" w:type="dxa"/>
        </w:tblCellMar>
        <w:tblLook w:val="0000" w:firstRow="0" w:lastRow="0" w:firstColumn="0" w:lastColumn="0" w:noHBand="0" w:noVBand="0"/>
      </w:tblPr>
      <w:tblGrid>
        <w:gridCol w:w="4701"/>
        <w:gridCol w:w="2103"/>
      </w:tblGrid>
      <w:tr w:rsidR="00000000">
        <w:tblPrEx>
          <w:tblCellMar>
            <w:top w:w="0" w:type="dxa"/>
            <w:bottom w:w="0" w:type="dxa"/>
          </w:tblCellMar>
        </w:tblPrEx>
        <w:trPr>
          <w:jc w:val="center"/>
        </w:trPr>
        <w:tc>
          <w:tcPr>
            <w:tcW w:w="4735" w:type="dxa"/>
            <w:tcBorders>
              <w:top w:val="single" w:sz="4" w:space="0" w:color="auto"/>
              <w:bottom w:val="single" w:sz="4" w:space="0" w:color="auto"/>
            </w:tcBorders>
            <w:vAlign w:val="center"/>
          </w:tcPr>
          <w:p w:rsidR="00000000" w:rsidRDefault="00000000">
            <w:pPr>
              <w:spacing w:before="60" w:after="60"/>
              <w:jc w:val="center"/>
              <w:rPr>
                <w:b/>
                <w:bCs/>
                <w:i/>
                <w:iCs/>
                <w:color w:val="000000"/>
                <w:sz w:val="20"/>
                <w:szCs w:val="22"/>
                <w:lang w:val="fr-FR"/>
              </w:rPr>
            </w:pPr>
            <w:r>
              <w:rPr>
                <w:b/>
                <w:bCs/>
                <w:i/>
                <w:iCs/>
                <w:color w:val="000000"/>
                <w:sz w:val="20"/>
                <w:szCs w:val="22"/>
                <w:lang w:val="fr-FR"/>
              </w:rPr>
              <w:t>Années</w:t>
            </w:r>
          </w:p>
        </w:tc>
        <w:tc>
          <w:tcPr>
            <w:tcW w:w="2118" w:type="dxa"/>
            <w:tcBorders>
              <w:top w:val="single" w:sz="4" w:space="0" w:color="auto"/>
              <w:bottom w:val="single" w:sz="4" w:space="0" w:color="auto"/>
            </w:tcBorders>
            <w:vAlign w:val="center"/>
          </w:tcPr>
          <w:p w:rsidR="00000000" w:rsidRDefault="00000000">
            <w:pPr>
              <w:spacing w:before="60" w:after="60"/>
              <w:jc w:val="center"/>
              <w:rPr>
                <w:b/>
                <w:bCs/>
                <w:i/>
                <w:iCs/>
                <w:color w:val="000000"/>
                <w:sz w:val="20"/>
                <w:szCs w:val="22"/>
                <w:lang w:val="fr-FR"/>
              </w:rPr>
            </w:pPr>
            <w:r>
              <w:rPr>
                <w:b/>
                <w:bCs/>
                <w:i/>
                <w:iCs/>
                <w:color w:val="000000"/>
                <w:sz w:val="20"/>
                <w:szCs w:val="22"/>
                <w:lang w:val="fr-FR"/>
              </w:rPr>
              <w:t>Nombre d’enfants</w:t>
            </w:r>
          </w:p>
        </w:tc>
      </w:tr>
      <w:tr w:rsidR="00000000">
        <w:tblPrEx>
          <w:tblCellMar>
            <w:top w:w="0" w:type="dxa"/>
            <w:bottom w:w="0" w:type="dxa"/>
          </w:tblCellMar>
        </w:tblPrEx>
        <w:trPr>
          <w:jc w:val="center"/>
        </w:trPr>
        <w:tc>
          <w:tcPr>
            <w:tcW w:w="4735" w:type="dxa"/>
            <w:tcBorders>
              <w:top w:val="single" w:sz="4" w:space="0" w:color="auto"/>
            </w:tcBorders>
          </w:tcPr>
          <w:p w:rsidR="00000000" w:rsidRDefault="00000000">
            <w:pPr>
              <w:spacing w:before="40" w:after="40"/>
              <w:rPr>
                <w:color w:val="000000"/>
                <w:sz w:val="20"/>
                <w:szCs w:val="22"/>
                <w:lang w:val="fr-FR"/>
              </w:rPr>
            </w:pPr>
            <w:r>
              <w:rPr>
                <w:color w:val="000000"/>
                <w:sz w:val="20"/>
                <w:szCs w:val="22"/>
                <w:lang w:val="fr-FR"/>
              </w:rPr>
              <w:t xml:space="preserve">1965-1969 </w:t>
            </w:r>
          </w:p>
        </w:tc>
        <w:tc>
          <w:tcPr>
            <w:tcW w:w="2118" w:type="dxa"/>
            <w:tcBorders>
              <w:top w:val="single" w:sz="4" w:space="0" w:color="auto"/>
            </w:tcBorders>
          </w:tcPr>
          <w:p w:rsidR="00000000" w:rsidRDefault="00000000">
            <w:pPr>
              <w:tabs>
                <w:tab w:val="decimal" w:pos="945"/>
              </w:tabs>
              <w:spacing w:before="40" w:after="40"/>
              <w:rPr>
                <w:color w:val="000000"/>
                <w:sz w:val="20"/>
                <w:szCs w:val="22"/>
                <w:lang w:val="fr-FR"/>
              </w:rPr>
            </w:pPr>
            <w:r>
              <w:rPr>
                <w:color w:val="000000"/>
                <w:sz w:val="20"/>
                <w:szCs w:val="22"/>
                <w:lang w:val="fr-FR"/>
              </w:rPr>
              <w:t xml:space="preserve">6,9  </w:t>
            </w:r>
          </w:p>
        </w:tc>
      </w:tr>
      <w:tr w:rsidR="00000000">
        <w:tblPrEx>
          <w:tblCellMar>
            <w:top w:w="0" w:type="dxa"/>
            <w:bottom w:w="0" w:type="dxa"/>
          </w:tblCellMar>
        </w:tblPrEx>
        <w:trPr>
          <w:jc w:val="center"/>
        </w:trPr>
        <w:tc>
          <w:tcPr>
            <w:tcW w:w="4735" w:type="dxa"/>
          </w:tcPr>
          <w:p w:rsidR="00000000" w:rsidRDefault="00000000">
            <w:pPr>
              <w:spacing w:before="40" w:after="40"/>
              <w:rPr>
                <w:color w:val="000000"/>
                <w:sz w:val="20"/>
                <w:szCs w:val="22"/>
                <w:lang w:val="fr-FR"/>
              </w:rPr>
            </w:pPr>
            <w:r>
              <w:rPr>
                <w:color w:val="000000"/>
                <w:sz w:val="20"/>
                <w:szCs w:val="22"/>
                <w:lang w:val="fr-FR"/>
              </w:rPr>
              <w:t xml:space="preserve">1975-1979 </w:t>
            </w:r>
          </w:p>
        </w:tc>
        <w:tc>
          <w:tcPr>
            <w:tcW w:w="2118" w:type="dxa"/>
          </w:tcPr>
          <w:p w:rsidR="00000000" w:rsidRDefault="00000000">
            <w:pPr>
              <w:tabs>
                <w:tab w:val="decimal" w:pos="945"/>
              </w:tabs>
              <w:spacing w:before="40" w:after="40"/>
              <w:rPr>
                <w:color w:val="000000"/>
                <w:sz w:val="20"/>
                <w:szCs w:val="22"/>
                <w:lang w:val="fr-FR"/>
              </w:rPr>
            </w:pPr>
            <w:r>
              <w:rPr>
                <w:color w:val="000000"/>
                <w:sz w:val="20"/>
                <w:szCs w:val="22"/>
                <w:lang w:val="fr-FR"/>
              </w:rPr>
              <w:t xml:space="preserve">5,4  </w:t>
            </w:r>
          </w:p>
        </w:tc>
      </w:tr>
      <w:tr w:rsidR="00000000">
        <w:tblPrEx>
          <w:tblCellMar>
            <w:top w:w="0" w:type="dxa"/>
            <w:bottom w:w="0" w:type="dxa"/>
          </w:tblCellMar>
        </w:tblPrEx>
        <w:trPr>
          <w:jc w:val="center"/>
        </w:trPr>
        <w:tc>
          <w:tcPr>
            <w:tcW w:w="4735" w:type="dxa"/>
          </w:tcPr>
          <w:p w:rsidR="00000000" w:rsidRDefault="00000000">
            <w:pPr>
              <w:spacing w:before="40" w:after="40"/>
              <w:rPr>
                <w:color w:val="000000"/>
                <w:sz w:val="20"/>
                <w:szCs w:val="22"/>
                <w:lang w:val="fr-FR"/>
              </w:rPr>
            </w:pPr>
            <w:r>
              <w:rPr>
                <w:color w:val="000000"/>
                <w:sz w:val="20"/>
                <w:szCs w:val="22"/>
                <w:lang w:val="fr-FR"/>
              </w:rPr>
              <w:t xml:space="preserve">1981-1982 </w:t>
            </w:r>
          </w:p>
        </w:tc>
        <w:tc>
          <w:tcPr>
            <w:tcW w:w="2118" w:type="dxa"/>
          </w:tcPr>
          <w:p w:rsidR="00000000" w:rsidRDefault="00000000">
            <w:pPr>
              <w:tabs>
                <w:tab w:val="decimal" w:pos="945"/>
              </w:tabs>
              <w:spacing w:before="40" w:after="40"/>
              <w:rPr>
                <w:color w:val="000000"/>
                <w:sz w:val="20"/>
                <w:szCs w:val="22"/>
                <w:lang w:val="fr-FR"/>
              </w:rPr>
            </w:pPr>
            <w:r>
              <w:rPr>
                <w:color w:val="000000"/>
                <w:sz w:val="20"/>
                <w:szCs w:val="22"/>
                <w:lang w:val="fr-FR"/>
              </w:rPr>
              <w:t xml:space="preserve">4,9  </w:t>
            </w:r>
          </w:p>
        </w:tc>
      </w:tr>
      <w:tr w:rsidR="00000000">
        <w:tblPrEx>
          <w:tblCellMar>
            <w:top w:w="0" w:type="dxa"/>
            <w:bottom w:w="0" w:type="dxa"/>
          </w:tblCellMar>
        </w:tblPrEx>
        <w:trPr>
          <w:jc w:val="center"/>
        </w:trPr>
        <w:tc>
          <w:tcPr>
            <w:tcW w:w="4735" w:type="dxa"/>
          </w:tcPr>
          <w:p w:rsidR="00000000" w:rsidRDefault="00000000">
            <w:pPr>
              <w:spacing w:before="40" w:after="40"/>
              <w:rPr>
                <w:color w:val="000000"/>
                <w:sz w:val="20"/>
                <w:szCs w:val="22"/>
                <w:lang w:val="fr-FR"/>
              </w:rPr>
            </w:pPr>
            <w:r>
              <w:rPr>
                <w:color w:val="000000"/>
                <w:sz w:val="20"/>
                <w:szCs w:val="22"/>
                <w:lang w:val="fr-FR"/>
              </w:rPr>
              <w:t xml:space="preserve">1982-1987 </w:t>
            </w:r>
          </w:p>
        </w:tc>
        <w:tc>
          <w:tcPr>
            <w:tcW w:w="2118" w:type="dxa"/>
          </w:tcPr>
          <w:p w:rsidR="00000000" w:rsidRDefault="00000000">
            <w:pPr>
              <w:tabs>
                <w:tab w:val="decimal" w:pos="945"/>
              </w:tabs>
              <w:spacing w:before="40" w:after="40"/>
              <w:rPr>
                <w:color w:val="000000"/>
                <w:sz w:val="20"/>
                <w:szCs w:val="22"/>
                <w:lang w:val="fr-FR"/>
              </w:rPr>
            </w:pPr>
            <w:r>
              <w:rPr>
                <w:color w:val="000000"/>
                <w:sz w:val="20"/>
                <w:szCs w:val="22"/>
                <w:lang w:val="fr-FR"/>
              </w:rPr>
              <w:t xml:space="preserve">4,3  </w:t>
            </w:r>
          </w:p>
        </w:tc>
      </w:tr>
      <w:tr w:rsidR="00000000">
        <w:tblPrEx>
          <w:tblCellMar>
            <w:top w:w="0" w:type="dxa"/>
            <w:bottom w:w="0" w:type="dxa"/>
          </w:tblCellMar>
        </w:tblPrEx>
        <w:trPr>
          <w:jc w:val="center"/>
        </w:trPr>
        <w:tc>
          <w:tcPr>
            <w:tcW w:w="4735" w:type="dxa"/>
          </w:tcPr>
          <w:p w:rsidR="00000000" w:rsidRDefault="00000000">
            <w:pPr>
              <w:spacing w:before="40" w:after="40"/>
              <w:rPr>
                <w:color w:val="000000"/>
                <w:sz w:val="20"/>
                <w:szCs w:val="22"/>
                <w:lang w:val="fr-FR"/>
              </w:rPr>
            </w:pPr>
            <w:r>
              <w:rPr>
                <w:color w:val="000000"/>
                <w:sz w:val="20"/>
                <w:szCs w:val="22"/>
                <w:lang w:val="fr-FR"/>
              </w:rPr>
              <w:t xml:space="preserve">1984-1989 </w:t>
            </w:r>
          </w:p>
        </w:tc>
        <w:tc>
          <w:tcPr>
            <w:tcW w:w="2118" w:type="dxa"/>
          </w:tcPr>
          <w:p w:rsidR="00000000" w:rsidRDefault="00000000">
            <w:pPr>
              <w:tabs>
                <w:tab w:val="decimal" w:pos="945"/>
              </w:tabs>
              <w:spacing w:before="40" w:after="40"/>
              <w:rPr>
                <w:color w:val="000000"/>
                <w:sz w:val="20"/>
                <w:szCs w:val="22"/>
                <w:lang w:val="fr-FR"/>
              </w:rPr>
            </w:pPr>
            <w:r>
              <w:rPr>
                <w:color w:val="000000"/>
                <w:sz w:val="20"/>
                <w:szCs w:val="22"/>
                <w:lang w:val="fr-FR"/>
              </w:rPr>
              <w:t xml:space="preserve">3,8  </w:t>
            </w:r>
          </w:p>
        </w:tc>
      </w:tr>
      <w:tr w:rsidR="00000000">
        <w:tblPrEx>
          <w:tblCellMar>
            <w:top w:w="0" w:type="dxa"/>
            <w:bottom w:w="0" w:type="dxa"/>
          </w:tblCellMar>
        </w:tblPrEx>
        <w:trPr>
          <w:jc w:val="center"/>
        </w:trPr>
        <w:tc>
          <w:tcPr>
            <w:tcW w:w="4735" w:type="dxa"/>
          </w:tcPr>
          <w:p w:rsidR="00000000" w:rsidRDefault="00000000">
            <w:pPr>
              <w:spacing w:before="40" w:after="40"/>
              <w:rPr>
                <w:color w:val="000000"/>
                <w:sz w:val="20"/>
                <w:szCs w:val="22"/>
                <w:lang w:val="fr-FR"/>
              </w:rPr>
            </w:pPr>
            <w:r>
              <w:rPr>
                <w:color w:val="000000"/>
                <w:sz w:val="20"/>
                <w:szCs w:val="22"/>
                <w:lang w:val="fr-FR"/>
              </w:rPr>
              <w:t xml:space="preserve">1989-1994 </w:t>
            </w:r>
          </w:p>
        </w:tc>
        <w:tc>
          <w:tcPr>
            <w:tcW w:w="2118" w:type="dxa"/>
          </w:tcPr>
          <w:p w:rsidR="00000000" w:rsidRDefault="00000000">
            <w:pPr>
              <w:tabs>
                <w:tab w:val="decimal" w:pos="945"/>
              </w:tabs>
              <w:spacing w:before="40" w:after="40"/>
              <w:rPr>
                <w:color w:val="000000"/>
                <w:sz w:val="20"/>
                <w:szCs w:val="22"/>
                <w:lang w:val="fr-FR"/>
              </w:rPr>
            </w:pPr>
            <w:r>
              <w:rPr>
                <w:color w:val="000000"/>
                <w:sz w:val="20"/>
                <w:szCs w:val="22"/>
                <w:lang w:val="fr-FR"/>
              </w:rPr>
              <w:t xml:space="preserve">3,6  </w:t>
            </w:r>
          </w:p>
        </w:tc>
      </w:tr>
      <w:tr w:rsidR="00000000">
        <w:tblPrEx>
          <w:tblCellMar>
            <w:top w:w="0" w:type="dxa"/>
            <w:bottom w:w="0" w:type="dxa"/>
          </w:tblCellMar>
        </w:tblPrEx>
        <w:trPr>
          <w:jc w:val="center"/>
        </w:trPr>
        <w:tc>
          <w:tcPr>
            <w:tcW w:w="4735" w:type="dxa"/>
            <w:tcBorders>
              <w:bottom w:val="single" w:sz="4" w:space="0" w:color="auto"/>
            </w:tcBorders>
          </w:tcPr>
          <w:p w:rsidR="00000000" w:rsidRDefault="00000000">
            <w:pPr>
              <w:spacing w:before="40" w:after="40"/>
              <w:rPr>
                <w:color w:val="000000"/>
                <w:sz w:val="20"/>
                <w:szCs w:val="22"/>
                <w:lang w:val="fr-FR"/>
              </w:rPr>
            </w:pPr>
            <w:r>
              <w:rPr>
                <w:color w:val="000000"/>
                <w:sz w:val="20"/>
                <w:szCs w:val="22"/>
                <w:lang w:val="fr-FR"/>
              </w:rPr>
              <w:t xml:space="preserve">1994-1999 * </w:t>
            </w:r>
          </w:p>
        </w:tc>
        <w:tc>
          <w:tcPr>
            <w:tcW w:w="2118" w:type="dxa"/>
            <w:tcBorders>
              <w:bottom w:val="single" w:sz="4" w:space="0" w:color="auto"/>
            </w:tcBorders>
          </w:tcPr>
          <w:p w:rsidR="00000000" w:rsidRDefault="00000000">
            <w:pPr>
              <w:tabs>
                <w:tab w:val="decimal" w:pos="945"/>
              </w:tabs>
              <w:spacing w:before="40" w:after="40"/>
              <w:rPr>
                <w:color w:val="000000"/>
                <w:sz w:val="20"/>
                <w:szCs w:val="22"/>
                <w:lang w:val="fr-FR"/>
              </w:rPr>
            </w:pPr>
            <w:r>
              <w:rPr>
                <w:color w:val="000000"/>
                <w:sz w:val="20"/>
                <w:szCs w:val="22"/>
                <w:lang w:val="fr-FR"/>
              </w:rPr>
              <w:t xml:space="preserve">3,4  </w:t>
            </w:r>
          </w:p>
        </w:tc>
      </w:tr>
    </w:tbl>
    <w:p w:rsidR="00000000" w:rsidRDefault="00000000">
      <w:pPr>
        <w:spacing w:before="80" w:after="240"/>
        <w:ind w:left="1620" w:right="1493"/>
        <w:rPr>
          <w:sz w:val="20"/>
          <w:lang w:val="fr-FR"/>
        </w:rPr>
      </w:pPr>
      <w:r>
        <w:rPr>
          <w:i/>
          <w:iCs/>
          <w:color w:val="000000"/>
          <w:sz w:val="20"/>
          <w:szCs w:val="22"/>
          <w:lang w:val="fr-FR"/>
        </w:rPr>
        <w:t xml:space="preserve">Source : </w:t>
      </w:r>
      <w:r>
        <w:rPr>
          <w:color w:val="000000"/>
          <w:sz w:val="20"/>
          <w:szCs w:val="22"/>
          <w:lang w:val="fr-FR"/>
        </w:rPr>
        <w:t xml:space="preserve"> </w:t>
      </w:r>
      <w:r>
        <w:rPr>
          <w:sz w:val="20"/>
          <w:lang w:val="fr-FR"/>
        </w:rPr>
        <w:t xml:space="preserve">"Retrato de mujeres.  Indicatores sociales sobre la situación de las campesinas indígenas del Ecuador rural", </w:t>
      </w:r>
      <w:r>
        <w:rPr>
          <w:i/>
          <w:iCs/>
          <w:sz w:val="20"/>
          <w:lang w:val="fr-FR"/>
        </w:rPr>
        <w:t>El desarollo social en el Ecuador 2</w:t>
      </w:r>
      <w:r>
        <w:rPr>
          <w:sz w:val="20"/>
          <w:lang w:val="fr-FR"/>
        </w:rPr>
        <w:t xml:space="preserve">, </w:t>
      </w:r>
      <w:r>
        <w:rPr>
          <w:sz w:val="20"/>
          <w:lang w:val="fr-FR"/>
        </w:rPr>
        <w:br/>
        <w:t>Quito, Secétariat technique des affaires sociales, UNIFEM et PMS, 1998.</w:t>
      </w:r>
    </w:p>
    <w:p w:rsidR="00000000" w:rsidRDefault="00000000">
      <w:pPr>
        <w:autoSpaceDE w:val="0"/>
        <w:autoSpaceDN w:val="0"/>
        <w:adjustRightInd w:val="0"/>
        <w:spacing w:after="240"/>
        <w:rPr>
          <w:i/>
          <w:iCs/>
          <w:szCs w:val="28"/>
          <w:lang w:val="fr-FR"/>
        </w:rPr>
      </w:pPr>
      <w:r>
        <w:rPr>
          <w:i/>
          <w:iCs/>
          <w:caps/>
          <w:color w:val="000000"/>
          <w:szCs w:val="22"/>
          <w:lang w:val="fr-FR"/>
        </w:rPr>
        <w:t>Endemain</w:t>
      </w:r>
      <w:r>
        <w:rPr>
          <w:i/>
          <w:iCs/>
          <w:color w:val="000000"/>
          <w:szCs w:val="22"/>
          <w:lang w:val="fr-FR"/>
        </w:rPr>
        <w:t>-99</w:t>
      </w:r>
    </w:p>
    <w:p w:rsidR="00000000" w:rsidRDefault="00000000">
      <w:pPr>
        <w:autoSpaceDE w:val="0"/>
        <w:autoSpaceDN w:val="0"/>
        <w:adjustRightInd w:val="0"/>
        <w:spacing w:after="240"/>
        <w:rPr>
          <w:szCs w:val="28"/>
          <w:lang w:val="fr-FR"/>
        </w:rPr>
      </w:pPr>
      <w:r>
        <w:rPr>
          <w:szCs w:val="28"/>
          <w:lang w:val="fr-FR"/>
        </w:rPr>
        <w:t>24.</w:t>
      </w:r>
      <w:r>
        <w:rPr>
          <w:szCs w:val="28"/>
          <w:lang w:val="fr-FR"/>
        </w:rPr>
        <w:tab/>
        <w:t>La dernière enquête ENDEMAIN-99 a fait apparaître un taux global de fécondité de 3,4 enfants par femme pour la période 1994-1999.  Le taux global estimé pour les zones rurales est de 4,4 enfants, ce qui est nettement plus élevé que dans les zones urbaines (2,8 enfants).</w:t>
      </w:r>
    </w:p>
    <w:p w:rsidR="00000000" w:rsidRDefault="00000000">
      <w:pPr>
        <w:autoSpaceDE w:val="0"/>
        <w:autoSpaceDN w:val="0"/>
        <w:adjustRightInd w:val="0"/>
        <w:spacing w:after="240"/>
        <w:rPr>
          <w:szCs w:val="28"/>
          <w:lang w:val="fr-FR"/>
        </w:rPr>
      </w:pPr>
      <w:r>
        <w:rPr>
          <w:szCs w:val="28"/>
          <w:lang w:val="fr-FR"/>
        </w:rPr>
        <w:t>25.</w:t>
      </w:r>
      <w:r>
        <w:rPr>
          <w:szCs w:val="28"/>
          <w:lang w:val="fr-FR"/>
        </w:rPr>
        <w:tab/>
        <w:t>Par région, le taux le plus bas a été observé dans la région insulaire (2,3 enfants, soit un taux comparable à celui des pays développés); viennent ensuite la Costa (3 enfants) et la Sierra (3,6 enfants), alors que la région amazonienne a le taux le plus élevé (5,5 enfants par femme, soit le taux moyen observé dans le pays au milieu des années 1960)</w:t>
      </w:r>
      <w:r>
        <w:rPr>
          <w:rStyle w:val="FootnoteReference"/>
          <w:b/>
          <w:szCs w:val="28"/>
          <w:lang w:val="fr-FR"/>
        </w:rPr>
        <w:footnoteReference w:id="4"/>
      </w:r>
      <w:r>
        <w:rPr>
          <w:szCs w:val="28"/>
          <w:lang w:val="fr-FR"/>
        </w:rPr>
        <w:t>.</w:t>
      </w:r>
    </w:p>
    <w:p w:rsidR="00000000" w:rsidRDefault="00000000">
      <w:pPr>
        <w:autoSpaceDE w:val="0"/>
        <w:autoSpaceDN w:val="0"/>
        <w:adjustRightInd w:val="0"/>
        <w:spacing w:after="240"/>
        <w:rPr>
          <w:szCs w:val="28"/>
          <w:lang w:val="fr-FR"/>
        </w:rPr>
      </w:pPr>
      <w:r>
        <w:rPr>
          <w:szCs w:val="28"/>
          <w:lang w:val="fr-FR"/>
        </w:rPr>
        <w:t>26.</w:t>
      </w:r>
      <w:r>
        <w:rPr>
          <w:szCs w:val="28"/>
          <w:lang w:val="fr-FR"/>
        </w:rPr>
        <w:tab/>
        <w:t>Bien que le taux d'analphabétisme en Équateur ait sensiblement diminué, il subsiste à cet égard une différence entre les sexes.  En 1998, le pourcentage d'analphabètes dans la population était de 12,1 % pour les femmes et de 8,3 % pour les hommes.  La population rurale est celle où l'analphabétisme est le plus répandu.</w:t>
      </w:r>
    </w:p>
    <w:p w:rsidR="00000000" w:rsidRDefault="00000000">
      <w:pPr>
        <w:autoSpaceDE w:val="0"/>
        <w:autoSpaceDN w:val="0"/>
        <w:adjustRightInd w:val="0"/>
        <w:spacing w:after="240"/>
        <w:rPr>
          <w:szCs w:val="28"/>
          <w:lang w:val="fr-FR"/>
        </w:rPr>
      </w:pPr>
      <w:r>
        <w:rPr>
          <w:szCs w:val="28"/>
          <w:lang w:val="fr-FR"/>
        </w:rPr>
        <w:t>27.</w:t>
      </w:r>
      <w:r>
        <w:rPr>
          <w:szCs w:val="28"/>
          <w:lang w:val="fr-FR"/>
        </w:rPr>
        <w:tab/>
        <w:t>On a réussi à accroître le niveau et la qualité de l'éducation dans le pays grâce à une réforme du système conçue pour améliorer et accélérer les progrès scolaires des enfants.  De même, on a réussi à réduire les disparités en matière d'éducation.  L'amélioration de l'accès des femmes à l'éducation augmente la probabilité pour ces dernières d'accéder à l’emploi et pour leurs enfants celle d'atteindre des niveaux de scolarité plus élevés.  Là où les femmes ont une meilleure instruction, elles ont davantage accès au marché formel de l'emploi, les revenus des ménages sont supérieurs, les familles ont moins enfants et ces derniers tendent à recevoir une meilleure éducation, tandis que la femme est moins exposée aux violences.  La participation des femmes au marché du travail au cours des dernières années a été supérieure à celle des hommes, bien que le chômage affecte davantage les femmes que les hommes.</w:t>
      </w:r>
    </w:p>
    <w:p w:rsidR="00000000" w:rsidRDefault="00000000">
      <w:pPr>
        <w:autoSpaceDE w:val="0"/>
        <w:autoSpaceDN w:val="0"/>
        <w:adjustRightInd w:val="0"/>
        <w:spacing w:after="240"/>
        <w:rPr>
          <w:szCs w:val="28"/>
          <w:lang w:val="fr-FR"/>
        </w:rPr>
      </w:pPr>
      <w:r>
        <w:rPr>
          <w:szCs w:val="28"/>
          <w:lang w:val="fr-FR"/>
        </w:rPr>
        <w:t>28.</w:t>
      </w:r>
      <w:r>
        <w:rPr>
          <w:szCs w:val="28"/>
          <w:lang w:val="fr-FR"/>
        </w:rPr>
        <w:tab/>
        <w:t>Le Code du travail prévoit l'égalité de la rémunération des femmes et des hommes, rémunération qui dépend du lieu et du type de travail, ainsi qu'il est précisé dans son article 78 : "À travail égal correspond une rémunération égale, sans distinction de sexe, de race, de nationalité ou de religion; la spécialisation et l’expérience sont toutefois prises en considération pour la détermination de la rémunération".</w:t>
      </w:r>
    </w:p>
    <w:p w:rsidR="00000000" w:rsidRDefault="00000000">
      <w:pPr>
        <w:autoSpaceDE w:val="0"/>
        <w:autoSpaceDN w:val="0"/>
        <w:adjustRightInd w:val="0"/>
        <w:spacing w:after="240"/>
        <w:rPr>
          <w:szCs w:val="28"/>
          <w:lang w:val="fr-FR"/>
        </w:rPr>
      </w:pPr>
      <w:r>
        <w:rPr>
          <w:szCs w:val="28"/>
          <w:lang w:val="fr-FR"/>
        </w:rPr>
        <w:t>29.</w:t>
      </w:r>
      <w:r>
        <w:rPr>
          <w:szCs w:val="28"/>
          <w:lang w:val="fr-FR"/>
        </w:rPr>
        <w:tab/>
        <w:t>On peut dire que les femmes participent moins que les hommes au marché du travail, et qu'elles se cantonnent davantage dans le secteur informel, où les rémunérations sont inférieures à ce qu'elles sont dans le secteur officiel.  Leur participation est fortement influencée par le niveau d'instruction et par le nombre d'enfants qu'elle ont.  La différence de rémunération entre les femmes et les hommes est moindre dans le secteur officiel que dans le secteur informel.  En 1995, les revenus des femmes étaient en moyenne un tiers (27 %) inférieurs à ceux des hommes.  L'écart est encore plus marqué dans les campagnes, où les femmes gagnent 37 % de moins que les hommes</w:t>
      </w:r>
      <w:r>
        <w:rPr>
          <w:rStyle w:val="FootnoteReference"/>
          <w:b/>
          <w:szCs w:val="28"/>
          <w:lang w:val="fr-FR"/>
        </w:rPr>
        <w:footnoteReference w:id="5"/>
      </w:r>
      <w:r>
        <w:rPr>
          <w:szCs w:val="28"/>
          <w:lang w:val="fr-FR"/>
        </w:rPr>
        <w:t>.</w:t>
      </w:r>
    </w:p>
    <w:p w:rsidR="00000000" w:rsidRDefault="00000000">
      <w:pPr>
        <w:autoSpaceDE w:val="0"/>
        <w:autoSpaceDN w:val="0"/>
        <w:adjustRightInd w:val="0"/>
        <w:spacing w:after="240"/>
        <w:rPr>
          <w:szCs w:val="28"/>
          <w:lang w:val="fr-FR"/>
        </w:rPr>
      </w:pPr>
      <w:r>
        <w:rPr>
          <w:szCs w:val="28"/>
          <w:lang w:val="fr-FR"/>
        </w:rPr>
        <w:t>30.</w:t>
      </w:r>
      <w:r>
        <w:rPr>
          <w:szCs w:val="28"/>
          <w:lang w:val="fr-FR"/>
        </w:rPr>
        <w:tab/>
        <w:t>Le tableau ci-après donne les revenus professionnels moyens des hommes et des femmes.  On notera que les femmes ont un revenu moyen inférieur à celui des hommes.  La disparité entre les zones urbaines et les zones rurales est aussi très sensible</w:t>
      </w:r>
      <w:r>
        <w:rPr>
          <w:rStyle w:val="FootnoteReference"/>
          <w:b/>
          <w:szCs w:val="28"/>
          <w:lang w:val="fr-FR"/>
        </w:rPr>
        <w:footnoteReference w:id="6"/>
      </w:r>
      <w:r>
        <w:rPr>
          <w:szCs w:val="28"/>
          <w:lang w:val="fr-FR"/>
        </w:rPr>
        <w:t>.</w:t>
      </w:r>
    </w:p>
    <w:p w:rsidR="00000000" w:rsidRDefault="00000000">
      <w:pPr>
        <w:autoSpaceDE w:val="0"/>
        <w:autoSpaceDN w:val="0"/>
        <w:adjustRightInd w:val="0"/>
        <w:spacing w:after="240"/>
        <w:rPr>
          <w:color w:val="000000"/>
          <w:szCs w:val="28"/>
          <w:lang w:val="fr-FR"/>
        </w:rPr>
      </w:pPr>
    </w:p>
    <w:tbl>
      <w:tblPr>
        <w:tblW w:w="6804" w:type="dxa"/>
        <w:jc w:val="center"/>
        <w:tblLayout w:type="fixed"/>
        <w:tblCellMar>
          <w:left w:w="70" w:type="dxa"/>
          <w:right w:w="70" w:type="dxa"/>
        </w:tblCellMar>
        <w:tblLook w:val="0000" w:firstRow="0" w:lastRow="0" w:firstColumn="0" w:lastColumn="0" w:noHBand="0" w:noVBand="0"/>
      </w:tblPr>
      <w:tblGrid>
        <w:gridCol w:w="2160"/>
        <w:gridCol w:w="1572"/>
        <w:gridCol w:w="1609"/>
        <w:gridCol w:w="1463"/>
      </w:tblGrid>
      <w:tr w:rsidR="00000000">
        <w:tblPrEx>
          <w:tblCellMar>
            <w:top w:w="0" w:type="dxa"/>
            <w:bottom w:w="0" w:type="dxa"/>
          </w:tblCellMar>
        </w:tblPrEx>
        <w:trPr>
          <w:cantSplit/>
          <w:jc w:val="center"/>
        </w:trPr>
        <w:tc>
          <w:tcPr>
            <w:tcW w:w="2308"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8"/>
                <w:lang w:val="fr-FR"/>
              </w:rPr>
            </w:pPr>
            <w:r>
              <w:rPr>
                <w:b/>
                <w:bCs/>
                <w:i/>
                <w:iCs/>
                <w:color w:val="000000"/>
                <w:sz w:val="20"/>
                <w:szCs w:val="28"/>
                <w:lang w:val="fr-FR"/>
              </w:rPr>
              <w:t>Secteur</w:t>
            </w:r>
          </w:p>
        </w:tc>
        <w:tc>
          <w:tcPr>
            <w:tcW w:w="4954" w:type="dxa"/>
            <w:gridSpan w:val="3"/>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8"/>
                <w:lang w:val="fr-FR"/>
              </w:rPr>
            </w:pPr>
            <w:r>
              <w:rPr>
                <w:b/>
                <w:bCs/>
                <w:i/>
                <w:iCs/>
                <w:color w:val="000000"/>
                <w:sz w:val="20"/>
                <w:szCs w:val="28"/>
                <w:lang w:val="fr-FR"/>
              </w:rPr>
              <w:t>Revenu moyen</w:t>
            </w:r>
          </w:p>
        </w:tc>
      </w:tr>
      <w:tr w:rsidR="00000000">
        <w:tblPrEx>
          <w:tblCellMar>
            <w:top w:w="0" w:type="dxa"/>
            <w:bottom w:w="0" w:type="dxa"/>
          </w:tblCellMar>
        </w:tblPrEx>
        <w:trPr>
          <w:cantSplit/>
          <w:jc w:val="center"/>
        </w:trPr>
        <w:tc>
          <w:tcPr>
            <w:tcW w:w="2308" w:type="dxa"/>
            <w:vMerge/>
            <w:tcBorders>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8"/>
                <w:lang w:val="fr-FR"/>
              </w:rPr>
            </w:pPr>
          </w:p>
        </w:tc>
        <w:tc>
          <w:tcPr>
            <w:tcW w:w="1677"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8"/>
                <w:lang w:val="fr-FR"/>
              </w:rPr>
            </w:pPr>
            <w:r>
              <w:rPr>
                <w:b/>
                <w:bCs/>
                <w:i/>
                <w:iCs/>
                <w:color w:val="000000"/>
                <w:sz w:val="20"/>
                <w:szCs w:val="28"/>
                <w:lang w:val="fr-FR"/>
              </w:rPr>
              <w:t>Femmes</w:t>
            </w:r>
          </w:p>
        </w:tc>
        <w:tc>
          <w:tcPr>
            <w:tcW w:w="1717"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8"/>
                <w:lang w:val="fr-FR"/>
              </w:rPr>
            </w:pPr>
            <w:r>
              <w:rPr>
                <w:b/>
                <w:bCs/>
                <w:i/>
                <w:iCs/>
                <w:color w:val="000000"/>
                <w:sz w:val="20"/>
                <w:szCs w:val="28"/>
                <w:lang w:val="fr-FR"/>
              </w:rPr>
              <w:t>Hommes</w:t>
            </w:r>
          </w:p>
        </w:tc>
        <w:tc>
          <w:tcPr>
            <w:tcW w:w="156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8"/>
                <w:lang w:val="fr-FR"/>
              </w:rPr>
            </w:pPr>
            <w:r>
              <w:rPr>
                <w:b/>
                <w:bCs/>
                <w:i/>
                <w:iCs/>
                <w:color w:val="000000"/>
                <w:sz w:val="20"/>
                <w:szCs w:val="28"/>
                <w:lang w:val="fr-FR"/>
              </w:rPr>
              <w:t>Indice d’inégalité</w:t>
            </w:r>
          </w:p>
        </w:tc>
      </w:tr>
      <w:tr w:rsidR="00000000">
        <w:tblPrEx>
          <w:tblCellMar>
            <w:top w:w="0" w:type="dxa"/>
            <w:bottom w:w="0" w:type="dxa"/>
          </w:tblCellMar>
        </w:tblPrEx>
        <w:trPr>
          <w:jc w:val="center"/>
        </w:trPr>
        <w:tc>
          <w:tcPr>
            <w:tcW w:w="2308" w:type="dxa"/>
            <w:tcBorders>
              <w:top w:val="single" w:sz="4" w:space="0" w:color="auto"/>
            </w:tcBorders>
          </w:tcPr>
          <w:p w:rsidR="00000000" w:rsidRDefault="00000000">
            <w:pPr>
              <w:autoSpaceDE w:val="0"/>
              <w:autoSpaceDN w:val="0"/>
              <w:adjustRightInd w:val="0"/>
              <w:spacing w:before="60" w:after="60"/>
              <w:rPr>
                <w:color w:val="000000"/>
                <w:sz w:val="20"/>
                <w:szCs w:val="28"/>
                <w:lang w:val="fr-FR"/>
              </w:rPr>
            </w:pPr>
            <w:r>
              <w:rPr>
                <w:color w:val="000000"/>
                <w:sz w:val="20"/>
                <w:szCs w:val="28"/>
                <w:lang w:val="fr-FR"/>
              </w:rPr>
              <w:t xml:space="preserve">Urbain </w:t>
            </w:r>
          </w:p>
        </w:tc>
        <w:tc>
          <w:tcPr>
            <w:tcW w:w="1677" w:type="dxa"/>
            <w:tcBorders>
              <w:top w:val="single" w:sz="4" w:space="0" w:color="auto"/>
            </w:tcBorders>
          </w:tcPr>
          <w:p w:rsidR="00000000" w:rsidRDefault="00000000">
            <w:pPr>
              <w:autoSpaceDE w:val="0"/>
              <w:autoSpaceDN w:val="0"/>
              <w:adjustRightInd w:val="0"/>
              <w:spacing w:before="60" w:after="60"/>
              <w:ind w:right="227"/>
              <w:jc w:val="right"/>
              <w:rPr>
                <w:color w:val="000000"/>
                <w:sz w:val="20"/>
                <w:szCs w:val="28"/>
                <w:lang w:val="fr-FR"/>
              </w:rPr>
            </w:pPr>
            <w:r>
              <w:rPr>
                <w:color w:val="000000"/>
                <w:sz w:val="20"/>
                <w:szCs w:val="28"/>
                <w:lang w:val="fr-FR"/>
              </w:rPr>
              <w:t xml:space="preserve">881 077 </w:t>
            </w:r>
          </w:p>
        </w:tc>
        <w:tc>
          <w:tcPr>
            <w:tcW w:w="1717" w:type="dxa"/>
            <w:tcBorders>
              <w:top w:val="single" w:sz="4" w:space="0" w:color="auto"/>
            </w:tcBorders>
          </w:tcPr>
          <w:p w:rsidR="00000000" w:rsidRDefault="00000000">
            <w:pPr>
              <w:autoSpaceDE w:val="0"/>
              <w:autoSpaceDN w:val="0"/>
              <w:adjustRightInd w:val="0"/>
              <w:spacing w:before="60" w:after="60"/>
              <w:ind w:right="227"/>
              <w:jc w:val="right"/>
              <w:rPr>
                <w:color w:val="000000"/>
                <w:sz w:val="20"/>
                <w:szCs w:val="28"/>
                <w:lang w:val="fr-FR"/>
              </w:rPr>
            </w:pPr>
            <w:r>
              <w:rPr>
                <w:color w:val="000000"/>
                <w:sz w:val="20"/>
                <w:szCs w:val="28"/>
                <w:lang w:val="fr-FR"/>
              </w:rPr>
              <w:t xml:space="preserve">1 337 489 </w:t>
            </w:r>
          </w:p>
        </w:tc>
        <w:tc>
          <w:tcPr>
            <w:tcW w:w="1560" w:type="dxa"/>
            <w:tcBorders>
              <w:top w:val="single" w:sz="4" w:space="0" w:color="auto"/>
            </w:tcBorders>
          </w:tcPr>
          <w:p w:rsidR="00000000" w:rsidRDefault="00000000">
            <w:pPr>
              <w:tabs>
                <w:tab w:val="decimal" w:pos="665"/>
              </w:tabs>
              <w:autoSpaceDE w:val="0"/>
              <w:autoSpaceDN w:val="0"/>
              <w:adjustRightInd w:val="0"/>
              <w:spacing w:before="60" w:after="60"/>
              <w:rPr>
                <w:color w:val="000000"/>
                <w:sz w:val="20"/>
                <w:szCs w:val="28"/>
                <w:lang w:val="fr-FR"/>
              </w:rPr>
            </w:pPr>
            <w:r>
              <w:rPr>
                <w:color w:val="000000"/>
                <w:sz w:val="20"/>
                <w:szCs w:val="28"/>
                <w:lang w:val="fr-FR"/>
              </w:rPr>
              <w:t xml:space="preserve">65,9 %  </w:t>
            </w:r>
          </w:p>
        </w:tc>
      </w:tr>
      <w:tr w:rsidR="00000000">
        <w:tblPrEx>
          <w:tblCellMar>
            <w:top w:w="0" w:type="dxa"/>
            <w:bottom w:w="0" w:type="dxa"/>
          </w:tblCellMar>
        </w:tblPrEx>
        <w:trPr>
          <w:jc w:val="center"/>
        </w:trPr>
        <w:tc>
          <w:tcPr>
            <w:tcW w:w="2308" w:type="dxa"/>
          </w:tcPr>
          <w:p w:rsidR="00000000" w:rsidRDefault="00000000">
            <w:pPr>
              <w:autoSpaceDE w:val="0"/>
              <w:autoSpaceDN w:val="0"/>
              <w:adjustRightInd w:val="0"/>
              <w:spacing w:before="60" w:after="60"/>
              <w:rPr>
                <w:color w:val="000000"/>
                <w:sz w:val="20"/>
                <w:szCs w:val="28"/>
                <w:lang w:val="fr-FR"/>
              </w:rPr>
            </w:pPr>
            <w:r>
              <w:rPr>
                <w:color w:val="000000"/>
                <w:sz w:val="20"/>
                <w:szCs w:val="28"/>
                <w:lang w:val="fr-FR"/>
              </w:rPr>
              <w:t xml:space="preserve">Rural </w:t>
            </w:r>
          </w:p>
        </w:tc>
        <w:tc>
          <w:tcPr>
            <w:tcW w:w="1677" w:type="dxa"/>
          </w:tcPr>
          <w:p w:rsidR="00000000" w:rsidRDefault="00000000">
            <w:pPr>
              <w:autoSpaceDE w:val="0"/>
              <w:autoSpaceDN w:val="0"/>
              <w:adjustRightInd w:val="0"/>
              <w:spacing w:before="60" w:after="60"/>
              <w:ind w:right="227"/>
              <w:jc w:val="right"/>
              <w:rPr>
                <w:color w:val="000000"/>
                <w:sz w:val="20"/>
                <w:szCs w:val="28"/>
                <w:lang w:val="fr-FR"/>
              </w:rPr>
            </w:pPr>
            <w:r>
              <w:rPr>
                <w:color w:val="000000"/>
                <w:sz w:val="20"/>
                <w:szCs w:val="28"/>
                <w:lang w:val="fr-FR"/>
              </w:rPr>
              <w:t xml:space="preserve">328 911 </w:t>
            </w:r>
          </w:p>
        </w:tc>
        <w:tc>
          <w:tcPr>
            <w:tcW w:w="1717" w:type="dxa"/>
          </w:tcPr>
          <w:p w:rsidR="00000000" w:rsidRDefault="00000000">
            <w:pPr>
              <w:autoSpaceDE w:val="0"/>
              <w:autoSpaceDN w:val="0"/>
              <w:adjustRightInd w:val="0"/>
              <w:spacing w:before="60" w:after="60"/>
              <w:ind w:right="227"/>
              <w:jc w:val="right"/>
              <w:rPr>
                <w:color w:val="000000"/>
                <w:sz w:val="20"/>
                <w:szCs w:val="28"/>
                <w:lang w:val="fr-FR"/>
              </w:rPr>
            </w:pPr>
            <w:r>
              <w:rPr>
                <w:color w:val="000000"/>
                <w:sz w:val="20"/>
                <w:szCs w:val="28"/>
                <w:lang w:val="fr-FR"/>
              </w:rPr>
              <w:t xml:space="preserve">613 253 </w:t>
            </w:r>
          </w:p>
        </w:tc>
        <w:tc>
          <w:tcPr>
            <w:tcW w:w="1560" w:type="dxa"/>
          </w:tcPr>
          <w:p w:rsidR="00000000" w:rsidRDefault="00000000">
            <w:pPr>
              <w:tabs>
                <w:tab w:val="decimal" w:pos="665"/>
              </w:tabs>
              <w:autoSpaceDE w:val="0"/>
              <w:autoSpaceDN w:val="0"/>
              <w:adjustRightInd w:val="0"/>
              <w:spacing w:before="60" w:after="60"/>
              <w:rPr>
                <w:color w:val="000000"/>
                <w:sz w:val="20"/>
                <w:szCs w:val="28"/>
                <w:lang w:val="fr-FR"/>
              </w:rPr>
            </w:pPr>
            <w:r>
              <w:rPr>
                <w:color w:val="000000"/>
                <w:sz w:val="20"/>
                <w:szCs w:val="28"/>
                <w:lang w:val="fr-FR"/>
              </w:rPr>
              <w:t xml:space="preserve">53,6 %  </w:t>
            </w:r>
          </w:p>
        </w:tc>
      </w:tr>
      <w:tr w:rsidR="00000000">
        <w:tblPrEx>
          <w:tblCellMar>
            <w:top w:w="0" w:type="dxa"/>
            <w:bottom w:w="0" w:type="dxa"/>
          </w:tblCellMar>
        </w:tblPrEx>
        <w:trPr>
          <w:jc w:val="center"/>
        </w:trPr>
        <w:tc>
          <w:tcPr>
            <w:tcW w:w="2308" w:type="dxa"/>
            <w:tcBorders>
              <w:bottom w:val="single" w:sz="4" w:space="0" w:color="auto"/>
            </w:tcBorders>
          </w:tcPr>
          <w:p w:rsidR="00000000" w:rsidRDefault="00000000">
            <w:pPr>
              <w:tabs>
                <w:tab w:val="left" w:pos="246"/>
              </w:tabs>
              <w:autoSpaceDE w:val="0"/>
              <w:autoSpaceDN w:val="0"/>
              <w:adjustRightInd w:val="0"/>
              <w:spacing w:before="60" w:after="60"/>
              <w:rPr>
                <w:color w:val="000000"/>
                <w:sz w:val="20"/>
                <w:szCs w:val="28"/>
                <w:lang w:val="fr-FR"/>
              </w:rPr>
            </w:pPr>
            <w:r>
              <w:rPr>
                <w:color w:val="000000"/>
                <w:sz w:val="20"/>
                <w:szCs w:val="28"/>
                <w:lang w:val="fr-FR"/>
              </w:rPr>
              <w:tab/>
              <w:t xml:space="preserve">Total national </w:t>
            </w:r>
          </w:p>
        </w:tc>
        <w:tc>
          <w:tcPr>
            <w:tcW w:w="1677" w:type="dxa"/>
            <w:tcBorders>
              <w:bottom w:val="single" w:sz="4" w:space="0" w:color="auto"/>
            </w:tcBorders>
          </w:tcPr>
          <w:p w:rsidR="00000000" w:rsidRDefault="00000000">
            <w:pPr>
              <w:autoSpaceDE w:val="0"/>
              <w:autoSpaceDN w:val="0"/>
              <w:adjustRightInd w:val="0"/>
              <w:spacing w:before="60" w:after="60"/>
              <w:ind w:right="227"/>
              <w:jc w:val="right"/>
              <w:rPr>
                <w:color w:val="000000"/>
                <w:sz w:val="20"/>
                <w:szCs w:val="28"/>
                <w:lang w:val="fr-FR"/>
              </w:rPr>
            </w:pPr>
            <w:r>
              <w:rPr>
                <w:color w:val="000000"/>
                <w:sz w:val="20"/>
                <w:szCs w:val="28"/>
                <w:lang w:val="fr-FR"/>
              </w:rPr>
              <w:t xml:space="preserve">700 040 </w:t>
            </w:r>
          </w:p>
        </w:tc>
        <w:tc>
          <w:tcPr>
            <w:tcW w:w="1717" w:type="dxa"/>
            <w:tcBorders>
              <w:bottom w:val="single" w:sz="4" w:space="0" w:color="auto"/>
            </w:tcBorders>
          </w:tcPr>
          <w:p w:rsidR="00000000" w:rsidRDefault="00000000">
            <w:pPr>
              <w:autoSpaceDE w:val="0"/>
              <w:autoSpaceDN w:val="0"/>
              <w:adjustRightInd w:val="0"/>
              <w:spacing w:before="60" w:after="60"/>
              <w:ind w:right="227"/>
              <w:jc w:val="right"/>
              <w:rPr>
                <w:color w:val="000000"/>
                <w:sz w:val="20"/>
                <w:szCs w:val="28"/>
                <w:lang w:val="fr-FR"/>
              </w:rPr>
            </w:pPr>
            <w:r>
              <w:rPr>
                <w:color w:val="000000"/>
                <w:sz w:val="20"/>
                <w:szCs w:val="28"/>
                <w:lang w:val="fr-FR"/>
              </w:rPr>
              <w:t xml:space="preserve">1 036 779 </w:t>
            </w:r>
          </w:p>
        </w:tc>
        <w:tc>
          <w:tcPr>
            <w:tcW w:w="1560" w:type="dxa"/>
            <w:tcBorders>
              <w:bottom w:val="single" w:sz="4" w:space="0" w:color="auto"/>
            </w:tcBorders>
          </w:tcPr>
          <w:p w:rsidR="00000000" w:rsidRDefault="00000000">
            <w:pPr>
              <w:tabs>
                <w:tab w:val="decimal" w:pos="665"/>
              </w:tabs>
              <w:autoSpaceDE w:val="0"/>
              <w:autoSpaceDN w:val="0"/>
              <w:adjustRightInd w:val="0"/>
              <w:spacing w:before="60" w:after="60"/>
              <w:rPr>
                <w:color w:val="000000"/>
                <w:sz w:val="20"/>
                <w:szCs w:val="28"/>
                <w:lang w:val="fr-FR"/>
              </w:rPr>
            </w:pPr>
            <w:r>
              <w:rPr>
                <w:color w:val="000000"/>
                <w:sz w:val="20"/>
                <w:szCs w:val="28"/>
                <w:lang w:val="fr-FR"/>
              </w:rPr>
              <w:t xml:space="preserve">67,5 %  </w:t>
            </w:r>
          </w:p>
        </w:tc>
      </w:tr>
    </w:tbl>
    <w:p w:rsidR="00000000" w:rsidRDefault="00000000">
      <w:pPr>
        <w:tabs>
          <w:tab w:val="left" w:pos="1620"/>
        </w:tabs>
        <w:autoSpaceDE w:val="0"/>
        <w:autoSpaceDN w:val="0"/>
        <w:adjustRightInd w:val="0"/>
        <w:spacing w:before="80" w:after="240"/>
        <w:rPr>
          <w:color w:val="000000"/>
          <w:sz w:val="20"/>
          <w:szCs w:val="28"/>
          <w:lang w:val="fr-FR"/>
        </w:rPr>
      </w:pPr>
      <w:r>
        <w:rPr>
          <w:i/>
          <w:iCs/>
          <w:color w:val="000000"/>
          <w:sz w:val="20"/>
          <w:szCs w:val="28"/>
          <w:lang w:val="fr-FR"/>
        </w:rPr>
        <w:tab/>
        <w:t xml:space="preserve">Source :  </w:t>
      </w:r>
      <w:r>
        <w:rPr>
          <w:color w:val="000000"/>
          <w:sz w:val="20"/>
          <w:szCs w:val="28"/>
          <w:lang w:val="fr-FR"/>
        </w:rPr>
        <w:t>INEC-ECV-III, 1998.</w:t>
      </w:r>
    </w:p>
    <w:p w:rsidR="00000000" w:rsidRDefault="00000000">
      <w:pPr>
        <w:autoSpaceDE w:val="0"/>
        <w:autoSpaceDN w:val="0"/>
        <w:adjustRightInd w:val="0"/>
        <w:spacing w:after="240"/>
        <w:rPr>
          <w:color w:val="000000"/>
          <w:szCs w:val="28"/>
          <w:lang w:val="fr-FR"/>
        </w:rPr>
      </w:pPr>
      <w:r>
        <w:rPr>
          <w:color w:val="000000"/>
          <w:szCs w:val="28"/>
          <w:lang w:val="fr-FR"/>
        </w:rPr>
        <w:t>31.</w:t>
      </w:r>
      <w:r>
        <w:rPr>
          <w:color w:val="000000"/>
          <w:szCs w:val="28"/>
          <w:lang w:val="fr-FR"/>
        </w:rPr>
        <w:tab/>
        <w:t>Pour améliorer la capacité des femmes à trouver de bons emplois, et éliminer la discrimination existant à leur égard, des réformes ont été apportées à la législation, avec l’adoption de la Loi de protection de la femme au travail, qui prévoit l'embauche d'un pourcentage minimum de femmes et dont l'application doit être régie par les commissions sectorielles du Ministère du travail; mais d'autres réformes relèvent clairement de la politique sociale, comme la promotion des services de crèche et des établissements préscolaires qui facilitent l'accès des femmes à l'emploi, tout en améliorant la capacité des enfants d'apprendre, de se développer et de réussir leur scolarité.</w:t>
      </w:r>
    </w:p>
    <w:p w:rsidR="00000000" w:rsidRDefault="00000000">
      <w:pPr>
        <w:pStyle w:val="BodyText2"/>
        <w:spacing w:after="240"/>
        <w:rPr>
          <w:lang w:val="fr-FR"/>
        </w:rPr>
      </w:pPr>
      <w:r>
        <w:rPr>
          <w:lang w:val="fr-FR"/>
        </w:rPr>
        <w:t>32.</w:t>
      </w:r>
      <w:r>
        <w:rPr>
          <w:lang w:val="fr-FR"/>
        </w:rPr>
        <w:tab/>
        <w:t>Les principales différences résultent du niveau d'instruction et de la façon dont le marché rémunère les différents types d'éducation; ceux qui ont le plus d'expérience sont les mieux rémunérés, les hommes gagnent davantage que les femmes, et, dans la mesure où les femmes sont sur-représentées dans les professions mal rémunérées, le nombre de femmes mal rémunérées ne peut qu'augmenter.  En outre, les femmes accumulent moins d'expérience professionnelle que les hommes, puisque leur participation à l'activité professionnelle est interrompue par les exigences de la maternité et du travail ménager.  Les écarts s'atténuent dans les emplois du secteur officiel, mais elles s'accentuent de façon très appréciable dans le cas de l'emploi pour compte propre.</w:t>
      </w:r>
    </w:p>
    <w:p w:rsidR="00000000" w:rsidRDefault="00000000">
      <w:pPr>
        <w:autoSpaceDE w:val="0"/>
        <w:autoSpaceDN w:val="0"/>
        <w:adjustRightInd w:val="0"/>
        <w:spacing w:after="240"/>
        <w:rPr>
          <w:color w:val="000000"/>
          <w:szCs w:val="28"/>
          <w:lang w:val="fr-FR"/>
        </w:rPr>
      </w:pPr>
      <w:r>
        <w:rPr>
          <w:color w:val="000000"/>
          <w:szCs w:val="28"/>
          <w:lang w:val="fr-FR"/>
        </w:rPr>
        <w:t>33.</w:t>
      </w:r>
      <w:r>
        <w:rPr>
          <w:color w:val="000000"/>
          <w:szCs w:val="28"/>
          <w:lang w:val="fr-FR"/>
        </w:rPr>
        <w:tab/>
        <w:t>Dans le secteur rural, les femmes adultes, en particulier les paysannes et les femmes autochtones, participent pleinement à la force de travail.  La majorité d'entre elles travaillent dans l'agriculture, sur des terres familiales et sans rémunération</w:t>
      </w:r>
      <w:r>
        <w:rPr>
          <w:rStyle w:val="FootnoteReference"/>
          <w:b/>
          <w:color w:val="000000"/>
          <w:szCs w:val="28"/>
          <w:lang w:val="fr-FR"/>
        </w:rPr>
        <w:footnoteReference w:id="7"/>
      </w:r>
      <w:r>
        <w:rPr>
          <w:color w:val="000000"/>
          <w:szCs w:val="28"/>
          <w:lang w:val="fr-FR"/>
        </w:rPr>
        <w:t>, et souffrent des conséquences de la discrimination subie au cours des décennies passées.</w:t>
      </w:r>
    </w:p>
    <w:p w:rsidR="00000000" w:rsidRDefault="00000000">
      <w:pPr>
        <w:autoSpaceDE w:val="0"/>
        <w:autoSpaceDN w:val="0"/>
        <w:adjustRightInd w:val="0"/>
        <w:spacing w:after="240"/>
        <w:rPr>
          <w:lang w:val="fr-FR"/>
        </w:rPr>
      </w:pPr>
      <w:r>
        <w:rPr>
          <w:lang w:val="fr-FR"/>
        </w:rPr>
        <w:t>34.</w:t>
      </w:r>
      <w:r>
        <w:rPr>
          <w:lang w:val="fr-FR"/>
        </w:rPr>
        <w:tab/>
        <w:t>De nombreuses réformes de la législation et mesures d'ordre politique ont été engagées pour favoriser l'égalité des chances entre l'homme et la femme :</w:t>
      </w:r>
    </w:p>
    <w:p w:rsidR="00000000" w:rsidRDefault="00000000">
      <w:pPr>
        <w:numPr>
          <w:ilvl w:val="0"/>
          <w:numId w:val="3"/>
        </w:numPr>
        <w:autoSpaceDE w:val="0"/>
        <w:autoSpaceDN w:val="0"/>
        <w:adjustRightInd w:val="0"/>
        <w:spacing w:after="240"/>
        <w:rPr>
          <w:lang w:val="fr-FR"/>
        </w:rPr>
      </w:pPr>
      <w:r>
        <w:rPr>
          <w:lang w:val="fr-FR"/>
        </w:rPr>
        <w:t>Règlement substitutif concernant le fonctionnement des commissariats à la femme et à la famille (</w:t>
      </w:r>
      <w:r>
        <w:rPr>
          <w:i/>
          <w:iCs/>
          <w:lang w:val="fr-FR"/>
        </w:rPr>
        <w:t>Journal officiel</w:t>
      </w:r>
      <w:r>
        <w:rPr>
          <w:lang w:val="fr-FR"/>
        </w:rPr>
        <w:t xml:space="preserve"> N° 758 du 14 août 1995).  Il est reconnu que la violence à l'encontre des femmes et des mineurs est un problème social dont le traitement nécessite des protections adéquates.  Les commissariats à la femme et à la famille sont préférentiellement, mais non exclusivement, compétents dans les cas de violence domestique et d'infractions dont sont victimes les femmes et les mineurs.  Les sanctions sont conformes aux lois en vigueur, et des mesures préventives et correctives peuvent être adoptées, conformément aux dispositions de l'article 662 du Code pénal, en vue de préserver la sécurité et l'intégrité physique et psychique de la femme et des enfants.</w:t>
      </w:r>
    </w:p>
    <w:p w:rsidR="00000000" w:rsidRDefault="00000000">
      <w:pPr>
        <w:numPr>
          <w:ilvl w:val="0"/>
          <w:numId w:val="3"/>
        </w:numPr>
        <w:autoSpaceDE w:val="0"/>
        <w:autoSpaceDN w:val="0"/>
        <w:adjustRightInd w:val="0"/>
        <w:spacing w:after="240"/>
        <w:rPr>
          <w:lang w:val="fr-FR"/>
        </w:rPr>
      </w:pPr>
      <w:r>
        <w:rPr>
          <w:lang w:val="fr-FR"/>
        </w:rPr>
        <w:t>Ratification de la Convention interaméricaine sur la prévention, la sanction et l'élimination de la violence contre la femme (Convention de Belem do Pará) (</w:t>
      </w:r>
      <w:r>
        <w:rPr>
          <w:i/>
          <w:iCs/>
          <w:lang w:val="fr-FR"/>
        </w:rPr>
        <w:t>Journal officiel</w:t>
      </w:r>
      <w:r>
        <w:rPr>
          <w:lang w:val="fr-FR"/>
        </w:rPr>
        <w:t xml:space="preserve"> N° 728 du 30 juin 1995).</w:t>
      </w:r>
    </w:p>
    <w:p w:rsidR="00000000" w:rsidRDefault="00000000">
      <w:pPr>
        <w:numPr>
          <w:ilvl w:val="0"/>
          <w:numId w:val="3"/>
        </w:numPr>
        <w:autoSpaceDE w:val="0"/>
        <w:autoSpaceDN w:val="0"/>
        <w:adjustRightInd w:val="0"/>
        <w:spacing w:after="240"/>
        <w:rPr>
          <w:lang w:val="fr-FR"/>
        </w:rPr>
      </w:pPr>
      <w:r>
        <w:rPr>
          <w:lang w:val="fr-FR"/>
        </w:rPr>
        <w:t>La Loi relative à la violence contre la femme et la famille (</w:t>
      </w:r>
      <w:r>
        <w:rPr>
          <w:i/>
          <w:iCs/>
          <w:lang w:val="fr-FR"/>
        </w:rPr>
        <w:t>Journal officiel</w:t>
      </w:r>
      <w:r>
        <w:rPr>
          <w:lang w:val="fr-FR"/>
        </w:rPr>
        <w:t xml:space="preserve"> N° 839 du 11 décembre 1995), qui qualifie et sanctionne la violence physique, psychologique et sexuelle contre la femme et la famille prévoit des mesures de protection pour les victimes de la violence au sein de la famille.  Elle proclame que les instruments internationaux relatifs à la prévention et à la répression de la violence contre la femme, qui ont été ratifiés par l'Équateur, ont force de loi.</w:t>
      </w:r>
    </w:p>
    <w:p w:rsidR="00000000" w:rsidRDefault="00000000">
      <w:pPr>
        <w:numPr>
          <w:ilvl w:val="0"/>
          <w:numId w:val="3"/>
        </w:numPr>
        <w:autoSpaceDE w:val="0"/>
        <w:autoSpaceDN w:val="0"/>
        <w:adjustRightInd w:val="0"/>
        <w:spacing w:after="240"/>
        <w:rPr>
          <w:lang w:val="fr-FR"/>
        </w:rPr>
      </w:pPr>
      <w:r>
        <w:rPr>
          <w:lang w:val="fr-FR"/>
        </w:rPr>
        <w:t>La loi relative à la protection de la femme au travail (</w:t>
      </w:r>
      <w:r>
        <w:rPr>
          <w:i/>
          <w:iCs/>
          <w:lang w:val="fr-FR"/>
        </w:rPr>
        <w:t>Journal officiel</w:t>
      </w:r>
      <w:r>
        <w:rPr>
          <w:lang w:val="fr-FR"/>
        </w:rPr>
        <w:t xml:space="preserve"> N° 124 du 6 février 1997) apporte des modifications au Code du travail, à la Loi électorale et à la Loi d’organisation de la fonction judiciaire.</w:t>
      </w:r>
    </w:p>
    <w:p w:rsidR="00000000" w:rsidRDefault="00000000">
      <w:pPr>
        <w:numPr>
          <w:ilvl w:val="0"/>
          <w:numId w:val="3"/>
        </w:numPr>
        <w:autoSpaceDE w:val="0"/>
        <w:autoSpaceDN w:val="0"/>
        <w:adjustRightInd w:val="0"/>
        <w:spacing w:after="240"/>
        <w:rPr>
          <w:lang w:val="fr-FR"/>
        </w:rPr>
      </w:pPr>
      <w:r>
        <w:rPr>
          <w:lang w:val="fr-FR"/>
        </w:rPr>
        <w:t>Le Conseil national des femmes (CONAMU) est une institution de droit public à vocation sociale et publique, rattachée à la Présidence de la République et chargée des politiques officielles visant à promouvoir l'égalité des sexes. Il définit et réglemente les activités en faveur de l'égalité des chances des femmes et des hommes dans tous les organismes du secteur public, encourage la pleine participation et le développement du potentiel de la femme dans la vie sociale, économique et politique, en élaborant des programmes destinés à favoriser l'insertion, ainsi que l'emploi et le travail indépendant, des femmes, l'alphabétisation et l'éducation, l'offre de soins intégrés aux femmes victimes de la violence, et s'attache à promouvoir des programmes permettant aux femmes et aux hommes de concilier travail et vie familiale.  Le CONAMU a été créé par le décret exécutif N° 764, du 24 octobre 1997 (supplément au</w:t>
      </w:r>
      <w:r>
        <w:rPr>
          <w:i/>
          <w:iCs/>
          <w:lang w:val="fr-FR"/>
        </w:rPr>
        <w:t xml:space="preserve"> Journal officiel</w:t>
      </w:r>
      <w:r>
        <w:rPr>
          <w:lang w:val="fr-FR"/>
        </w:rPr>
        <w:t xml:space="preserve"> N° 182 du 28 octobre 1997).</w:t>
      </w:r>
    </w:p>
    <w:p w:rsidR="00000000" w:rsidRDefault="00000000">
      <w:pPr>
        <w:numPr>
          <w:ilvl w:val="0"/>
          <w:numId w:val="3"/>
        </w:numPr>
        <w:autoSpaceDE w:val="0"/>
        <w:autoSpaceDN w:val="0"/>
        <w:adjustRightInd w:val="0"/>
        <w:spacing w:after="240"/>
        <w:rPr>
          <w:lang w:val="fr-FR"/>
        </w:rPr>
      </w:pPr>
      <w:r>
        <w:rPr>
          <w:lang w:val="fr-FR"/>
        </w:rPr>
        <w:t>La Loi portant modification de la Loi relative à la maternité gratuite (</w:t>
      </w:r>
      <w:r>
        <w:rPr>
          <w:i/>
          <w:iCs/>
          <w:lang w:val="fr-FR"/>
        </w:rPr>
        <w:t>Journal officiel</w:t>
      </w:r>
      <w:r>
        <w:rPr>
          <w:lang w:val="fr-FR"/>
        </w:rPr>
        <w:t xml:space="preserve"> N° 381 du 10 août 1998) a pour but de réduire les taux de mortalité maternelle et infantile.  Elle vise notamment à faire respecter le droit à des soins de santé gratuits et de qualité, y compris les médicaments, les examens de base en laboratoire et les examens complémentaires à l'intention des femmes enceintes, des nouveau-nés et des enfants de moins de cinq ans.</w:t>
      </w:r>
    </w:p>
    <w:p w:rsidR="00000000" w:rsidRDefault="00000000">
      <w:pPr>
        <w:autoSpaceDE w:val="0"/>
        <w:autoSpaceDN w:val="0"/>
        <w:adjustRightInd w:val="0"/>
        <w:spacing w:after="240"/>
        <w:rPr>
          <w:lang w:val="fr-FR"/>
        </w:rPr>
      </w:pPr>
      <w:r>
        <w:rPr>
          <w:lang w:val="fr-FR"/>
        </w:rPr>
        <w:t>35.</w:t>
      </w:r>
      <w:r>
        <w:rPr>
          <w:lang w:val="fr-FR"/>
        </w:rPr>
        <w:tab/>
        <w:t>Au cours des dernières années, on s'est beaucoup préoccupé de réduire la discrimination dont souffrent certains groupes pour des raisons de sexe, de race ou d'origine ethnique, et de permettre à ces groupes l'accès sans restriction aux services publics et au marché du travail.  Bon nombre des mesures d'ordre social actuellement mises en oeuvre auront des répercussions sur le bien-être des générations futures.</w:t>
      </w:r>
    </w:p>
    <w:p w:rsidR="00000000" w:rsidRDefault="00000000">
      <w:pPr>
        <w:autoSpaceDE w:val="0"/>
        <w:autoSpaceDN w:val="0"/>
        <w:adjustRightInd w:val="0"/>
        <w:spacing w:after="240"/>
        <w:rPr>
          <w:lang w:val="fr-FR"/>
        </w:rPr>
      </w:pPr>
      <w:r>
        <w:rPr>
          <w:b/>
          <w:bCs/>
          <w:lang w:val="fr-FR"/>
        </w:rPr>
        <w:t>Article 4</w:t>
      </w:r>
    </w:p>
    <w:p w:rsidR="00000000" w:rsidRDefault="00000000">
      <w:pPr>
        <w:autoSpaceDE w:val="0"/>
        <w:autoSpaceDN w:val="0"/>
        <w:adjustRightInd w:val="0"/>
        <w:spacing w:after="240"/>
        <w:rPr>
          <w:lang w:val="fr-FR"/>
        </w:rPr>
      </w:pPr>
      <w:r>
        <w:rPr>
          <w:lang w:val="fr-FR"/>
        </w:rPr>
        <w:t>36.</w:t>
      </w:r>
      <w:r>
        <w:rPr>
          <w:lang w:val="fr-FR"/>
        </w:rPr>
        <w:tab/>
        <w:t>L'État équatorien assure la primauté des dispositions constitutionnelles, veillant à ce que n'existe aucune loi qui soit incompatible avec les droits garantis par le Pacte international relatif aux droits économiques, sociaux et culturels.  La Constitution et ses lois sanctionnent la reconnaissance, la garantie et la promotion des droits de l'homme et favorisent le progrès économique, social et culturel de toutes les personnes relevant de leur juridiction.</w:t>
      </w:r>
    </w:p>
    <w:p w:rsidR="00000000" w:rsidRDefault="00000000">
      <w:pPr>
        <w:autoSpaceDE w:val="0"/>
        <w:autoSpaceDN w:val="0"/>
        <w:adjustRightInd w:val="0"/>
        <w:spacing w:after="240"/>
        <w:rPr>
          <w:lang w:val="fr-FR"/>
        </w:rPr>
      </w:pPr>
      <w:r>
        <w:rPr>
          <w:b/>
          <w:bCs/>
          <w:lang w:val="fr-FR"/>
        </w:rPr>
        <w:t>Article 5</w:t>
      </w:r>
    </w:p>
    <w:p w:rsidR="00000000" w:rsidRDefault="00000000">
      <w:pPr>
        <w:autoSpaceDE w:val="0"/>
        <w:autoSpaceDN w:val="0"/>
        <w:adjustRightInd w:val="0"/>
        <w:spacing w:after="240"/>
        <w:rPr>
          <w:lang w:val="fr-FR"/>
        </w:rPr>
      </w:pPr>
      <w:r>
        <w:rPr>
          <w:lang w:val="fr-FR"/>
        </w:rPr>
        <w:t>37.</w:t>
      </w:r>
      <w:r>
        <w:rPr>
          <w:lang w:val="fr-FR"/>
        </w:rPr>
        <w:tab/>
        <w:t>De par sa Constitution, l'État garantie le plein exercice des droits de l'homme en veillant à ce que les dispositions des autres lois restent compatibles avec cette Constitution, en accordant la priorité aux droits et libertés fondamentales, et en encourageant un développement propre à assurer le progrès économique et social de la société.</w:t>
      </w:r>
    </w:p>
    <w:p w:rsidR="00000000" w:rsidRDefault="00000000">
      <w:pPr>
        <w:autoSpaceDE w:val="0"/>
        <w:autoSpaceDN w:val="0"/>
        <w:adjustRightInd w:val="0"/>
        <w:spacing w:after="240"/>
        <w:rPr>
          <w:lang w:val="fr-FR"/>
        </w:rPr>
      </w:pPr>
      <w:r>
        <w:rPr>
          <w:lang w:val="fr-FR"/>
        </w:rPr>
        <w:t>38.</w:t>
      </w:r>
      <w:r>
        <w:rPr>
          <w:lang w:val="fr-FR"/>
        </w:rPr>
        <w:tab/>
        <w:t>Toute personne dont les droits constitutionnels sont affectés par une disposition d'ordre administratif ou judiciaire dispose des voies de recours ci-après :</w:t>
      </w:r>
    </w:p>
    <w:p w:rsidR="00000000" w:rsidRDefault="00000000">
      <w:pPr>
        <w:numPr>
          <w:ilvl w:val="0"/>
          <w:numId w:val="11"/>
        </w:numPr>
        <w:autoSpaceDE w:val="0"/>
        <w:autoSpaceDN w:val="0"/>
        <w:adjustRightInd w:val="0"/>
        <w:spacing w:after="240"/>
        <w:rPr>
          <w:lang w:val="fr-FR"/>
        </w:rPr>
      </w:pPr>
      <w:r>
        <w:rPr>
          <w:lang w:val="fr-FR"/>
        </w:rPr>
        <w:t>Habeas corpus</w:t>
      </w:r>
      <w:r>
        <w:rPr>
          <w:rStyle w:val="FootnoteReference"/>
          <w:b/>
          <w:lang w:val="fr-FR"/>
        </w:rPr>
        <w:footnoteReference w:id="8"/>
      </w:r>
      <w:r>
        <w:rPr>
          <w:lang w:val="fr-FR"/>
        </w:rPr>
        <w:t xml:space="preserve"> : applicable lorsqu'une personne est illégalement privée de sa liberté;</w:t>
      </w:r>
    </w:p>
    <w:p w:rsidR="00000000" w:rsidRDefault="00000000">
      <w:pPr>
        <w:numPr>
          <w:ilvl w:val="0"/>
          <w:numId w:val="11"/>
        </w:numPr>
        <w:autoSpaceDE w:val="0"/>
        <w:autoSpaceDN w:val="0"/>
        <w:adjustRightInd w:val="0"/>
        <w:spacing w:after="240"/>
        <w:rPr>
          <w:lang w:val="fr-FR"/>
        </w:rPr>
      </w:pPr>
      <w:r>
        <w:rPr>
          <w:lang w:val="fr-FR"/>
        </w:rPr>
        <w:t>Habeas data : "Toute personne a le droit d'accéder aux documents, banques de données et rapports détenus par des autorités publiques ou privées qui la concernent ou concernent ses biens, ainsi que le droit de connaître l'usage qui en sera fait ou leur finalité"</w:t>
      </w:r>
      <w:r>
        <w:rPr>
          <w:rStyle w:val="FootnoteReference"/>
          <w:b/>
          <w:lang w:val="fr-FR"/>
        </w:rPr>
        <w:footnoteReference w:id="9"/>
      </w:r>
      <w:r>
        <w:rPr>
          <w:lang w:val="fr-FR"/>
        </w:rPr>
        <w:t>;</w:t>
      </w:r>
    </w:p>
    <w:p w:rsidR="00000000" w:rsidRDefault="00000000">
      <w:pPr>
        <w:numPr>
          <w:ilvl w:val="0"/>
          <w:numId w:val="11"/>
        </w:numPr>
        <w:autoSpaceDE w:val="0"/>
        <w:autoSpaceDN w:val="0"/>
        <w:adjustRightInd w:val="0"/>
        <w:spacing w:after="240"/>
        <w:rPr>
          <w:lang w:val="fr-FR"/>
        </w:rPr>
      </w:pPr>
      <w:r>
        <w:rPr>
          <w:lang w:val="fr-FR"/>
        </w:rPr>
        <w:t>Amparo : en vertu de ce recours, toute personne peut, par voie de procédure préférentielle et rapide, demander l'adoption d'urgence de mesures visant à faire cesser ou à empêcher la perpétration d'un acte d'autorité illicite par l'administration publique, attentatoire à l'un des droits constitutionnels, ou à réparer immédiatement les conséquences d'un tel acte</w:t>
      </w:r>
      <w:r>
        <w:rPr>
          <w:rStyle w:val="FootnoteReference"/>
          <w:b/>
          <w:lang w:val="fr-FR"/>
        </w:rPr>
        <w:footnoteReference w:id="10"/>
      </w:r>
      <w:r>
        <w:rPr>
          <w:lang w:val="fr-FR"/>
        </w:rPr>
        <w:t>;</w:t>
      </w:r>
    </w:p>
    <w:p w:rsidR="00000000" w:rsidRDefault="00000000">
      <w:pPr>
        <w:numPr>
          <w:ilvl w:val="0"/>
          <w:numId w:val="11"/>
        </w:numPr>
        <w:autoSpaceDE w:val="0"/>
        <w:autoSpaceDN w:val="0"/>
        <w:adjustRightInd w:val="0"/>
        <w:spacing w:after="240"/>
        <w:rPr>
          <w:lang w:val="fr-FR"/>
        </w:rPr>
      </w:pPr>
      <w:r>
        <w:rPr>
          <w:lang w:val="fr-FR"/>
        </w:rPr>
        <w:t>Défenseur du peuple : le Défenseur du peuple, dont la juridiction est nationale, est chargé de promouvoir ou de parrainer le recours en habeas corpus et en amparo des personnes qui en ont besoin, de défendre et d'encourager le respect des droits fondamentaux garantis par la Constitution, de veiller à la qualité des services publics et d'exercer les autres fonctions qui lui sont assignées par la loi</w:t>
      </w:r>
      <w:r>
        <w:rPr>
          <w:rStyle w:val="FootnoteReference"/>
          <w:b/>
          <w:lang w:val="fr-FR"/>
        </w:rPr>
        <w:footnoteReference w:id="11"/>
      </w:r>
      <w:r>
        <w:rPr>
          <w:lang w:val="fr-FR"/>
        </w:rPr>
        <w:t>.</w:t>
      </w:r>
    </w:p>
    <w:p w:rsidR="00000000" w:rsidRDefault="00000000">
      <w:pPr>
        <w:autoSpaceDE w:val="0"/>
        <w:autoSpaceDN w:val="0"/>
        <w:adjustRightInd w:val="0"/>
        <w:spacing w:after="240"/>
        <w:rPr>
          <w:lang w:val="fr-FR"/>
        </w:rPr>
      </w:pPr>
      <w:r>
        <w:rPr>
          <w:lang w:val="fr-FR"/>
        </w:rPr>
        <w:t>39.</w:t>
      </w:r>
      <w:r>
        <w:rPr>
          <w:lang w:val="fr-FR"/>
        </w:rPr>
        <w:tab/>
        <w:t>Sur la base de l'information fournie par le Défenseur du peuple dans le pays pour la période allant de septembre 1988 (date de la création de la fonction) à octobre 1999, les cas ci-après ont été traités :</w:t>
      </w:r>
    </w:p>
    <w:p w:rsidR="00000000" w:rsidRDefault="00000000">
      <w:pPr>
        <w:autoSpaceDE w:val="0"/>
        <w:autoSpaceDN w:val="0"/>
        <w:adjustRightInd w:val="0"/>
        <w:spacing w:after="240"/>
        <w:rPr>
          <w:lang w:val="fr-FR"/>
        </w:rPr>
      </w:pPr>
    </w:p>
    <w:tbl>
      <w:tblPr>
        <w:tblW w:w="6804" w:type="dxa"/>
        <w:jc w:val="center"/>
        <w:tblCellMar>
          <w:left w:w="70" w:type="dxa"/>
          <w:right w:w="70" w:type="dxa"/>
        </w:tblCellMar>
        <w:tblLook w:val="0000" w:firstRow="0" w:lastRow="0" w:firstColumn="0" w:lastColumn="0" w:noHBand="0" w:noVBand="0"/>
      </w:tblPr>
      <w:tblGrid>
        <w:gridCol w:w="5010"/>
        <w:gridCol w:w="1794"/>
      </w:tblGrid>
      <w:tr w:rsidR="00000000">
        <w:tblPrEx>
          <w:tblCellMar>
            <w:top w:w="0" w:type="dxa"/>
            <w:bottom w:w="0" w:type="dxa"/>
          </w:tblCellMar>
        </w:tblPrEx>
        <w:trPr>
          <w:jc w:val="center"/>
        </w:trPr>
        <w:tc>
          <w:tcPr>
            <w:tcW w:w="5010" w:type="dxa"/>
          </w:tcPr>
          <w:p w:rsidR="00000000" w:rsidRDefault="00000000">
            <w:pPr>
              <w:tabs>
                <w:tab w:val="right" w:pos="6366"/>
              </w:tabs>
              <w:autoSpaceDE w:val="0"/>
              <w:autoSpaceDN w:val="0"/>
              <w:adjustRightInd w:val="0"/>
              <w:spacing w:before="60"/>
              <w:rPr>
                <w:lang w:val="fr-FR"/>
              </w:rPr>
            </w:pPr>
            <w:r>
              <w:rPr>
                <w:lang w:val="fr-FR"/>
              </w:rPr>
              <w:t>Plaintes pour violation des droits de l'homme</w:t>
            </w:r>
          </w:p>
        </w:tc>
        <w:tc>
          <w:tcPr>
            <w:tcW w:w="1794" w:type="dxa"/>
          </w:tcPr>
          <w:p w:rsidR="00000000" w:rsidRDefault="00000000">
            <w:pPr>
              <w:tabs>
                <w:tab w:val="right" w:pos="6366"/>
              </w:tabs>
              <w:autoSpaceDE w:val="0"/>
              <w:autoSpaceDN w:val="0"/>
              <w:adjustRightInd w:val="0"/>
              <w:spacing w:before="60" w:after="60"/>
              <w:ind w:right="454"/>
              <w:jc w:val="right"/>
              <w:rPr>
                <w:lang w:val="fr-FR"/>
              </w:rPr>
            </w:pPr>
            <w:r>
              <w:rPr>
                <w:lang w:val="fr-FR"/>
              </w:rPr>
              <w:t>3 160</w:t>
            </w:r>
          </w:p>
        </w:tc>
      </w:tr>
      <w:tr w:rsidR="00000000">
        <w:tblPrEx>
          <w:tblCellMar>
            <w:top w:w="0" w:type="dxa"/>
            <w:bottom w:w="0" w:type="dxa"/>
          </w:tblCellMar>
        </w:tblPrEx>
        <w:trPr>
          <w:jc w:val="center"/>
        </w:trPr>
        <w:tc>
          <w:tcPr>
            <w:tcW w:w="5010" w:type="dxa"/>
          </w:tcPr>
          <w:p w:rsidR="00000000" w:rsidRDefault="00000000">
            <w:pPr>
              <w:autoSpaceDE w:val="0"/>
              <w:autoSpaceDN w:val="0"/>
              <w:adjustRightInd w:val="0"/>
              <w:spacing w:after="120"/>
              <w:rPr>
                <w:lang w:val="fr-FR"/>
              </w:rPr>
            </w:pPr>
            <w:r>
              <w:rPr>
                <w:lang w:val="fr-FR"/>
              </w:rPr>
              <w:t>Cas résolus</w:t>
            </w:r>
          </w:p>
        </w:tc>
        <w:tc>
          <w:tcPr>
            <w:tcW w:w="1794" w:type="dxa"/>
          </w:tcPr>
          <w:p w:rsidR="00000000" w:rsidRDefault="00000000">
            <w:pPr>
              <w:autoSpaceDE w:val="0"/>
              <w:autoSpaceDN w:val="0"/>
              <w:adjustRightInd w:val="0"/>
              <w:spacing w:before="60" w:after="60"/>
              <w:ind w:right="454"/>
              <w:jc w:val="right"/>
              <w:rPr>
                <w:lang w:val="fr-FR"/>
              </w:rPr>
            </w:pPr>
            <w:r>
              <w:rPr>
                <w:lang w:val="fr-FR"/>
              </w:rPr>
              <w:t>2 201</w:t>
            </w:r>
          </w:p>
        </w:tc>
      </w:tr>
      <w:tr w:rsidR="00000000">
        <w:tblPrEx>
          <w:tblCellMar>
            <w:top w:w="0" w:type="dxa"/>
            <w:bottom w:w="0" w:type="dxa"/>
          </w:tblCellMar>
        </w:tblPrEx>
        <w:trPr>
          <w:jc w:val="center"/>
        </w:trPr>
        <w:tc>
          <w:tcPr>
            <w:tcW w:w="5010" w:type="dxa"/>
          </w:tcPr>
          <w:p w:rsidR="00000000" w:rsidRDefault="00000000">
            <w:pPr>
              <w:autoSpaceDE w:val="0"/>
              <w:autoSpaceDN w:val="0"/>
              <w:adjustRightInd w:val="0"/>
              <w:spacing w:before="60" w:after="60"/>
              <w:rPr>
                <w:lang w:val="fr-FR"/>
              </w:rPr>
            </w:pPr>
            <w:r>
              <w:rPr>
                <w:lang w:val="fr-FR"/>
              </w:rPr>
              <w:t>Requêtes reçues en :</w:t>
            </w:r>
          </w:p>
        </w:tc>
        <w:tc>
          <w:tcPr>
            <w:tcW w:w="1794" w:type="dxa"/>
          </w:tcPr>
          <w:p w:rsidR="00000000" w:rsidRDefault="00000000">
            <w:pPr>
              <w:autoSpaceDE w:val="0"/>
              <w:autoSpaceDN w:val="0"/>
              <w:adjustRightInd w:val="0"/>
              <w:spacing w:before="60" w:after="60"/>
              <w:ind w:right="454"/>
              <w:jc w:val="right"/>
              <w:rPr>
                <w:lang w:val="fr-FR"/>
              </w:rPr>
            </w:pPr>
          </w:p>
        </w:tc>
      </w:tr>
      <w:tr w:rsidR="00000000">
        <w:tblPrEx>
          <w:tblCellMar>
            <w:top w:w="0" w:type="dxa"/>
            <w:bottom w:w="0" w:type="dxa"/>
          </w:tblCellMar>
        </w:tblPrEx>
        <w:trPr>
          <w:jc w:val="center"/>
        </w:trPr>
        <w:tc>
          <w:tcPr>
            <w:tcW w:w="5010" w:type="dxa"/>
          </w:tcPr>
          <w:p w:rsidR="00000000" w:rsidRDefault="00000000">
            <w:pPr>
              <w:autoSpaceDE w:val="0"/>
              <w:autoSpaceDN w:val="0"/>
              <w:adjustRightInd w:val="0"/>
              <w:spacing w:before="60"/>
              <w:rPr>
                <w:lang w:val="fr-FR"/>
              </w:rPr>
            </w:pPr>
            <w:r>
              <w:rPr>
                <w:lang w:val="fr-FR"/>
              </w:rPr>
              <w:tab/>
              <w:t>Habeas corpus</w:t>
            </w:r>
          </w:p>
        </w:tc>
        <w:tc>
          <w:tcPr>
            <w:tcW w:w="1794" w:type="dxa"/>
          </w:tcPr>
          <w:p w:rsidR="00000000" w:rsidRDefault="00000000">
            <w:pPr>
              <w:autoSpaceDE w:val="0"/>
              <w:autoSpaceDN w:val="0"/>
              <w:adjustRightInd w:val="0"/>
              <w:spacing w:before="60"/>
              <w:ind w:right="454"/>
              <w:jc w:val="right"/>
              <w:rPr>
                <w:lang w:val="fr-FR"/>
              </w:rPr>
            </w:pPr>
            <w:r>
              <w:rPr>
                <w:lang w:val="fr-FR"/>
              </w:rPr>
              <w:t>495</w:t>
            </w:r>
          </w:p>
        </w:tc>
      </w:tr>
      <w:tr w:rsidR="00000000">
        <w:tblPrEx>
          <w:tblCellMar>
            <w:top w:w="0" w:type="dxa"/>
            <w:bottom w:w="0" w:type="dxa"/>
          </w:tblCellMar>
        </w:tblPrEx>
        <w:trPr>
          <w:jc w:val="center"/>
        </w:trPr>
        <w:tc>
          <w:tcPr>
            <w:tcW w:w="5010" w:type="dxa"/>
          </w:tcPr>
          <w:p w:rsidR="00000000" w:rsidRDefault="00000000">
            <w:pPr>
              <w:autoSpaceDE w:val="0"/>
              <w:autoSpaceDN w:val="0"/>
              <w:adjustRightInd w:val="0"/>
              <w:spacing w:before="20" w:after="240"/>
              <w:rPr>
                <w:lang w:val="fr-FR"/>
              </w:rPr>
            </w:pPr>
            <w:r>
              <w:rPr>
                <w:lang w:val="fr-FR"/>
              </w:rPr>
              <w:tab/>
              <w:t>Recours en habeas corpus acceptés</w:t>
            </w:r>
          </w:p>
        </w:tc>
        <w:tc>
          <w:tcPr>
            <w:tcW w:w="1794" w:type="dxa"/>
          </w:tcPr>
          <w:p w:rsidR="00000000" w:rsidRDefault="00000000">
            <w:pPr>
              <w:autoSpaceDE w:val="0"/>
              <w:autoSpaceDN w:val="0"/>
              <w:adjustRightInd w:val="0"/>
              <w:spacing w:before="20" w:after="60"/>
              <w:ind w:right="454"/>
              <w:jc w:val="right"/>
              <w:rPr>
                <w:lang w:val="fr-FR"/>
              </w:rPr>
            </w:pPr>
            <w:r>
              <w:rPr>
                <w:lang w:val="fr-FR"/>
              </w:rPr>
              <w:t>357</w:t>
            </w:r>
          </w:p>
        </w:tc>
      </w:tr>
      <w:tr w:rsidR="00000000">
        <w:tblPrEx>
          <w:tblCellMar>
            <w:top w:w="0" w:type="dxa"/>
            <w:bottom w:w="0" w:type="dxa"/>
          </w:tblCellMar>
        </w:tblPrEx>
        <w:trPr>
          <w:jc w:val="center"/>
        </w:trPr>
        <w:tc>
          <w:tcPr>
            <w:tcW w:w="5010" w:type="dxa"/>
          </w:tcPr>
          <w:p w:rsidR="00000000" w:rsidRDefault="00000000">
            <w:pPr>
              <w:autoSpaceDE w:val="0"/>
              <w:autoSpaceDN w:val="0"/>
              <w:adjustRightInd w:val="0"/>
              <w:rPr>
                <w:lang w:val="fr-FR"/>
              </w:rPr>
            </w:pPr>
            <w:r>
              <w:rPr>
                <w:lang w:val="fr-FR"/>
              </w:rPr>
              <w:tab/>
              <w:t>Habeas data</w:t>
            </w:r>
          </w:p>
        </w:tc>
        <w:tc>
          <w:tcPr>
            <w:tcW w:w="1794" w:type="dxa"/>
          </w:tcPr>
          <w:p w:rsidR="00000000" w:rsidRDefault="00000000">
            <w:pPr>
              <w:autoSpaceDE w:val="0"/>
              <w:autoSpaceDN w:val="0"/>
              <w:adjustRightInd w:val="0"/>
              <w:ind w:right="454"/>
              <w:jc w:val="right"/>
              <w:rPr>
                <w:lang w:val="fr-FR"/>
              </w:rPr>
            </w:pPr>
            <w:r>
              <w:rPr>
                <w:lang w:val="fr-FR"/>
              </w:rPr>
              <w:t>30</w:t>
            </w:r>
          </w:p>
        </w:tc>
      </w:tr>
      <w:tr w:rsidR="00000000">
        <w:tblPrEx>
          <w:tblCellMar>
            <w:top w:w="0" w:type="dxa"/>
            <w:bottom w:w="0" w:type="dxa"/>
          </w:tblCellMar>
        </w:tblPrEx>
        <w:trPr>
          <w:jc w:val="center"/>
        </w:trPr>
        <w:tc>
          <w:tcPr>
            <w:tcW w:w="5010" w:type="dxa"/>
          </w:tcPr>
          <w:p w:rsidR="00000000" w:rsidRDefault="00000000">
            <w:pPr>
              <w:autoSpaceDE w:val="0"/>
              <w:autoSpaceDN w:val="0"/>
              <w:adjustRightInd w:val="0"/>
              <w:spacing w:after="240"/>
              <w:rPr>
                <w:lang w:val="fr-FR"/>
              </w:rPr>
            </w:pPr>
            <w:r>
              <w:rPr>
                <w:lang w:val="fr-FR"/>
              </w:rPr>
              <w:tab/>
              <w:t>Recours en habeas data acceptés</w:t>
            </w:r>
          </w:p>
        </w:tc>
        <w:tc>
          <w:tcPr>
            <w:tcW w:w="1794" w:type="dxa"/>
          </w:tcPr>
          <w:p w:rsidR="00000000" w:rsidRDefault="00000000">
            <w:pPr>
              <w:autoSpaceDE w:val="0"/>
              <w:autoSpaceDN w:val="0"/>
              <w:adjustRightInd w:val="0"/>
              <w:spacing w:before="20" w:after="120"/>
              <w:ind w:right="454"/>
              <w:jc w:val="right"/>
              <w:rPr>
                <w:lang w:val="fr-FR"/>
              </w:rPr>
            </w:pPr>
            <w:r>
              <w:rPr>
                <w:lang w:val="fr-FR"/>
              </w:rPr>
              <w:t>26</w:t>
            </w:r>
          </w:p>
        </w:tc>
      </w:tr>
      <w:tr w:rsidR="00000000">
        <w:tblPrEx>
          <w:tblCellMar>
            <w:top w:w="0" w:type="dxa"/>
            <w:bottom w:w="0" w:type="dxa"/>
          </w:tblCellMar>
        </w:tblPrEx>
        <w:trPr>
          <w:jc w:val="center"/>
        </w:trPr>
        <w:tc>
          <w:tcPr>
            <w:tcW w:w="5010" w:type="dxa"/>
          </w:tcPr>
          <w:p w:rsidR="00000000" w:rsidRDefault="00000000">
            <w:pPr>
              <w:autoSpaceDE w:val="0"/>
              <w:autoSpaceDN w:val="0"/>
              <w:adjustRightInd w:val="0"/>
              <w:spacing w:after="20"/>
              <w:rPr>
                <w:lang w:val="fr-FR"/>
              </w:rPr>
            </w:pPr>
            <w:r>
              <w:rPr>
                <w:lang w:val="fr-FR"/>
              </w:rPr>
              <w:tab/>
              <w:t>Amparo</w:t>
            </w:r>
          </w:p>
        </w:tc>
        <w:tc>
          <w:tcPr>
            <w:tcW w:w="1794" w:type="dxa"/>
          </w:tcPr>
          <w:p w:rsidR="00000000" w:rsidRDefault="00000000">
            <w:pPr>
              <w:autoSpaceDE w:val="0"/>
              <w:autoSpaceDN w:val="0"/>
              <w:adjustRightInd w:val="0"/>
              <w:spacing w:before="60" w:after="20"/>
              <w:ind w:right="454"/>
              <w:jc w:val="right"/>
              <w:rPr>
                <w:lang w:val="fr-FR"/>
              </w:rPr>
            </w:pPr>
            <w:r>
              <w:rPr>
                <w:lang w:val="fr-FR"/>
              </w:rPr>
              <w:t>186</w:t>
            </w:r>
          </w:p>
        </w:tc>
      </w:tr>
      <w:tr w:rsidR="00000000">
        <w:tblPrEx>
          <w:tblCellMar>
            <w:top w:w="0" w:type="dxa"/>
            <w:bottom w:w="0" w:type="dxa"/>
          </w:tblCellMar>
        </w:tblPrEx>
        <w:trPr>
          <w:jc w:val="center"/>
        </w:trPr>
        <w:tc>
          <w:tcPr>
            <w:tcW w:w="5010" w:type="dxa"/>
          </w:tcPr>
          <w:p w:rsidR="00000000" w:rsidRDefault="00000000">
            <w:pPr>
              <w:autoSpaceDE w:val="0"/>
              <w:autoSpaceDN w:val="0"/>
              <w:adjustRightInd w:val="0"/>
              <w:rPr>
                <w:lang w:val="fr-FR"/>
              </w:rPr>
            </w:pPr>
            <w:r>
              <w:rPr>
                <w:lang w:val="fr-FR"/>
              </w:rPr>
              <w:tab/>
              <w:t>Recours en amparo acceptés</w:t>
            </w:r>
            <w:r>
              <w:rPr>
                <w:rStyle w:val="FootnoteReference"/>
                <w:b/>
                <w:lang w:val="fr-FR"/>
              </w:rPr>
              <w:footnoteReference w:id="12"/>
            </w:r>
          </w:p>
        </w:tc>
        <w:tc>
          <w:tcPr>
            <w:tcW w:w="1794" w:type="dxa"/>
          </w:tcPr>
          <w:p w:rsidR="00000000" w:rsidRDefault="00000000">
            <w:pPr>
              <w:autoSpaceDE w:val="0"/>
              <w:autoSpaceDN w:val="0"/>
              <w:adjustRightInd w:val="0"/>
              <w:ind w:right="454"/>
              <w:jc w:val="right"/>
              <w:rPr>
                <w:lang w:val="fr-FR"/>
              </w:rPr>
            </w:pPr>
            <w:r>
              <w:rPr>
                <w:lang w:val="fr-FR"/>
              </w:rPr>
              <w:t>136</w:t>
            </w:r>
          </w:p>
        </w:tc>
      </w:tr>
    </w:tbl>
    <w:p w:rsidR="00000000" w:rsidRDefault="00000000">
      <w:pPr>
        <w:autoSpaceDE w:val="0"/>
        <w:autoSpaceDN w:val="0"/>
        <w:adjustRightInd w:val="0"/>
        <w:spacing w:before="480" w:after="240"/>
        <w:rPr>
          <w:lang w:val="fr-FR"/>
        </w:rPr>
      </w:pPr>
      <w:r>
        <w:rPr>
          <w:lang w:val="fr-FR"/>
        </w:rPr>
        <w:t>40.</w:t>
      </w:r>
      <w:r>
        <w:rPr>
          <w:lang w:val="fr-FR"/>
        </w:rPr>
        <w:tab/>
        <w:t>La plus grande partie des plaintes pour violation présumée des droits de l'homme étaient dirigées contre la police, l’appareil judiciaire, les administrations locales, les entreprises publiques et privées et les forces armées.</w:t>
      </w:r>
    </w:p>
    <w:p w:rsidR="00000000" w:rsidRDefault="00000000">
      <w:pPr>
        <w:autoSpaceDE w:val="0"/>
        <w:autoSpaceDN w:val="0"/>
        <w:adjustRightInd w:val="0"/>
        <w:spacing w:after="240"/>
        <w:rPr>
          <w:lang w:val="fr-FR"/>
        </w:rPr>
      </w:pPr>
      <w:r>
        <w:rPr>
          <w:lang w:val="fr-FR"/>
        </w:rPr>
        <w:t>41.</w:t>
      </w:r>
      <w:r>
        <w:rPr>
          <w:lang w:val="fr-FR"/>
        </w:rPr>
        <w:tab/>
        <w:t>L'intervention citoyenne est essentielle pour permettre aux citoyens de faire dûment valoir leurs droits.</w:t>
      </w:r>
    </w:p>
    <w:p w:rsidR="00000000" w:rsidRDefault="00000000">
      <w:pPr>
        <w:autoSpaceDE w:val="0"/>
        <w:autoSpaceDN w:val="0"/>
        <w:adjustRightInd w:val="0"/>
        <w:spacing w:after="240"/>
        <w:rPr>
          <w:b/>
          <w:bCs/>
          <w:lang w:val="fr-FR"/>
        </w:rPr>
      </w:pPr>
      <w:r>
        <w:rPr>
          <w:b/>
          <w:bCs/>
          <w:lang w:val="fr-FR"/>
        </w:rPr>
        <w:t>Article 6</w:t>
      </w:r>
    </w:p>
    <w:p w:rsidR="00000000" w:rsidRDefault="00000000">
      <w:pPr>
        <w:autoSpaceDE w:val="0"/>
        <w:autoSpaceDN w:val="0"/>
        <w:adjustRightInd w:val="0"/>
        <w:spacing w:after="240"/>
        <w:rPr>
          <w:lang w:val="fr-FR"/>
        </w:rPr>
      </w:pPr>
      <w:r>
        <w:rPr>
          <w:b/>
          <w:bCs/>
          <w:lang w:val="fr-FR"/>
        </w:rPr>
        <w:t>Emploi et modernisation</w:t>
      </w:r>
    </w:p>
    <w:p w:rsidR="00000000" w:rsidRDefault="00000000">
      <w:pPr>
        <w:autoSpaceDE w:val="0"/>
        <w:autoSpaceDN w:val="0"/>
        <w:adjustRightInd w:val="0"/>
        <w:spacing w:after="240"/>
        <w:rPr>
          <w:lang w:val="fr-FR"/>
        </w:rPr>
      </w:pPr>
      <w:r>
        <w:rPr>
          <w:lang w:val="fr-FR"/>
        </w:rPr>
        <w:t>42.</w:t>
      </w:r>
      <w:r>
        <w:rPr>
          <w:lang w:val="fr-FR"/>
        </w:rPr>
        <w:tab/>
        <w:t>En sa qualité de membre de l'Organisation internationale du Travail (OIT), l'Équateur a adhéré à la Convention N° 122 concernant la politique de l'emploi et à la Convention N° 111 concernant la discrimination en matière d'emploi et de profession; il est aussi partie à la Convention internationale sur l'élimination de toutes les formes de discrimination raciale et à la Convention sur l'élimination de toutes les formes de discrimination à l'égard des femmes.  Il a présenté aux comités compétents chargés de suivre l'application de ces instruments des rapports concernant les dispositions du présent article.</w:t>
      </w:r>
    </w:p>
    <w:p w:rsidR="00000000" w:rsidRDefault="00000000">
      <w:pPr>
        <w:autoSpaceDE w:val="0"/>
        <w:autoSpaceDN w:val="0"/>
        <w:adjustRightInd w:val="0"/>
        <w:spacing w:after="240"/>
        <w:rPr>
          <w:lang w:val="fr-FR"/>
        </w:rPr>
      </w:pPr>
      <w:r>
        <w:rPr>
          <w:lang w:val="fr-FR"/>
        </w:rPr>
        <w:t>43.</w:t>
      </w:r>
      <w:r>
        <w:rPr>
          <w:lang w:val="fr-FR"/>
        </w:rPr>
        <w:tab/>
        <w:t>La nouvelle Constitution (chap. 4, deuxième section, art. 35) dispose que "le travail est un droit et un devoir social.  Il bénéficie de la protection de l'État qui garantit au travailleur le respect de sa dignité, une existence digne et une rémunération équitable qui permet de satisfaire à ses besoins et à ceux de sa famille".</w:t>
      </w:r>
    </w:p>
    <w:p w:rsidR="00000000" w:rsidRDefault="00000000">
      <w:pPr>
        <w:autoSpaceDE w:val="0"/>
        <w:autoSpaceDN w:val="0"/>
        <w:adjustRightInd w:val="0"/>
        <w:spacing w:after="240"/>
        <w:rPr>
          <w:lang w:val="fr-FR"/>
        </w:rPr>
      </w:pPr>
      <w:r>
        <w:rPr>
          <w:lang w:val="fr-FR"/>
        </w:rPr>
        <w:t>44.</w:t>
      </w:r>
      <w:r>
        <w:rPr>
          <w:lang w:val="fr-FR"/>
        </w:rPr>
        <w:tab/>
        <w:t>Le Code du travail, dans son article premier, définit le cadre et les principes qui régissent les relations entre les employeurs et les travailleurs suivant les diverses modalités et conditions de travail, et reprend les dispositions de diverses lois spéciales ou convention internationales relatives au travail.</w:t>
      </w:r>
    </w:p>
    <w:p w:rsidR="00000000" w:rsidRDefault="00000000">
      <w:pPr>
        <w:autoSpaceDE w:val="0"/>
        <w:autoSpaceDN w:val="0"/>
        <w:adjustRightInd w:val="0"/>
        <w:spacing w:after="240"/>
        <w:rPr>
          <w:lang w:val="fr-FR"/>
        </w:rPr>
      </w:pPr>
      <w:r>
        <w:rPr>
          <w:lang w:val="fr-FR"/>
        </w:rPr>
        <w:t>45.</w:t>
      </w:r>
      <w:r>
        <w:rPr>
          <w:lang w:val="fr-FR"/>
        </w:rPr>
        <w:tab/>
        <w:t>La législation équatorienne garantit la liberté de travail et d'embauche.  Ainsi, l'article 3 du Code du travail garantit le droit du travailleur de choisir librement son travail, et affirme que tout travail doit être rémunéré.</w:t>
      </w:r>
    </w:p>
    <w:p w:rsidR="00000000" w:rsidRDefault="00000000">
      <w:pPr>
        <w:autoSpaceDE w:val="0"/>
        <w:autoSpaceDN w:val="0"/>
        <w:adjustRightInd w:val="0"/>
        <w:spacing w:after="240"/>
        <w:rPr>
          <w:lang w:val="fr-FR"/>
        </w:rPr>
      </w:pPr>
      <w:r>
        <w:rPr>
          <w:lang w:val="fr-FR"/>
        </w:rPr>
        <w:t>46.</w:t>
      </w:r>
      <w:r>
        <w:rPr>
          <w:lang w:val="fr-FR"/>
        </w:rPr>
        <w:tab/>
        <w:t>La Loi relative à la protection de la femme au travail (</w:t>
      </w:r>
      <w:r>
        <w:rPr>
          <w:i/>
          <w:iCs/>
          <w:lang w:val="fr-FR"/>
        </w:rPr>
        <w:t>Journal officiel</w:t>
      </w:r>
      <w:r>
        <w:rPr>
          <w:lang w:val="fr-FR"/>
        </w:rPr>
        <w:t xml:space="preserve"> N° 124 du 6 février 1997), par laquelle a été modifié le Code du travail, prévoit, dans son article premier, la fixation d'un pourcentage minimum de femmes au travail, que détermineront les commissions sectorielles du Ministère du travail.  Elle introduit dans la Loi d’organisation de l'appareil judiciaire des modifications qui visent à réduire la discrimination à l’encontre des femmes et en vertu desquelles les juridictions supérieures doivent réserver aux femmes un minimum de 20 % des postes de juges, notaires, greffiers, etc.  </w:t>
      </w:r>
    </w:p>
    <w:p w:rsidR="00000000" w:rsidRDefault="00000000">
      <w:pPr>
        <w:autoSpaceDE w:val="0"/>
        <w:autoSpaceDN w:val="0"/>
        <w:adjustRightInd w:val="0"/>
        <w:spacing w:after="240"/>
        <w:rPr>
          <w:lang w:val="fr-FR"/>
        </w:rPr>
      </w:pPr>
      <w:r>
        <w:rPr>
          <w:lang w:val="fr-FR"/>
        </w:rPr>
        <w:t>47.</w:t>
      </w:r>
      <w:r>
        <w:rPr>
          <w:lang w:val="fr-FR"/>
        </w:rPr>
        <w:tab/>
        <w:t>L'article 4 de la loi susmentionnée prévoit que les employées du secteur privé peuvent adresser leurs plaintes à l'inspecteur ou sous-inspecteur du travail pour exiger l'application de la loi.</w:t>
      </w:r>
    </w:p>
    <w:p w:rsidR="00000000" w:rsidRDefault="00000000">
      <w:pPr>
        <w:autoSpaceDE w:val="0"/>
        <w:autoSpaceDN w:val="0"/>
        <w:adjustRightInd w:val="0"/>
        <w:spacing w:after="240"/>
        <w:rPr>
          <w:lang w:val="fr-FR"/>
        </w:rPr>
      </w:pPr>
      <w:r>
        <w:rPr>
          <w:b/>
          <w:bCs/>
          <w:lang w:val="fr-FR"/>
        </w:rPr>
        <w:t>Politique de l'emploi</w:t>
      </w:r>
    </w:p>
    <w:p w:rsidR="00000000" w:rsidRDefault="00000000">
      <w:pPr>
        <w:autoSpaceDE w:val="0"/>
        <w:autoSpaceDN w:val="0"/>
        <w:adjustRightInd w:val="0"/>
        <w:spacing w:after="240"/>
        <w:rPr>
          <w:lang w:val="fr-FR"/>
        </w:rPr>
      </w:pPr>
      <w:r>
        <w:rPr>
          <w:lang w:val="fr-FR"/>
        </w:rPr>
        <w:t>48.</w:t>
      </w:r>
      <w:r>
        <w:rPr>
          <w:lang w:val="fr-FR"/>
        </w:rPr>
        <w:tab/>
        <w:t>Les problèmes liés à la crise économique qu'a connue le pays se sont traduits par une dégradation de la situation sociale, provoquant un accroissement de la pauvreté et des inégalités sociales.  En Équateur, plus de 78,5 % de la population est pauvre et 46,2 % est dans la misère, c'est-à-dire ne peut satisfaire ses besoins alimentaires minimums.  Le nombre de foyers dont les revenus se situent en dessous du seuil de pauvreté a augmenté au cours des dernières années, imposant un sérieux frein au développement économique.</w:t>
      </w:r>
    </w:p>
    <w:p w:rsidR="00000000" w:rsidRDefault="00000000">
      <w:pPr>
        <w:autoSpaceDE w:val="0"/>
        <w:autoSpaceDN w:val="0"/>
        <w:adjustRightInd w:val="0"/>
        <w:spacing w:after="240"/>
        <w:rPr>
          <w:lang w:val="fr-FR"/>
        </w:rPr>
      </w:pPr>
      <w:r>
        <w:rPr>
          <w:lang w:val="fr-FR"/>
        </w:rPr>
        <w:t>49.</w:t>
      </w:r>
      <w:r>
        <w:rPr>
          <w:lang w:val="fr-FR"/>
        </w:rPr>
        <w:tab/>
        <w:t>Les habitants des zones rurales, en particulier les populations autochtone et noire, vivent dans des conditions de marginalité et d'exclusion sociale héritées du passé.  Leur principal problème est la difficulté d'accès à la terre, qui tient à la très forte concentration de la propriété foncière, que le faible impact des lois de réforme agraire de 1964 et 1973 sur la redistribution n’a pas permis de corriger.</w:t>
      </w:r>
    </w:p>
    <w:p w:rsidR="00000000" w:rsidRDefault="00000000">
      <w:pPr>
        <w:autoSpaceDE w:val="0"/>
        <w:autoSpaceDN w:val="0"/>
        <w:adjustRightInd w:val="0"/>
        <w:spacing w:after="240"/>
        <w:rPr>
          <w:lang w:val="fr-FR"/>
        </w:rPr>
      </w:pPr>
      <w:r>
        <w:rPr>
          <w:lang w:val="fr-FR"/>
        </w:rPr>
        <w:t>50.</w:t>
      </w:r>
      <w:r>
        <w:rPr>
          <w:lang w:val="fr-FR"/>
        </w:rPr>
        <w:tab/>
        <w:t xml:space="preserve">La population des campagnes souffre du manque de possibilités d'emploi rural, la majorité des travailleurs étant sous-employés, avec des taux d'analphabétisme élevés et de faibles niveaux de scolarisation, vivant dans des conditions précaires et souffrant de la pénurie de services essentiels; cela se traduit par une très faible productivité et des faibles revenus liés à une économie de subsistance fondée sur l'exploitation de minuscules lopins de terre (minifundios).  Aux pratiques culturales précaires et traditionnelles sur des terres souvent en pente, sans irrigation et exposées à l'érosion, s'ajoute le manque de crédit et d'assistance technique; ces conditions poussent à l'exode rural vers les grandes villes, en particulier Quito et Guayaquil, où se forment à la périphérie des "ceintures de misère", des quartiers qui n'ont souvent pas encore d’existence légale. </w:t>
      </w:r>
    </w:p>
    <w:p w:rsidR="00000000" w:rsidRDefault="00000000">
      <w:pPr>
        <w:autoSpaceDE w:val="0"/>
        <w:autoSpaceDN w:val="0"/>
        <w:adjustRightInd w:val="0"/>
        <w:spacing w:after="240"/>
        <w:rPr>
          <w:lang w:val="fr-FR"/>
        </w:rPr>
      </w:pPr>
      <w:r>
        <w:rPr>
          <w:lang w:val="fr-FR"/>
        </w:rPr>
        <w:t>51.</w:t>
      </w:r>
      <w:r>
        <w:rPr>
          <w:lang w:val="fr-FR"/>
        </w:rPr>
        <w:tab/>
        <w:t>En 1990, la population rurale s'élevait à 4 384 695 habitants pour l'ensemble du pays, dont 49 % de femmes et 51 % d'hommes.  Cette population est occupée à 96 % (soit un taux de chômage de 4 %), 64,8 % des personnes occupées étant des hommes et 35,2 % des femmes; la population économiquement inactive (PEI) représente 36,9 % de la population en âge de travailler (PET).</w:t>
      </w:r>
    </w:p>
    <w:p w:rsidR="00000000" w:rsidRDefault="00000000">
      <w:pPr>
        <w:autoSpaceDE w:val="0"/>
        <w:autoSpaceDN w:val="0"/>
        <w:adjustRightInd w:val="0"/>
        <w:spacing w:after="240"/>
        <w:rPr>
          <w:lang w:val="fr-FR"/>
        </w:rPr>
      </w:pPr>
      <w:r>
        <w:rPr>
          <w:lang w:val="fr-FR"/>
        </w:rPr>
        <w:t>52.</w:t>
      </w:r>
      <w:r>
        <w:rPr>
          <w:lang w:val="fr-FR"/>
        </w:rPr>
        <w:tab/>
        <w:t>La répartition des travailleurs occupés du secteur rural dans l'économie est la suivante : 14 % dans le secteur moderne, 85 % dans le secteur traditionnel et 0,9 % dans les services domestiques.  Si l’on considère la branche d'activité, 65 % travaillent dans l'agriculture, 10,2 % dans l'industrie manufacturière et 10 % dans le commerce et la restauration.</w:t>
      </w:r>
    </w:p>
    <w:p w:rsidR="00000000" w:rsidRDefault="00000000">
      <w:pPr>
        <w:autoSpaceDE w:val="0"/>
        <w:autoSpaceDN w:val="0"/>
        <w:adjustRightInd w:val="0"/>
        <w:spacing w:after="240"/>
        <w:rPr>
          <w:lang w:val="fr-FR"/>
        </w:rPr>
      </w:pPr>
      <w:r>
        <w:rPr>
          <w:lang w:val="fr-FR"/>
        </w:rPr>
        <w:t>53.</w:t>
      </w:r>
      <w:r>
        <w:rPr>
          <w:lang w:val="fr-FR"/>
        </w:rPr>
        <w:tab/>
        <w:t>Le taux de chômage dans le secteur rural est de 4 %, pourcentage qui se décompose en 62 % de femmes et 37 % d'hommes.  Le chômage est plus élevé dans les zones urbaines que dans les zones rurales.</w:t>
      </w:r>
    </w:p>
    <w:p w:rsidR="00000000" w:rsidRDefault="00000000">
      <w:pPr>
        <w:autoSpaceDE w:val="0"/>
        <w:autoSpaceDN w:val="0"/>
        <w:adjustRightInd w:val="0"/>
        <w:spacing w:before="120" w:after="240"/>
        <w:jc w:val="center"/>
        <w:rPr>
          <w:b/>
          <w:bCs/>
          <w:sz w:val="20"/>
          <w:lang w:val="fr-FR"/>
        </w:rPr>
      </w:pPr>
      <w:r>
        <w:rPr>
          <w:b/>
          <w:bCs/>
          <w:sz w:val="20"/>
          <w:lang w:val="fr-FR"/>
        </w:rPr>
        <w:t>Population rurale totale nationale, 1990</w:t>
      </w:r>
    </w:p>
    <w:tbl>
      <w:tblPr>
        <w:tblW w:w="8505" w:type="dxa"/>
        <w:jc w:val="center"/>
        <w:tblLayout w:type="fixed"/>
        <w:tblCellMar>
          <w:left w:w="70" w:type="dxa"/>
          <w:right w:w="70" w:type="dxa"/>
        </w:tblCellMar>
        <w:tblLook w:val="0000" w:firstRow="0" w:lastRow="0" w:firstColumn="0" w:lastColumn="0" w:noHBand="0" w:noVBand="0"/>
      </w:tblPr>
      <w:tblGrid>
        <w:gridCol w:w="5399"/>
        <w:gridCol w:w="1413"/>
        <w:gridCol w:w="1693"/>
      </w:tblGrid>
      <w:tr w:rsidR="00000000">
        <w:tblPrEx>
          <w:tblCellMar>
            <w:top w:w="0" w:type="dxa"/>
            <w:bottom w:w="0" w:type="dxa"/>
          </w:tblCellMar>
        </w:tblPrEx>
        <w:trPr>
          <w:jc w:val="center"/>
        </w:trPr>
        <w:tc>
          <w:tcPr>
            <w:tcW w:w="4637" w:type="dxa"/>
            <w:tcBorders>
              <w:top w:val="single" w:sz="4" w:space="0" w:color="auto"/>
              <w:bottom w:val="single" w:sz="4" w:space="0" w:color="auto"/>
            </w:tcBorders>
            <w:vAlign w:val="center"/>
          </w:tcPr>
          <w:p w:rsidR="00000000" w:rsidRDefault="00000000">
            <w:pPr>
              <w:spacing w:before="60" w:after="60"/>
              <w:jc w:val="center"/>
              <w:rPr>
                <w:b/>
                <w:bCs/>
                <w:i/>
                <w:iCs/>
                <w:color w:val="000000"/>
                <w:sz w:val="18"/>
                <w:lang w:val="fr-FR"/>
              </w:rPr>
            </w:pPr>
          </w:p>
        </w:tc>
        <w:tc>
          <w:tcPr>
            <w:tcW w:w="1214" w:type="dxa"/>
            <w:tcBorders>
              <w:top w:val="single" w:sz="4" w:space="0" w:color="auto"/>
              <w:bottom w:val="single" w:sz="4" w:space="0" w:color="auto"/>
            </w:tcBorders>
            <w:vAlign w:val="center"/>
          </w:tcPr>
          <w:p w:rsidR="00000000" w:rsidRDefault="00000000">
            <w:pPr>
              <w:spacing w:before="60" w:after="60"/>
              <w:jc w:val="center"/>
              <w:rPr>
                <w:b/>
                <w:bCs/>
                <w:i/>
                <w:iCs/>
                <w:color w:val="000000"/>
                <w:sz w:val="18"/>
                <w:lang w:val="fr-FR"/>
              </w:rPr>
            </w:pPr>
            <w:r>
              <w:rPr>
                <w:b/>
                <w:bCs/>
                <w:i/>
                <w:iCs/>
                <w:color w:val="000000"/>
                <w:sz w:val="18"/>
                <w:lang w:val="fr-FR"/>
              </w:rPr>
              <w:t>Total</w:t>
            </w:r>
          </w:p>
        </w:tc>
        <w:tc>
          <w:tcPr>
            <w:tcW w:w="1454" w:type="dxa"/>
            <w:tcBorders>
              <w:top w:val="single" w:sz="4" w:space="0" w:color="auto"/>
              <w:bottom w:val="single" w:sz="4" w:space="0" w:color="auto"/>
            </w:tcBorders>
            <w:vAlign w:val="center"/>
          </w:tcPr>
          <w:p w:rsidR="00000000" w:rsidRDefault="00000000">
            <w:pPr>
              <w:spacing w:before="60" w:after="60"/>
              <w:ind w:right="-416"/>
              <w:jc w:val="center"/>
              <w:rPr>
                <w:b/>
                <w:bCs/>
                <w:i/>
                <w:iCs/>
                <w:color w:val="000000"/>
                <w:sz w:val="18"/>
                <w:lang w:val="fr-FR"/>
              </w:rPr>
            </w:pPr>
            <w:r>
              <w:rPr>
                <w:b/>
                <w:bCs/>
                <w:i/>
                <w:iCs/>
                <w:color w:val="000000"/>
                <w:sz w:val="18"/>
                <w:lang w:val="fr-FR"/>
              </w:rPr>
              <w:t>Pourcentage</w:t>
            </w:r>
          </w:p>
        </w:tc>
      </w:tr>
      <w:tr w:rsidR="00000000">
        <w:tblPrEx>
          <w:tblCellMar>
            <w:top w:w="0" w:type="dxa"/>
            <w:bottom w:w="0" w:type="dxa"/>
          </w:tblCellMar>
        </w:tblPrEx>
        <w:trPr>
          <w:jc w:val="center"/>
        </w:trPr>
        <w:tc>
          <w:tcPr>
            <w:tcW w:w="4637" w:type="dxa"/>
            <w:tcBorders>
              <w:top w:val="single" w:sz="4" w:space="0" w:color="auto"/>
            </w:tcBorders>
          </w:tcPr>
          <w:p w:rsidR="00000000" w:rsidRDefault="00000000">
            <w:pPr>
              <w:spacing w:before="40" w:after="40"/>
              <w:rPr>
                <w:color w:val="000000"/>
                <w:sz w:val="20"/>
                <w:lang w:val="fr-FR"/>
              </w:rPr>
            </w:pPr>
            <w:r>
              <w:rPr>
                <w:color w:val="000000"/>
                <w:sz w:val="20"/>
                <w:lang w:val="fr-FR"/>
              </w:rPr>
              <w:t xml:space="preserve">Population totale </w:t>
            </w:r>
          </w:p>
        </w:tc>
        <w:tc>
          <w:tcPr>
            <w:tcW w:w="1214" w:type="dxa"/>
            <w:tcBorders>
              <w:top w:val="single" w:sz="4" w:space="0" w:color="auto"/>
            </w:tcBorders>
          </w:tcPr>
          <w:p w:rsidR="00000000" w:rsidRDefault="00000000">
            <w:pPr>
              <w:spacing w:before="40" w:after="40"/>
              <w:ind w:right="176"/>
              <w:jc w:val="right"/>
              <w:rPr>
                <w:color w:val="000000"/>
                <w:sz w:val="20"/>
                <w:lang w:val="fr-FR"/>
              </w:rPr>
            </w:pPr>
            <w:r>
              <w:rPr>
                <w:color w:val="000000"/>
                <w:sz w:val="20"/>
                <w:lang w:val="fr-FR"/>
              </w:rPr>
              <w:t xml:space="preserve">4 384 695 </w:t>
            </w:r>
          </w:p>
        </w:tc>
        <w:tc>
          <w:tcPr>
            <w:tcW w:w="1454" w:type="dxa"/>
            <w:tcBorders>
              <w:top w:val="single" w:sz="4" w:space="0" w:color="auto"/>
            </w:tcBorders>
          </w:tcPr>
          <w:p w:rsidR="00000000" w:rsidRDefault="00000000">
            <w:pPr>
              <w:tabs>
                <w:tab w:val="decimal" w:pos="944"/>
              </w:tabs>
              <w:spacing w:before="40" w:after="40"/>
              <w:rPr>
                <w:color w:val="000000"/>
                <w:sz w:val="20"/>
                <w:lang w:val="fr-FR"/>
              </w:rPr>
            </w:pPr>
            <w:r>
              <w:rPr>
                <w:color w:val="000000"/>
                <w:sz w:val="20"/>
                <w:lang w:val="fr-FR"/>
              </w:rPr>
              <w:t xml:space="preserve">100  </w:t>
            </w:r>
          </w:p>
        </w:tc>
      </w:tr>
      <w:tr w:rsidR="00000000">
        <w:tblPrEx>
          <w:tblCellMar>
            <w:top w:w="0" w:type="dxa"/>
            <w:bottom w:w="0" w:type="dxa"/>
          </w:tblCellMar>
        </w:tblPrEx>
        <w:trPr>
          <w:jc w:val="center"/>
        </w:trPr>
        <w:tc>
          <w:tcPr>
            <w:tcW w:w="4637" w:type="dxa"/>
          </w:tcPr>
          <w:p w:rsidR="00000000" w:rsidRDefault="00000000">
            <w:pPr>
              <w:spacing w:before="40" w:after="40"/>
              <w:ind w:left="113"/>
              <w:rPr>
                <w:color w:val="000000"/>
                <w:sz w:val="20"/>
                <w:lang w:val="fr-FR"/>
              </w:rPr>
            </w:pPr>
            <w:r>
              <w:rPr>
                <w:color w:val="000000"/>
                <w:sz w:val="20"/>
                <w:lang w:val="fr-FR"/>
              </w:rPr>
              <w:t xml:space="preserve">  Population &lt; 10 ans </w:t>
            </w:r>
          </w:p>
        </w:tc>
        <w:tc>
          <w:tcPr>
            <w:tcW w:w="1214" w:type="dxa"/>
          </w:tcPr>
          <w:p w:rsidR="00000000" w:rsidRDefault="00000000">
            <w:pPr>
              <w:spacing w:before="40" w:after="40"/>
              <w:ind w:right="176"/>
              <w:jc w:val="right"/>
              <w:rPr>
                <w:color w:val="000000"/>
                <w:sz w:val="20"/>
                <w:lang w:val="fr-FR"/>
              </w:rPr>
            </w:pPr>
            <w:r>
              <w:rPr>
                <w:color w:val="000000"/>
                <w:sz w:val="20"/>
                <w:lang w:val="fr-FR"/>
              </w:rPr>
              <w:t xml:space="preserve">1 235 387 </w:t>
            </w:r>
          </w:p>
        </w:tc>
        <w:tc>
          <w:tcPr>
            <w:tcW w:w="1454" w:type="dxa"/>
          </w:tcPr>
          <w:p w:rsidR="00000000" w:rsidRDefault="00000000">
            <w:pPr>
              <w:tabs>
                <w:tab w:val="decimal" w:pos="944"/>
              </w:tabs>
              <w:spacing w:before="40" w:after="40"/>
              <w:rPr>
                <w:color w:val="000000"/>
                <w:sz w:val="20"/>
                <w:lang w:val="fr-FR"/>
              </w:rPr>
            </w:pPr>
            <w:r>
              <w:rPr>
                <w:color w:val="000000"/>
                <w:sz w:val="20"/>
                <w:lang w:val="fr-FR"/>
              </w:rPr>
              <w:t xml:space="preserve">28,20  </w:t>
            </w:r>
          </w:p>
        </w:tc>
      </w:tr>
      <w:tr w:rsidR="00000000">
        <w:tblPrEx>
          <w:tblCellMar>
            <w:top w:w="0" w:type="dxa"/>
            <w:bottom w:w="0" w:type="dxa"/>
          </w:tblCellMar>
        </w:tblPrEx>
        <w:trPr>
          <w:jc w:val="center"/>
        </w:trPr>
        <w:tc>
          <w:tcPr>
            <w:tcW w:w="4637" w:type="dxa"/>
          </w:tcPr>
          <w:p w:rsidR="00000000" w:rsidRDefault="00000000">
            <w:pPr>
              <w:spacing w:before="40" w:after="40"/>
              <w:ind w:left="113"/>
              <w:rPr>
                <w:color w:val="000000"/>
                <w:sz w:val="20"/>
                <w:lang w:val="fr-FR"/>
              </w:rPr>
            </w:pPr>
            <w:r>
              <w:rPr>
                <w:color w:val="000000"/>
                <w:sz w:val="20"/>
                <w:lang w:val="fr-FR"/>
              </w:rPr>
              <w:t xml:space="preserve">  Population en âge de travailler </w:t>
            </w:r>
          </w:p>
        </w:tc>
        <w:tc>
          <w:tcPr>
            <w:tcW w:w="1214" w:type="dxa"/>
          </w:tcPr>
          <w:p w:rsidR="00000000" w:rsidRDefault="00000000">
            <w:pPr>
              <w:spacing w:before="40" w:after="40"/>
              <w:ind w:right="176"/>
              <w:jc w:val="right"/>
              <w:rPr>
                <w:color w:val="000000"/>
                <w:sz w:val="20"/>
                <w:lang w:val="fr-FR"/>
              </w:rPr>
            </w:pPr>
            <w:r>
              <w:rPr>
                <w:color w:val="000000"/>
                <w:sz w:val="20"/>
                <w:lang w:val="fr-FR"/>
              </w:rPr>
              <w:t xml:space="preserve">3 149 308 </w:t>
            </w:r>
          </w:p>
        </w:tc>
        <w:tc>
          <w:tcPr>
            <w:tcW w:w="1454" w:type="dxa"/>
          </w:tcPr>
          <w:p w:rsidR="00000000" w:rsidRDefault="00000000">
            <w:pPr>
              <w:tabs>
                <w:tab w:val="decimal" w:pos="944"/>
              </w:tabs>
              <w:spacing w:before="40" w:after="40"/>
              <w:rPr>
                <w:color w:val="000000"/>
                <w:sz w:val="20"/>
                <w:lang w:val="fr-FR"/>
              </w:rPr>
            </w:pPr>
            <w:r>
              <w:rPr>
                <w:color w:val="000000"/>
                <w:sz w:val="20"/>
                <w:lang w:val="fr-FR"/>
              </w:rPr>
              <w:t xml:space="preserve">71,80  </w:t>
            </w:r>
          </w:p>
        </w:tc>
      </w:tr>
      <w:tr w:rsidR="00000000">
        <w:tblPrEx>
          <w:tblCellMar>
            <w:top w:w="0" w:type="dxa"/>
            <w:bottom w:w="0" w:type="dxa"/>
          </w:tblCellMar>
        </w:tblPrEx>
        <w:trPr>
          <w:jc w:val="center"/>
        </w:trPr>
        <w:tc>
          <w:tcPr>
            <w:tcW w:w="4637" w:type="dxa"/>
          </w:tcPr>
          <w:p w:rsidR="00000000" w:rsidRDefault="00000000">
            <w:pPr>
              <w:spacing w:before="40" w:after="40"/>
              <w:ind w:left="113"/>
              <w:rPr>
                <w:color w:val="000000"/>
                <w:sz w:val="20"/>
                <w:lang w:val="fr-FR"/>
              </w:rPr>
            </w:pPr>
            <w:r>
              <w:rPr>
                <w:color w:val="000000"/>
                <w:sz w:val="20"/>
                <w:lang w:val="fr-FR"/>
              </w:rPr>
              <w:t xml:space="preserve">  Population économiquement active </w:t>
            </w:r>
          </w:p>
        </w:tc>
        <w:tc>
          <w:tcPr>
            <w:tcW w:w="1214" w:type="dxa"/>
          </w:tcPr>
          <w:p w:rsidR="00000000" w:rsidRDefault="00000000">
            <w:pPr>
              <w:spacing w:before="40" w:after="40"/>
              <w:ind w:right="176"/>
              <w:jc w:val="right"/>
              <w:rPr>
                <w:color w:val="000000"/>
                <w:sz w:val="20"/>
                <w:lang w:val="fr-FR"/>
              </w:rPr>
            </w:pPr>
            <w:r>
              <w:rPr>
                <w:color w:val="000000"/>
                <w:sz w:val="20"/>
                <w:lang w:val="fr-FR"/>
              </w:rPr>
              <w:t xml:space="preserve">1 986 435 </w:t>
            </w:r>
          </w:p>
        </w:tc>
        <w:tc>
          <w:tcPr>
            <w:tcW w:w="1454" w:type="dxa"/>
          </w:tcPr>
          <w:p w:rsidR="00000000" w:rsidRDefault="00000000">
            <w:pPr>
              <w:tabs>
                <w:tab w:val="decimal" w:pos="944"/>
              </w:tabs>
              <w:spacing w:before="40" w:after="40"/>
              <w:rPr>
                <w:color w:val="000000"/>
                <w:sz w:val="20"/>
                <w:lang w:val="fr-FR"/>
              </w:rPr>
            </w:pPr>
            <w:r>
              <w:rPr>
                <w:color w:val="000000"/>
                <w:sz w:val="20"/>
                <w:lang w:val="fr-FR"/>
              </w:rPr>
              <w:t xml:space="preserve">63,10  </w:t>
            </w:r>
          </w:p>
        </w:tc>
      </w:tr>
      <w:tr w:rsidR="00000000">
        <w:tblPrEx>
          <w:tblCellMar>
            <w:top w:w="0" w:type="dxa"/>
            <w:bottom w:w="0" w:type="dxa"/>
          </w:tblCellMar>
        </w:tblPrEx>
        <w:trPr>
          <w:jc w:val="center"/>
        </w:trPr>
        <w:tc>
          <w:tcPr>
            <w:tcW w:w="4637" w:type="dxa"/>
          </w:tcPr>
          <w:p w:rsidR="00000000" w:rsidRDefault="00000000">
            <w:pPr>
              <w:spacing w:before="40" w:after="40"/>
              <w:rPr>
                <w:color w:val="000000"/>
                <w:sz w:val="20"/>
                <w:lang w:val="fr-FR"/>
              </w:rPr>
            </w:pPr>
            <w:r>
              <w:rPr>
                <w:color w:val="000000"/>
                <w:sz w:val="20"/>
                <w:lang w:val="fr-FR"/>
              </w:rPr>
              <w:t>Chômeurs</w:t>
            </w:r>
          </w:p>
        </w:tc>
        <w:tc>
          <w:tcPr>
            <w:tcW w:w="1214" w:type="dxa"/>
          </w:tcPr>
          <w:p w:rsidR="00000000" w:rsidRDefault="00000000">
            <w:pPr>
              <w:spacing w:before="40" w:after="40"/>
              <w:ind w:right="176"/>
              <w:jc w:val="right"/>
              <w:rPr>
                <w:color w:val="000000"/>
                <w:sz w:val="20"/>
                <w:lang w:val="fr-FR"/>
              </w:rPr>
            </w:pPr>
            <w:r>
              <w:rPr>
                <w:color w:val="000000"/>
                <w:sz w:val="20"/>
                <w:lang w:val="fr-FR"/>
              </w:rPr>
              <w:t xml:space="preserve">  79 563 </w:t>
            </w:r>
          </w:p>
        </w:tc>
        <w:tc>
          <w:tcPr>
            <w:tcW w:w="1454" w:type="dxa"/>
          </w:tcPr>
          <w:p w:rsidR="00000000" w:rsidRDefault="00000000">
            <w:pPr>
              <w:tabs>
                <w:tab w:val="decimal" w:pos="944"/>
              </w:tabs>
              <w:spacing w:before="40" w:after="40"/>
              <w:rPr>
                <w:color w:val="000000"/>
                <w:sz w:val="20"/>
                <w:lang w:val="fr-FR"/>
              </w:rPr>
            </w:pPr>
            <w:r>
              <w:rPr>
                <w:color w:val="000000"/>
                <w:sz w:val="20"/>
                <w:lang w:val="fr-FR"/>
              </w:rPr>
              <w:t xml:space="preserve">4  </w:t>
            </w:r>
          </w:p>
        </w:tc>
      </w:tr>
      <w:tr w:rsidR="00000000">
        <w:tblPrEx>
          <w:tblCellMar>
            <w:top w:w="0" w:type="dxa"/>
            <w:bottom w:w="0" w:type="dxa"/>
          </w:tblCellMar>
        </w:tblPrEx>
        <w:trPr>
          <w:jc w:val="center"/>
        </w:trPr>
        <w:tc>
          <w:tcPr>
            <w:tcW w:w="4637" w:type="dxa"/>
          </w:tcPr>
          <w:p w:rsidR="00000000" w:rsidRDefault="00000000">
            <w:pPr>
              <w:spacing w:before="40" w:after="40"/>
              <w:rPr>
                <w:color w:val="000000"/>
                <w:sz w:val="20"/>
                <w:lang w:val="fr-FR"/>
              </w:rPr>
            </w:pPr>
            <w:r>
              <w:rPr>
                <w:color w:val="000000"/>
                <w:sz w:val="20"/>
                <w:lang w:val="fr-FR"/>
              </w:rPr>
              <w:t xml:space="preserve">Travailleurs occupés - total </w:t>
            </w:r>
          </w:p>
        </w:tc>
        <w:tc>
          <w:tcPr>
            <w:tcW w:w="1214" w:type="dxa"/>
          </w:tcPr>
          <w:p w:rsidR="00000000" w:rsidRDefault="00000000">
            <w:pPr>
              <w:spacing w:before="40" w:after="40"/>
              <w:ind w:right="176"/>
              <w:jc w:val="right"/>
              <w:rPr>
                <w:color w:val="000000"/>
                <w:sz w:val="20"/>
                <w:lang w:val="fr-FR"/>
              </w:rPr>
            </w:pPr>
            <w:r>
              <w:rPr>
                <w:color w:val="000000"/>
                <w:sz w:val="20"/>
                <w:lang w:val="fr-FR"/>
              </w:rPr>
              <w:t xml:space="preserve">1 906 872 </w:t>
            </w:r>
          </w:p>
        </w:tc>
        <w:tc>
          <w:tcPr>
            <w:tcW w:w="1454" w:type="dxa"/>
          </w:tcPr>
          <w:p w:rsidR="00000000" w:rsidRDefault="00000000">
            <w:pPr>
              <w:tabs>
                <w:tab w:val="decimal" w:pos="944"/>
              </w:tabs>
              <w:spacing w:before="40" w:after="40"/>
              <w:rPr>
                <w:color w:val="000000"/>
                <w:sz w:val="20"/>
                <w:lang w:val="fr-FR"/>
              </w:rPr>
            </w:pPr>
            <w:r>
              <w:rPr>
                <w:color w:val="000000"/>
                <w:sz w:val="20"/>
                <w:lang w:val="fr-FR"/>
              </w:rPr>
              <w:t xml:space="preserve">100  </w:t>
            </w:r>
          </w:p>
        </w:tc>
      </w:tr>
      <w:tr w:rsidR="00000000">
        <w:tblPrEx>
          <w:tblCellMar>
            <w:top w:w="0" w:type="dxa"/>
            <w:bottom w:w="0" w:type="dxa"/>
          </w:tblCellMar>
        </w:tblPrEx>
        <w:trPr>
          <w:jc w:val="center"/>
        </w:trPr>
        <w:tc>
          <w:tcPr>
            <w:tcW w:w="4637" w:type="dxa"/>
          </w:tcPr>
          <w:p w:rsidR="00000000" w:rsidRDefault="00000000">
            <w:pPr>
              <w:spacing w:before="40" w:after="40"/>
              <w:ind w:left="113"/>
              <w:rPr>
                <w:color w:val="000000"/>
                <w:sz w:val="20"/>
                <w:lang w:val="fr-FR"/>
              </w:rPr>
            </w:pPr>
            <w:r>
              <w:rPr>
                <w:color w:val="000000"/>
                <w:sz w:val="20"/>
                <w:lang w:val="fr-FR"/>
              </w:rPr>
              <w:t xml:space="preserve">  - secteur moderne </w:t>
            </w:r>
          </w:p>
        </w:tc>
        <w:tc>
          <w:tcPr>
            <w:tcW w:w="1214" w:type="dxa"/>
          </w:tcPr>
          <w:p w:rsidR="00000000" w:rsidRDefault="00000000">
            <w:pPr>
              <w:spacing w:before="40" w:after="40"/>
              <w:ind w:right="176"/>
              <w:jc w:val="right"/>
              <w:rPr>
                <w:color w:val="000000"/>
                <w:sz w:val="20"/>
                <w:lang w:val="fr-FR"/>
              </w:rPr>
            </w:pPr>
            <w:r>
              <w:rPr>
                <w:color w:val="000000"/>
                <w:sz w:val="20"/>
                <w:lang w:val="fr-FR"/>
              </w:rPr>
              <w:t xml:space="preserve">  268 122 </w:t>
            </w:r>
          </w:p>
        </w:tc>
        <w:tc>
          <w:tcPr>
            <w:tcW w:w="1454" w:type="dxa"/>
          </w:tcPr>
          <w:p w:rsidR="00000000" w:rsidRDefault="00000000">
            <w:pPr>
              <w:tabs>
                <w:tab w:val="decimal" w:pos="944"/>
              </w:tabs>
              <w:spacing w:before="40" w:after="40"/>
              <w:rPr>
                <w:color w:val="000000"/>
                <w:sz w:val="20"/>
                <w:lang w:val="fr-FR"/>
              </w:rPr>
            </w:pPr>
            <w:r>
              <w:rPr>
                <w:color w:val="000000"/>
                <w:sz w:val="20"/>
                <w:lang w:val="fr-FR"/>
              </w:rPr>
              <w:t xml:space="preserve">14,10  </w:t>
            </w:r>
          </w:p>
        </w:tc>
      </w:tr>
      <w:tr w:rsidR="00000000">
        <w:tblPrEx>
          <w:tblCellMar>
            <w:top w:w="0" w:type="dxa"/>
            <w:bottom w:w="0" w:type="dxa"/>
          </w:tblCellMar>
        </w:tblPrEx>
        <w:trPr>
          <w:jc w:val="center"/>
        </w:trPr>
        <w:tc>
          <w:tcPr>
            <w:tcW w:w="4637" w:type="dxa"/>
          </w:tcPr>
          <w:p w:rsidR="00000000" w:rsidRDefault="00000000">
            <w:pPr>
              <w:spacing w:before="40" w:after="40"/>
              <w:ind w:left="113"/>
              <w:rPr>
                <w:color w:val="000000"/>
                <w:sz w:val="20"/>
                <w:lang w:val="fr-FR"/>
              </w:rPr>
            </w:pPr>
            <w:r>
              <w:rPr>
                <w:color w:val="000000"/>
                <w:sz w:val="20"/>
                <w:lang w:val="fr-FR"/>
              </w:rPr>
              <w:t xml:space="preserve">  - secteur traditionnel  </w:t>
            </w:r>
          </w:p>
        </w:tc>
        <w:tc>
          <w:tcPr>
            <w:tcW w:w="1214" w:type="dxa"/>
          </w:tcPr>
          <w:p w:rsidR="00000000" w:rsidRDefault="00000000">
            <w:pPr>
              <w:spacing w:before="40" w:after="40"/>
              <w:ind w:right="176"/>
              <w:jc w:val="right"/>
              <w:rPr>
                <w:color w:val="000000"/>
                <w:sz w:val="20"/>
                <w:lang w:val="fr-FR"/>
              </w:rPr>
            </w:pPr>
            <w:r>
              <w:rPr>
                <w:color w:val="000000"/>
                <w:sz w:val="20"/>
                <w:lang w:val="fr-FR"/>
              </w:rPr>
              <w:t xml:space="preserve">1 621 361 </w:t>
            </w:r>
          </w:p>
        </w:tc>
        <w:tc>
          <w:tcPr>
            <w:tcW w:w="1454" w:type="dxa"/>
          </w:tcPr>
          <w:p w:rsidR="00000000" w:rsidRDefault="00000000">
            <w:pPr>
              <w:tabs>
                <w:tab w:val="decimal" w:pos="944"/>
              </w:tabs>
              <w:spacing w:before="40" w:after="40"/>
              <w:rPr>
                <w:color w:val="000000"/>
                <w:sz w:val="20"/>
                <w:lang w:val="fr-FR"/>
              </w:rPr>
            </w:pPr>
            <w:r>
              <w:rPr>
                <w:color w:val="000000"/>
                <w:sz w:val="20"/>
                <w:lang w:val="fr-FR"/>
              </w:rPr>
              <w:t xml:space="preserve">85  </w:t>
            </w:r>
          </w:p>
        </w:tc>
      </w:tr>
      <w:tr w:rsidR="00000000">
        <w:tblPrEx>
          <w:tblCellMar>
            <w:top w:w="0" w:type="dxa"/>
            <w:bottom w:w="0" w:type="dxa"/>
          </w:tblCellMar>
        </w:tblPrEx>
        <w:trPr>
          <w:jc w:val="center"/>
        </w:trPr>
        <w:tc>
          <w:tcPr>
            <w:tcW w:w="4637" w:type="dxa"/>
          </w:tcPr>
          <w:p w:rsidR="00000000" w:rsidRDefault="00000000">
            <w:pPr>
              <w:spacing w:before="40" w:after="40"/>
              <w:ind w:left="113"/>
              <w:rPr>
                <w:color w:val="000000"/>
                <w:sz w:val="20"/>
                <w:lang w:val="fr-FR"/>
              </w:rPr>
            </w:pPr>
            <w:r>
              <w:rPr>
                <w:color w:val="000000"/>
                <w:sz w:val="20"/>
                <w:lang w:val="fr-FR"/>
              </w:rPr>
              <w:t xml:space="preserve">  - services domestiques </w:t>
            </w:r>
          </w:p>
        </w:tc>
        <w:tc>
          <w:tcPr>
            <w:tcW w:w="1214" w:type="dxa"/>
          </w:tcPr>
          <w:p w:rsidR="00000000" w:rsidRDefault="00000000">
            <w:pPr>
              <w:spacing w:before="40" w:after="40"/>
              <w:ind w:right="176"/>
              <w:jc w:val="right"/>
              <w:rPr>
                <w:color w:val="000000"/>
                <w:sz w:val="20"/>
                <w:lang w:val="fr-FR"/>
              </w:rPr>
            </w:pPr>
            <w:r>
              <w:rPr>
                <w:color w:val="000000"/>
                <w:sz w:val="20"/>
                <w:lang w:val="fr-FR"/>
              </w:rPr>
              <w:t xml:space="preserve">  17 389 </w:t>
            </w:r>
          </w:p>
        </w:tc>
        <w:tc>
          <w:tcPr>
            <w:tcW w:w="1454" w:type="dxa"/>
          </w:tcPr>
          <w:p w:rsidR="00000000" w:rsidRDefault="00000000">
            <w:pPr>
              <w:tabs>
                <w:tab w:val="decimal" w:pos="944"/>
              </w:tabs>
              <w:spacing w:before="40" w:after="40"/>
              <w:rPr>
                <w:color w:val="000000"/>
                <w:sz w:val="20"/>
                <w:lang w:val="fr-FR"/>
              </w:rPr>
            </w:pPr>
            <w:r>
              <w:rPr>
                <w:color w:val="000000"/>
                <w:sz w:val="20"/>
                <w:lang w:val="fr-FR"/>
              </w:rPr>
              <w:t xml:space="preserve">0,91  </w:t>
            </w:r>
          </w:p>
        </w:tc>
      </w:tr>
      <w:tr w:rsidR="00000000">
        <w:tblPrEx>
          <w:tblCellMar>
            <w:top w:w="0" w:type="dxa"/>
            <w:bottom w:w="0" w:type="dxa"/>
          </w:tblCellMar>
        </w:tblPrEx>
        <w:trPr>
          <w:jc w:val="center"/>
        </w:trPr>
        <w:tc>
          <w:tcPr>
            <w:tcW w:w="4637" w:type="dxa"/>
            <w:tcBorders>
              <w:bottom w:val="single" w:sz="4" w:space="0" w:color="auto"/>
            </w:tcBorders>
          </w:tcPr>
          <w:p w:rsidR="00000000" w:rsidRDefault="00000000">
            <w:pPr>
              <w:spacing w:before="40" w:after="40"/>
              <w:rPr>
                <w:color w:val="000000"/>
                <w:sz w:val="20"/>
                <w:lang w:val="fr-FR"/>
              </w:rPr>
            </w:pPr>
            <w:r>
              <w:rPr>
                <w:color w:val="000000"/>
                <w:sz w:val="20"/>
                <w:lang w:val="fr-FR"/>
              </w:rPr>
              <w:t xml:space="preserve">Population économiquement inactive </w:t>
            </w:r>
          </w:p>
        </w:tc>
        <w:tc>
          <w:tcPr>
            <w:tcW w:w="1214" w:type="dxa"/>
            <w:tcBorders>
              <w:bottom w:val="single" w:sz="4" w:space="0" w:color="auto"/>
            </w:tcBorders>
          </w:tcPr>
          <w:p w:rsidR="00000000" w:rsidRDefault="00000000">
            <w:pPr>
              <w:spacing w:before="40" w:after="40"/>
              <w:ind w:right="176"/>
              <w:jc w:val="right"/>
              <w:rPr>
                <w:color w:val="000000"/>
                <w:sz w:val="20"/>
                <w:lang w:val="fr-FR"/>
              </w:rPr>
            </w:pPr>
            <w:r>
              <w:rPr>
                <w:color w:val="000000"/>
                <w:sz w:val="20"/>
                <w:lang w:val="fr-FR"/>
              </w:rPr>
              <w:t xml:space="preserve">1 162 873 </w:t>
            </w:r>
          </w:p>
        </w:tc>
        <w:tc>
          <w:tcPr>
            <w:tcW w:w="1454" w:type="dxa"/>
            <w:tcBorders>
              <w:bottom w:val="single" w:sz="4" w:space="0" w:color="auto"/>
            </w:tcBorders>
          </w:tcPr>
          <w:p w:rsidR="00000000" w:rsidRDefault="00000000">
            <w:pPr>
              <w:tabs>
                <w:tab w:val="decimal" w:pos="944"/>
              </w:tabs>
              <w:spacing w:before="40" w:after="40"/>
              <w:rPr>
                <w:color w:val="000000"/>
                <w:sz w:val="20"/>
                <w:lang w:val="fr-FR"/>
              </w:rPr>
            </w:pPr>
            <w:r>
              <w:rPr>
                <w:color w:val="000000"/>
                <w:sz w:val="20"/>
                <w:lang w:val="fr-FR"/>
              </w:rPr>
              <w:t xml:space="preserve">36,90  </w:t>
            </w:r>
          </w:p>
        </w:tc>
      </w:tr>
    </w:tbl>
    <w:p w:rsidR="00000000" w:rsidRDefault="00000000">
      <w:pPr>
        <w:tabs>
          <w:tab w:val="right" w:pos="1080"/>
        </w:tabs>
        <w:autoSpaceDE w:val="0"/>
        <w:autoSpaceDN w:val="0"/>
        <w:adjustRightInd w:val="0"/>
        <w:spacing w:before="80" w:after="240"/>
        <w:ind w:left="567"/>
        <w:rPr>
          <w:color w:val="000000"/>
          <w:sz w:val="20"/>
          <w:lang w:val="fr-FR"/>
        </w:rPr>
      </w:pPr>
      <w:r>
        <w:rPr>
          <w:i/>
          <w:iCs/>
          <w:color w:val="000000"/>
          <w:sz w:val="20"/>
          <w:lang w:val="fr-FR"/>
        </w:rPr>
        <w:tab/>
        <w:t>Source :</w:t>
      </w:r>
      <w:r>
        <w:rPr>
          <w:color w:val="000000"/>
          <w:sz w:val="20"/>
          <w:lang w:val="fr-FR"/>
        </w:rPr>
        <w:t xml:space="preserve">  INEM, 1990 - Enquête Permanente sur les ménages, l’emploi, le sous-emploi et  le chômage.</w:t>
      </w:r>
    </w:p>
    <w:p w:rsidR="00000000" w:rsidRDefault="00000000">
      <w:pPr>
        <w:autoSpaceDE w:val="0"/>
        <w:autoSpaceDN w:val="0"/>
        <w:adjustRightInd w:val="0"/>
        <w:spacing w:after="240"/>
        <w:rPr>
          <w:lang w:val="fr-FR"/>
        </w:rPr>
      </w:pPr>
      <w:r>
        <w:rPr>
          <w:lang w:val="fr-FR"/>
        </w:rPr>
        <w:t>54.</w:t>
      </w:r>
      <w:r>
        <w:rPr>
          <w:lang w:val="fr-FR"/>
        </w:rPr>
        <w:tab/>
        <w:t>D'après une étude réalisée par le Secrétariat technique des affaires sociales (STFS) pour 1994, la pauvreté avoisinait un taux de 70 % dans les zones rurales, et atteignait 35 % dans les zones urbaines.  "Les différences sociales entre les zones où la population autochtone est majoritaire et le reste du pays sont aussi très grandes : en 1994, la pauvreté touche 52 % de la population dans le pays, mais 80 % de la population autochtone [...].  Par région, on observe un écart notable entre l’Oriente et les autres régions du pays.  L'Oriente est la seule région où la misère atteint des proportions massives : aussi est-ce dans les zones rurales de cette région que l'on observe les pires conditions de vie et des taux de pauvreté qui, dans certains cantons comme Orellano (Napo), Morona (Morona Santiago) ou Lago Agrio (Sucumbios), se situent aux alentours de 95 %.  Dans la région de l'Amazonie, la pauvreté est fortement associée à l'énorme pénurie d'infrastructures, au faible développement du travail salarié et, surtout, à la faible productivité agricole [...].  Bien que, globalement, la Costa et la Sierra aient des niveaux de pauvreté et de misère comparables, il y a dans ce domaine des différence entre ces deux régions.  La pauvreté rurale affecte principalement la Sierra, et particulièrement les provinces de Loja (84 %), Chimborazo (81 %) et Cotopaxi (80 %).  D'une manière générale, la pauvreté rurale est moins grande dans la région de la Costa que dans la Sierra"</w:t>
      </w:r>
      <w:r>
        <w:rPr>
          <w:rStyle w:val="FootnoteReference"/>
          <w:b/>
          <w:lang w:val="fr-FR"/>
        </w:rPr>
        <w:footnoteReference w:id="13"/>
      </w:r>
    </w:p>
    <w:p w:rsidR="00000000" w:rsidRDefault="00000000">
      <w:pPr>
        <w:autoSpaceDE w:val="0"/>
        <w:autoSpaceDN w:val="0"/>
        <w:adjustRightInd w:val="0"/>
        <w:spacing w:after="240"/>
        <w:rPr>
          <w:lang w:val="fr-FR"/>
        </w:rPr>
      </w:pPr>
      <w:r>
        <w:rPr>
          <w:lang w:val="fr-FR"/>
        </w:rPr>
        <w:t>55.</w:t>
      </w:r>
      <w:r>
        <w:rPr>
          <w:lang w:val="fr-FR"/>
        </w:rPr>
        <w:tab/>
        <w:t>Dans le secteur urbain, le taux de chômage déclaré s'est accru, passant de 6,1 % en 1990 à 6,9 % en 1995, à 11,5 % en 1998 et à 14,4 % en 1999, soit une variation de 66,7 % entre 1995 et 1998, et un accroissement de 25,22 % en 1999 par rapport à l'année antérieure.  Le chômage affecte surtout une population caractérisée par l’existence de familles nombreuses et à faibles revenus.  En 1992, il a baissé de façon spectaculaire sous les effets de la migration et de la reprise économique.</w:t>
      </w:r>
    </w:p>
    <w:p w:rsidR="00000000" w:rsidRDefault="00000000">
      <w:pPr>
        <w:spacing w:after="240"/>
        <w:rPr>
          <w:color w:val="000000"/>
          <w:lang w:val="fr-FR"/>
        </w:rPr>
      </w:pPr>
    </w:p>
    <w:tbl>
      <w:tblPr>
        <w:tblW w:w="6804" w:type="dxa"/>
        <w:jc w:val="center"/>
        <w:tblBorders>
          <w:bottom w:val="single" w:sz="4" w:space="0" w:color="auto"/>
        </w:tblBorders>
        <w:tblLayout w:type="fixed"/>
        <w:tblCellMar>
          <w:left w:w="70" w:type="dxa"/>
          <w:right w:w="70" w:type="dxa"/>
        </w:tblCellMar>
        <w:tblLook w:val="0000" w:firstRow="0" w:lastRow="0" w:firstColumn="0" w:lastColumn="0" w:noHBand="0" w:noVBand="0"/>
      </w:tblPr>
      <w:tblGrid>
        <w:gridCol w:w="2661"/>
        <w:gridCol w:w="2071"/>
        <w:gridCol w:w="2072"/>
      </w:tblGrid>
      <w:tr w:rsidR="00000000">
        <w:tblPrEx>
          <w:tblCellMar>
            <w:top w:w="0" w:type="dxa"/>
            <w:bottom w:w="0" w:type="dxa"/>
          </w:tblCellMar>
        </w:tblPrEx>
        <w:trPr>
          <w:jc w:val="center"/>
        </w:trPr>
        <w:tc>
          <w:tcPr>
            <w:tcW w:w="2661" w:type="dxa"/>
            <w:tcBorders>
              <w:top w:val="single" w:sz="4" w:space="0" w:color="auto"/>
              <w:bottom w:val="single" w:sz="4" w:space="0" w:color="auto"/>
            </w:tcBorders>
            <w:vAlign w:val="center"/>
          </w:tcPr>
          <w:p w:rsidR="00000000" w:rsidRDefault="00000000">
            <w:pPr>
              <w:spacing w:before="60" w:after="60"/>
              <w:rPr>
                <w:b/>
                <w:bCs/>
                <w:i/>
                <w:iCs/>
                <w:color w:val="000000"/>
                <w:sz w:val="20"/>
                <w:lang w:val="fr-FR"/>
              </w:rPr>
            </w:pPr>
            <w:r>
              <w:rPr>
                <w:b/>
                <w:bCs/>
                <w:i/>
                <w:iCs/>
                <w:color w:val="000000"/>
                <w:sz w:val="20"/>
                <w:lang w:val="fr-FR"/>
              </w:rPr>
              <w:t>Période</w:t>
            </w:r>
          </w:p>
        </w:tc>
        <w:tc>
          <w:tcPr>
            <w:tcW w:w="2071"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Chômage</w:t>
            </w:r>
          </w:p>
        </w:tc>
        <w:tc>
          <w:tcPr>
            <w:tcW w:w="2072"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Variation en pourcentage</w:t>
            </w:r>
          </w:p>
        </w:tc>
      </w:tr>
      <w:tr w:rsidR="00000000">
        <w:tblPrEx>
          <w:tblCellMar>
            <w:top w:w="0" w:type="dxa"/>
            <w:bottom w:w="0" w:type="dxa"/>
          </w:tblCellMar>
        </w:tblPrEx>
        <w:trPr>
          <w:jc w:val="center"/>
        </w:trPr>
        <w:tc>
          <w:tcPr>
            <w:tcW w:w="2661" w:type="dxa"/>
            <w:tcBorders>
              <w:top w:val="single" w:sz="4" w:space="0" w:color="auto"/>
            </w:tcBorders>
          </w:tcPr>
          <w:p w:rsidR="00000000" w:rsidRDefault="00000000">
            <w:pPr>
              <w:spacing w:before="60" w:after="60"/>
              <w:ind w:left="113"/>
              <w:rPr>
                <w:color w:val="000000"/>
                <w:sz w:val="20"/>
                <w:lang w:val="fr-FR"/>
              </w:rPr>
            </w:pPr>
            <w:r>
              <w:rPr>
                <w:color w:val="000000"/>
                <w:sz w:val="20"/>
                <w:lang w:val="fr-FR"/>
              </w:rPr>
              <w:t xml:space="preserve">1990 </w:t>
            </w:r>
          </w:p>
        </w:tc>
        <w:tc>
          <w:tcPr>
            <w:tcW w:w="2071" w:type="dxa"/>
            <w:tcBorders>
              <w:top w:val="single" w:sz="4" w:space="0" w:color="auto"/>
            </w:tcBorders>
          </w:tcPr>
          <w:p w:rsidR="00000000" w:rsidRDefault="00000000">
            <w:pPr>
              <w:tabs>
                <w:tab w:val="decimal" w:pos="1005"/>
              </w:tabs>
              <w:spacing w:before="60" w:after="60"/>
              <w:rPr>
                <w:color w:val="000000"/>
                <w:sz w:val="20"/>
                <w:lang w:val="fr-FR"/>
              </w:rPr>
            </w:pPr>
            <w:r>
              <w:rPr>
                <w:color w:val="000000"/>
                <w:sz w:val="20"/>
                <w:lang w:val="fr-FR"/>
              </w:rPr>
              <w:t xml:space="preserve">6,1 </w:t>
            </w:r>
          </w:p>
        </w:tc>
        <w:tc>
          <w:tcPr>
            <w:tcW w:w="2072" w:type="dxa"/>
            <w:tcBorders>
              <w:top w:val="single" w:sz="4" w:space="0" w:color="auto"/>
            </w:tcBorders>
          </w:tcPr>
          <w:p w:rsidR="00000000" w:rsidRDefault="00000000">
            <w:pPr>
              <w:tabs>
                <w:tab w:val="decimal" w:pos="1094"/>
              </w:tabs>
              <w:spacing w:before="60" w:after="60"/>
              <w:rPr>
                <w:color w:val="000000"/>
                <w:sz w:val="20"/>
                <w:lang w:val="fr-FR"/>
              </w:rPr>
            </w:pPr>
            <w:r>
              <w:rPr>
                <w:color w:val="000000"/>
                <w:sz w:val="20"/>
                <w:lang w:val="fr-FR"/>
              </w:rPr>
              <w:t xml:space="preserve">0  </w:t>
            </w:r>
          </w:p>
        </w:tc>
      </w:tr>
      <w:tr w:rsidR="00000000">
        <w:tblPrEx>
          <w:tblCellMar>
            <w:top w:w="0" w:type="dxa"/>
            <w:bottom w:w="0" w:type="dxa"/>
          </w:tblCellMar>
        </w:tblPrEx>
        <w:trPr>
          <w:jc w:val="center"/>
        </w:trPr>
        <w:tc>
          <w:tcPr>
            <w:tcW w:w="2661" w:type="dxa"/>
          </w:tcPr>
          <w:p w:rsidR="00000000" w:rsidRDefault="00000000">
            <w:pPr>
              <w:spacing w:before="60" w:after="60"/>
              <w:ind w:left="113"/>
              <w:rPr>
                <w:color w:val="000000"/>
                <w:sz w:val="20"/>
                <w:lang w:val="fr-FR"/>
              </w:rPr>
            </w:pPr>
            <w:r>
              <w:rPr>
                <w:color w:val="000000"/>
                <w:sz w:val="20"/>
                <w:lang w:val="fr-FR"/>
              </w:rPr>
              <w:t xml:space="preserve">1995 </w:t>
            </w:r>
          </w:p>
        </w:tc>
        <w:tc>
          <w:tcPr>
            <w:tcW w:w="2071" w:type="dxa"/>
          </w:tcPr>
          <w:p w:rsidR="00000000" w:rsidRDefault="00000000">
            <w:pPr>
              <w:tabs>
                <w:tab w:val="decimal" w:pos="1005"/>
              </w:tabs>
              <w:spacing w:before="60" w:after="60"/>
              <w:rPr>
                <w:color w:val="000000"/>
                <w:sz w:val="20"/>
                <w:lang w:val="fr-FR"/>
              </w:rPr>
            </w:pPr>
            <w:r>
              <w:rPr>
                <w:color w:val="000000"/>
                <w:sz w:val="20"/>
                <w:lang w:val="fr-FR"/>
              </w:rPr>
              <w:t xml:space="preserve">6,9 </w:t>
            </w:r>
          </w:p>
        </w:tc>
        <w:tc>
          <w:tcPr>
            <w:tcW w:w="2072" w:type="dxa"/>
          </w:tcPr>
          <w:p w:rsidR="00000000" w:rsidRDefault="00000000">
            <w:pPr>
              <w:tabs>
                <w:tab w:val="decimal" w:pos="1094"/>
              </w:tabs>
              <w:spacing w:before="60" w:after="60"/>
              <w:rPr>
                <w:color w:val="000000"/>
                <w:sz w:val="20"/>
                <w:lang w:val="fr-FR"/>
              </w:rPr>
            </w:pPr>
            <w:r>
              <w:rPr>
                <w:color w:val="000000"/>
                <w:sz w:val="20"/>
                <w:lang w:val="fr-FR"/>
              </w:rPr>
              <w:t xml:space="preserve">13,00  </w:t>
            </w:r>
          </w:p>
        </w:tc>
      </w:tr>
      <w:tr w:rsidR="00000000">
        <w:tblPrEx>
          <w:tblCellMar>
            <w:top w:w="0" w:type="dxa"/>
            <w:bottom w:w="0" w:type="dxa"/>
          </w:tblCellMar>
        </w:tblPrEx>
        <w:trPr>
          <w:jc w:val="center"/>
        </w:trPr>
        <w:tc>
          <w:tcPr>
            <w:tcW w:w="2661" w:type="dxa"/>
          </w:tcPr>
          <w:p w:rsidR="00000000" w:rsidRDefault="00000000">
            <w:pPr>
              <w:spacing w:before="60" w:after="60"/>
              <w:ind w:left="113"/>
              <w:rPr>
                <w:color w:val="000000"/>
                <w:sz w:val="20"/>
                <w:lang w:val="fr-FR"/>
              </w:rPr>
            </w:pPr>
            <w:r>
              <w:rPr>
                <w:color w:val="000000"/>
                <w:sz w:val="20"/>
                <w:lang w:val="fr-FR"/>
              </w:rPr>
              <w:t xml:space="preserve">1998 </w:t>
            </w:r>
          </w:p>
        </w:tc>
        <w:tc>
          <w:tcPr>
            <w:tcW w:w="2071" w:type="dxa"/>
          </w:tcPr>
          <w:p w:rsidR="00000000" w:rsidRDefault="00000000">
            <w:pPr>
              <w:tabs>
                <w:tab w:val="decimal" w:pos="1005"/>
              </w:tabs>
              <w:spacing w:before="60" w:after="60"/>
              <w:rPr>
                <w:color w:val="000000"/>
                <w:sz w:val="20"/>
                <w:lang w:val="fr-FR"/>
              </w:rPr>
            </w:pPr>
            <w:r>
              <w:rPr>
                <w:color w:val="000000"/>
                <w:sz w:val="20"/>
                <w:lang w:val="fr-FR"/>
              </w:rPr>
              <w:t xml:space="preserve">11,5 </w:t>
            </w:r>
          </w:p>
        </w:tc>
        <w:tc>
          <w:tcPr>
            <w:tcW w:w="2072" w:type="dxa"/>
          </w:tcPr>
          <w:p w:rsidR="00000000" w:rsidRDefault="00000000">
            <w:pPr>
              <w:tabs>
                <w:tab w:val="decimal" w:pos="1094"/>
              </w:tabs>
              <w:spacing w:before="60" w:after="60"/>
              <w:rPr>
                <w:color w:val="000000"/>
                <w:sz w:val="20"/>
                <w:lang w:val="fr-FR"/>
              </w:rPr>
            </w:pPr>
            <w:r>
              <w:rPr>
                <w:color w:val="000000"/>
                <w:sz w:val="20"/>
                <w:lang w:val="fr-FR"/>
              </w:rPr>
              <w:t xml:space="preserve">66,67  </w:t>
            </w:r>
          </w:p>
        </w:tc>
      </w:tr>
      <w:tr w:rsidR="00000000">
        <w:tblPrEx>
          <w:tblCellMar>
            <w:top w:w="0" w:type="dxa"/>
            <w:bottom w:w="0" w:type="dxa"/>
          </w:tblCellMar>
        </w:tblPrEx>
        <w:trPr>
          <w:jc w:val="center"/>
        </w:trPr>
        <w:tc>
          <w:tcPr>
            <w:tcW w:w="2661" w:type="dxa"/>
          </w:tcPr>
          <w:p w:rsidR="00000000" w:rsidRDefault="00000000">
            <w:pPr>
              <w:spacing w:before="60" w:after="60"/>
              <w:ind w:left="113"/>
              <w:rPr>
                <w:color w:val="000000"/>
                <w:sz w:val="20"/>
                <w:lang w:val="fr-FR"/>
              </w:rPr>
            </w:pPr>
            <w:r>
              <w:rPr>
                <w:color w:val="000000"/>
                <w:sz w:val="20"/>
                <w:lang w:val="fr-FR"/>
              </w:rPr>
              <w:t xml:space="preserve">1999 </w:t>
            </w:r>
          </w:p>
        </w:tc>
        <w:tc>
          <w:tcPr>
            <w:tcW w:w="2071" w:type="dxa"/>
          </w:tcPr>
          <w:p w:rsidR="00000000" w:rsidRDefault="00000000">
            <w:pPr>
              <w:tabs>
                <w:tab w:val="decimal" w:pos="1005"/>
              </w:tabs>
              <w:spacing w:before="60" w:after="60"/>
              <w:rPr>
                <w:color w:val="000000"/>
                <w:sz w:val="20"/>
                <w:lang w:val="fr-FR"/>
              </w:rPr>
            </w:pPr>
            <w:r>
              <w:rPr>
                <w:color w:val="000000"/>
                <w:sz w:val="20"/>
                <w:lang w:val="fr-FR"/>
              </w:rPr>
              <w:t xml:space="preserve">14,4 </w:t>
            </w:r>
          </w:p>
        </w:tc>
        <w:tc>
          <w:tcPr>
            <w:tcW w:w="2072" w:type="dxa"/>
          </w:tcPr>
          <w:p w:rsidR="00000000" w:rsidRDefault="00000000">
            <w:pPr>
              <w:tabs>
                <w:tab w:val="decimal" w:pos="1094"/>
              </w:tabs>
              <w:spacing w:before="60" w:after="60"/>
              <w:rPr>
                <w:color w:val="000000"/>
                <w:sz w:val="20"/>
                <w:lang w:val="fr-FR"/>
              </w:rPr>
            </w:pPr>
            <w:r>
              <w:rPr>
                <w:color w:val="000000"/>
                <w:sz w:val="20"/>
                <w:lang w:val="fr-FR"/>
              </w:rPr>
              <w:t xml:space="preserve">25,22  </w:t>
            </w:r>
          </w:p>
        </w:tc>
      </w:tr>
      <w:tr w:rsidR="00000000">
        <w:tblPrEx>
          <w:tblCellMar>
            <w:top w:w="0" w:type="dxa"/>
            <w:bottom w:w="0" w:type="dxa"/>
          </w:tblCellMar>
        </w:tblPrEx>
        <w:trPr>
          <w:jc w:val="center"/>
        </w:trPr>
        <w:tc>
          <w:tcPr>
            <w:tcW w:w="2661" w:type="dxa"/>
          </w:tcPr>
          <w:p w:rsidR="00000000" w:rsidRDefault="00000000">
            <w:pPr>
              <w:spacing w:before="60" w:after="60"/>
              <w:ind w:left="113"/>
              <w:rPr>
                <w:color w:val="000000"/>
                <w:sz w:val="20"/>
                <w:lang w:val="fr-FR"/>
              </w:rPr>
            </w:pPr>
            <w:r>
              <w:rPr>
                <w:color w:val="000000"/>
                <w:sz w:val="20"/>
                <w:lang w:val="fr-FR"/>
              </w:rPr>
              <w:t xml:space="preserve">2000 </w:t>
            </w:r>
          </w:p>
        </w:tc>
        <w:tc>
          <w:tcPr>
            <w:tcW w:w="2071" w:type="dxa"/>
          </w:tcPr>
          <w:p w:rsidR="00000000" w:rsidRDefault="00000000">
            <w:pPr>
              <w:tabs>
                <w:tab w:val="decimal" w:pos="1005"/>
              </w:tabs>
              <w:spacing w:before="60" w:after="60"/>
              <w:rPr>
                <w:color w:val="000000"/>
                <w:sz w:val="20"/>
                <w:lang w:val="fr-FR"/>
              </w:rPr>
            </w:pPr>
            <w:r>
              <w:rPr>
                <w:color w:val="000000"/>
                <w:sz w:val="20"/>
                <w:lang w:val="fr-FR"/>
              </w:rPr>
              <w:t xml:space="preserve">17,0 </w:t>
            </w:r>
          </w:p>
        </w:tc>
        <w:tc>
          <w:tcPr>
            <w:tcW w:w="2072" w:type="dxa"/>
          </w:tcPr>
          <w:p w:rsidR="00000000" w:rsidRDefault="00000000">
            <w:pPr>
              <w:tabs>
                <w:tab w:val="decimal" w:pos="1094"/>
              </w:tabs>
              <w:spacing w:before="60" w:after="60"/>
              <w:rPr>
                <w:color w:val="000000"/>
                <w:sz w:val="20"/>
                <w:lang w:val="fr-FR"/>
              </w:rPr>
            </w:pPr>
            <w:r>
              <w:rPr>
                <w:color w:val="000000"/>
                <w:sz w:val="20"/>
                <w:lang w:val="fr-FR"/>
              </w:rPr>
              <w:t xml:space="preserve">18,06  </w:t>
            </w:r>
          </w:p>
        </w:tc>
      </w:tr>
      <w:tr w:rsidR="00000000">
        <w:tblPrEx>
          <w:tblCellMar>
            <w:top w:w="0" w:type="dxa"/>
            <w:bottom w:w="0" w:type="dxa"/>
          </w:tblCellMar>
        </w:tblPrEx>
        <w:trPr>
          <w:jc w:val="center"/>
        </w:trPr>
        <w:tc>
          <w:tcPr>
            <w:tcW w:w="2661" w:type="dxa"/>
          </w:tcPr>
          <w:p w:rsidR="00000000" w:rsidRDefault="00000000">
            <w:pPr>
              <w:spacing w:before="60" w:after="60"/>
              <w:ind w:left="113"/>
              <w:rPr>
                <w:color w:val="000000"/>
                <w:sz w:val="20"/>
                <w:lang w:val="fr-FR"/>
              </w:rPr>
            </w:pPr>
            <w:r>
              <w:rPr>
                <w:color w:val="000000"/>
                <w:sz w:val="20"/>
                <w:lang w:val="fr-FR"/>
              </w:rPr>
              <w:t xml:space="preserve">2002 </w:t>
            </w:r>
          </w:p>
        </w:tc>
        <w:tc>
          <w:tcPr>
            <w:tcW w:w="2071" w:type="dxa"/>
          </w:tcPr>
          <w:p w:rsidR="00000000" w:rsidRDefault="00000000">
            <w:pPr>
              <w:tabs>
                <w:tab w:val="decimal" w:pos="1005"/>
              </w:tabs>
              <w:spacing w:before="60" w:after="60"/>
              <w:rPr>
                <w:color w:val="000000"/>
                <w:sz w:val="20"/>
                <w:lang w:val="fr-FR"/>
              </w:rPr>
            </w:pPr>
            <w:r>
              <w:rPr>
                <w:color w:val="000000"/>
                <w:sz w:val="20"/>
                <w:lang w:val="fr-FR"/>
              </w:rPr>
              <w:t xml:space="preserve">8,4 </w:t>
            </w:r>
          </w:p>
        </w:tc>
        <w:tc>
          <w:tcPr>
            <w:tcW w:w="2072" w:type="dxa"/>
          </w:tcPr>
          <w:p w:rsidR="00000000" w:rsidRDefault="00000000">
            <w:pPr>
              <w:tabs>
                <w:tab w:val="decimal" w:pos="1094"/>
              </w:tabs>
              <w:spacing w:before="60" w:after="60"/>
              <w:rPr>
                <w:color w:val="000000"/>
                <w:sz w:val="20"/>
                <w:lang w:val="fr-FR"/>
              </w:rPr>
            </w:pPr>
            <w:r>
              <w:rPr>
                <w:color w:val="000000"/>
                <w:sz w:val="20"/>
                <w:lang w:val="fr-FR"/>
              </w:rPr>
              <w:t xml:space="preserve">-50,59  </w:t>
            </w:r>
          </w:p>
        </w:tc>
      </w:tr>
    </w:tbl>
    <w:p w:rsidR="00000000" w:rsidRDefault="00000000">
      <w:pPr>
        <w:autoSpaceDE w:val="0"/>
        <w:autoSpaceDN w:val="0"/>
        <w:adjustRightInd w:val="0"/>
        <w:spacing w:before="120" w:after="240"/>
        <w:rPr>
          <w:color w:val="000000"/>
          <w:sz w:val="20"/>
          <w:lang w:val="fr-FR"/>
        </w:rPr>
      </w:pPr>
      <w:r>
        <w:rPr>
          <w:i/>
          <w:iCs/>
          <w:color w:val="000000"/>
          <w:sz w:val="20"/>
          <w:lang w:val="fr-FR"/>
        </w:rPr>
        <w:tab/>
      </w:r>
      <w:r>
        <w:rPr>
          <w:i/>
          <w:iCs/>
          <w:color w:val="000000"/>
          <w:sz w:val="20"/>
          <w:lang w:val="fr-FR"/>
        </w:rPr>
        <w:tab/>
      </w:r>
      <w:r>
        <w:rPr>
          <w:i/>
          <w:iCs/>
          <w:color w:val="000000"/>
          <w:sz w:val="20"/>
          <w:lang w:val="fr-FR"/>
        </w:rPr>
        <w:tab/>
        <w:t>Source :</w:t>
      </w:r>
      <w:r>
        <w:rPr>
          <w:color w:val="000000"/>
          <w:sz w:val="20"/>
          <w:lang w:val="fr-FR"/>
        </w:rPr>
        <w:t xml:space="preserve"> INEC, Enquête urbaine sur l'emploi, le sous-emploi et le chômage.</w:t>
      </w:r>
    </w:p>
    <w:p w:rsidR="00000000" w:rsidRDefault="00000000">
      <w:pPr>
        <w:autoSpaceDE w:val="0"/>
        <w:autoSpaceDN w:val="0"/>
        <w:adjustRightInd w:val="0"/>
        <w:spacing w:after="240"/>
        <w:rPr>
          <w:lang w:val="fr-FR"/>
        </w:rPr>
      </w:pPr>
      <w:r>
        <w:rPr>
          <w:lang w:val="fr-FR"/>
        </w:rPr>
        <w:t>56.</w:t>
      </w:r>
      <w:r>
        <w:rPr>
          <w:lang w:val="fr-FR"/>
        </w:rPr>
        <w:tab/>
        <w:t>Pour ce qui est de l'accès au marché du travail, la femme équatorienne des foyers pauvres, avec ou sans charges familiales, rencontre davantage de problèmes dans la mesure où elle cumule les handicaps : insuffisance de l'éducation de base, manque de qualifications professionnelles, charges domestiques et familiales.</w:t>
      </w:r>
    </w:p>
    <w:p w:rsidR="00000000" w:rsidRDefault="00000000">
      <w:pPr>
        <w:autoSpaceDE w:val="0"/>
        <w:autoSpaceDN w:val="0"/>
        <w:adjustRightInd w:val="0"/>
        <w:spacing w:after="240"/>
        <w:rPr>
          <w:lang w:val="fr-FR"/>
        </w:rPr>
      </w:pPr>
      <w:r>
        <w:rPr>
          <w:lang w:val="fr-FR"/>
        </w:rPr>
        <w:t>57.</w:t>
      </w:r>
      <w:r>
        <w:rPr>
          <w:lang w:val="fr-FR"/>
        </w:rPr>
        <w:tab/>
        <w:t>Les groupes les plus affectés par le chômage sont les jeunes, surtout les femmes, âgés de 15 à 24 ans.</w:t>
      </w:r>
    </w:p>
    <w:p w:rsidR="00000000" w:rsidRDefault="00000000">
      <w:pPr>
        <w:autoSpaceDE w:val="0"/>
        <w:autoSpaceDN w:val="0"/>
        <w:adjustRightInd w:val="0"/>
        <w:spacing w:before="120" w:after="240"/>
        <w:jc w:val="center"/>
        <w:rPr>
          <w:b/>
          <w:bCs/>
          <w:color w:val="000000"/>
          <w:sz w:val="22"/>
          <w:lang w:val="fr-FR"/>
        </w:rPr>
      </w:pPr>
      <w:r>
        <w:rPr>
          <w:b/>
          <w:bCs/>
          <w:color w:val="000000"/>
          <w:sz w:val="22"/>
          <w:lang w:val="fr-FR"/>
        </w:rPr>
        <w:br w:type="page"/>
      </w:r>
      <w:r>
        <w:rPr>
          <w:b/>
          <w:bCs/>
          <w:color w:val="000000"/>
          <w:sz w:val="20"/>
          <w:lang w:val="fr-FR"/>
        </w:rPr>
        <w:t>Chômeurs, par sexe et groupe d'âge (1998)</w:t>
      </w:r>
    </w:p>
    <w:tbl>
      <w:tblPr>
        <w:tblW w:w="9242" w:type="dxa"/>
        <w:jc w:val="center"/>
        <w:tblLayout w:type="fixed"/>
        <w:tblCellMar>
          <w:left w:w="70" w:type="dxa"/>
          <w:right w:w="70" w:type="dxa"/>
        </w:tblCellMar>
        <w:tblLook w:val="0000" w:firstRow="0" w:lastRow="0" w:firstColumn="0" w:lastColumn="0" w:noHBand="0" w:noVBand="0"/>
      </w:tblPr>
      <w:tblGrid>
        <w:gridCol w:w="2632"/>
        <w:gridCol w:w="2306"/>
        <w:gridCol w:w="2244"/>
        <w:gridCol w:w="2060"/>
      </w:tblGrid>
      <w:tr w:rsidR="00000000">
        <w:tblPrEx>
          <w:tblCellMar>
            <w:top w:w="0" w:type="dxa"/>
            <w:bottom w:w="0" w:type="dxa"/>
          </w:tblCellMar>
        </w:tblPrEx>
        <w:trPr>
          <w:jc w:val="center"/>
        </w:trPr>
        <w:tc>
          <w:tcPr>
            <w:tcW w:w="2047"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Groupe d’âge</w:t>
            </w:r>
          </w:p>
        </w:tc>
        <w:tc>
          <w:tcPr>
            <w:tcW w:w="1794"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Hommes</w:t>
            </w:r>
          </w:p>
        </w:tc>
        <w:tc>
          <w:tcPr>
            <w:tcW w:w="1746"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Femmes</w:t>
            </w:r>
          </w:p>
        </w:tc>
        <w:tc>
          <w:tcPr>
            <w:tcW w:w="1603"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Total</w:t>
            </w:r>
          </w:p>
        </w:tc>
      </w:tr>
      <w:tr w:rsidR="00000000">
        <w:tblPrEx>
          <w:tblCellMar>
            <w:top w:w="0" w:type="dxa"/>
            <w:bottom w:w="0" w:type="dxa"/>
          </w:tblCellMar>
        </w:tblPrEx>
        <w:trPr>
          <w:jc w:val="center"/>
        </w:trPr>
        <w:tc>
          <w:tcPr>
            <w:tcW w:w="2047" w:type="dxa"/>
            <w:tcBorders>
              <w:top w:val="single" w:sz="4" w:space="0" w:color="auto"/>
            </w:tcBorders>
          </w:tcPr>
          <w:p w:rsidR="00000000" w:rsidRDefault="00000000">
            <w:pPr>
              <w:spacing w:before="60" w:after="60"/>
              <w:ind w:left="113"/>
              <w:rPr>
                <w:color w:val="000000"/>
                <w:sz w:val="20"/>
                <w:lang w:val="fr-FR"/>
              </w:rPr>
            </w:pPr>
            <w:r>
              <w:rPr>
                <w:color w:val="000000"/>
                <w:sz w:val="20"/>
                <w:lang w:val="fr-FR"/>
              </w:rPr>
              <w:t>10-11 ans</w:t>
            </w:r>
          </w:p>
        </w:tc>
        <w:tc>
          <w:tcPr>
            <w:tcW w:w="1794" w:type="dxa"/>
            <w:tcBorders>
              <w:top w:val="single" w:sz="4" w:space="0" w:color="auto"/>
            </w:tcBorders>
          </w:tcPr>
          <w:p w:rsidR="00000000" w:rsidRDefault="00000000">
            <w:pPr>
              <w:spacing w:before="60" w:after="60"/>
              <w:ind w:right="806"/>
              <w:jc w:val="right"/>
              <w:rPr>
                <w:color w:val="000000"/>
                <w:sz w:val="20"/>
                <w:lang w:val="fr-FR"/>
              </w:rPr>
            </w:pPr>
            <w:r>
              <w:rPr>
                <w:color w:val="000000"/>
                <w:sz w:val="20"/>
                <w:lang w:val="fr-FR"/>
              </w:rPr>
              <w:t xml:space="preserve">151 </w:t>
            </w:r>
          </w:p>
        </w:tc>
        <w:tc>
          <w:tcPr>
            <w:tcW w:w="1746" w:type="dxa"/>
            <w:tcBorders>
              <w:top w:val="single" w:sz="4" w:space="0" w:color="auto"/>
            </w:tcBorders>
          </w:tcPr>
          <w:p w:rsidR="00000000" w:rsidRDefault="00000000">
            <w:pPr>
              <w:spacing w:before="60" w:after="60"/>
              <w:ind w:right="806"/>
              <w:jc w:val="right"/>
              <w:rPr>
                <w:color w:val="000000"/>
                <w:sz w:val="20"/>
                <w:lang w:val="fr-FR"/>
              </w:rPr>
            </w:pPr>
            <w:r>
              <w:rPr>
                <w:color w:val="000000"/>
                <w:sz w:val="20"/>
                <w:lang w:val="fr-FR"/>
              </w:rPr>
              <w:t xml:space="preserve">428 </w:t>
            </w:r>
          </w:p>
        </w:tc>
        <w:tc>
          <w:tcPr>
            <w:tcW w:w="1603" w:type="dxa"/>
            <w:tcBorders>
              <w:top w:val="single" w:sz="4" w:space="0" w:color="auto"/>
            </w:tcBorders>
          </w:tcPr>
          <w:p w:rsidR="00000000" w:rsidRDefault="00000000">
            <w:pPr>
              <w:spacing w:before="60" w:after="60"/>
              <w:ind w:right="806"/>
              <w:jc w:val="right"/>
              <w:rPr>
                <w:color w:val="000000"/>
                <w:sz w:val="20"/>
                <w:lang w:val="fr-FR"/>
              </w:rPr>
            </w:pPr>
            <w:r>
              <w:rPr>
                <w:color w:val="000000"/>
                <w:sz w:val="20"/>
                <w:lang w:val="fr-FR"/>
              </w:rPr>
              <w:t xml:space="preserve">579  </w:t>
            </w:r>
          </w:p>
        </w:tc>
      </w:tr>
      <w:tr w:rsidR="00000000">
        <w:tblPrEx>
          <w:tblCellMar>
            <w:top w:w="0" w:type="dxa"/>
            <w:bottom w:w="0" w:type="dxa"/>
          </w:tblCellMar>
        </w:tblPrEx>
        <w:trPr>
          <w:jc w:val="center"/>
        </w:trPr>
        <w:tc>
          <w:tcPr>
            <w:tcW w:w="2047" w:type="dxa"/>
          </w:tcPr>
          <w:p w:rsidR="00000000" w:rsidRDefault="00000000">
            <w:pPr>
              <w:spacing w:before="60" w:after="60"/>
              <w:ind w:left="113"/>
              <w:rPr>
                <w:color w:val="000000"/>
                <w:sz w:val="20"/>
                <w:lang w:val="fr-FR"/>
              </w:rPr>
            </w:pPr>
            <w:r>
              <w:rPr>
                <w:color w:val="000000"/>
                <w:sz w:val="20"/>
                <w:lang w:val="fr-FR"/>
              </w:rPr>
              <w:t>12-14 ans</w:t>
            </w:r>
          </w:p>
        </w:tc>
        <w:tc>
          <w:tcPr>
            <w:tcW w:w="1794" w:type="dxa"/>
          </w:tcPr>
          <w:p w:rsidR="00000000" w:rsidRDefault="00000000">
            <w:pPr>
              <w:spacing w:before="60" w:after="60"/>
              <w:ind w:right="806"/>
              <w:jc w:val="right"/>
              <w:rPr>
                <w:color w:val="000000"/>
                <w:sz w:val="20"/>
                <w:lang w:val="fr-FR"/>
              </w:rPr>
            </w:pPr>
            <w:r>
              <w:rPr>
                <w:color w:val="000000"/>
                <w:sz w:val="20"/>
                <w:lang w:val="fr-FR"/>
              </w:rPr>
              <w:t xml:space="preserve">3 476 </w:t>
            </w:r>
          </w:p>
        </w:tc>
        <w:tc>
          <w:tcPr>
            <w:tcW w:w="1746" w:type="dxa"/>
          </w:tcPr>
          <w:p w:rsidR="00000000" w:rsidRDefault="00000000">
            <w:pPr>
              <w:spacing w:before="60" w:after="60"/>
              <w:ind w:right="806"/>
              <w:jc w:val="right"/>
              <w:rPr>
                <w:color w:val="000000"/>
                <w:sz w:val="20"/>
                <w:lang w:val="fr-FR"/>
              </w:rPr>
            </w:pPr>
            <w:r>
              <w:rPr>
                <w:color w:val="000000"/>
                <w:sz w:val="20"/>
                <w:lang w:val="fr-FR"/>
              </w:rPr>
              <w:t xml:space="preserve">3 953 </w:t>
            </w:r>
          </w:p>
        </w:tc>
        <w:tc>
          <w:tcPr>
            <w:tcW w:w="1603" w:type="dxa"/>
          </w:tcPr>
          <w:p w:rsidR="00000000" w:rsidRDefault="00000000">
            <w:pPr>
              <w:spacing w:before="60" w:after="60"/>
              <w:ind w:right="806"/>
              <w:jc w:val="right"/>
              <w:rPr>
                <w:color w:val="000000"/>
                <w:sz w:val="20"/>
                <w:lang w:val="fr-FR"/>
              </w:rPr>
            </w:pPr>
            <w:r>
              <w:rPr>
                <w:color w:val="000000"/>
                <w:sz w:val="20"/>
                <w:lang w:val="fr-FR"/>
              </w:rPr>
              <w:t xml:space="preserve">7 429  </w:t>
            </w:r>
          </w:p>
        </w:tc>
      </w:tr>
      <w:tr w:rsidR="00000000">
        <w:tblPrEx>
          <w:tblCellMar>
            <w:top w:w="0" w:type="dxa"/>
            <w:bottom w:w="0" w:type="dxa"/>
          </w:tblCellMar>
        </w:tblPrEx>
        <w:trPr>
          <w:jc w:val="center"/>
        </w:trPr>
        <w:tc>
          <w:tcPr>
            <w:tcW w:w="2047" w:type="dxa"/>
          </w:tcPr>
          <w:p w:rsidR="00000000" w:rsidRDefault="00000000">
            <w:pPr>
              <w:spacing w:before="60" w:after="60"/>
              <w:ind w:left="113"/>
              <w:rPr>
                <w:color w:val="000000"/>
                <w:sz w:val="20"/>
                <w:lang w:val="fr-FR"/>
              </w:rPr>
            </w:pPr>
            <w:r>
              <w:rPr>
                <w:color w:val="000000"/>
                <w:sz w:val="20"/>
                <w:lang w:val="fr-FR"/>
              </w:rPr>
              <w:t>15-24 ans</w:t>
            </w:r>
          </w:p>
        </w:tc>
        <w:tc>
          <w:tcPr>
            <w:tcW w:w="1794" w:type="dxa"/>
          </w:tcPr>
          <w:p w:rsidR="00000000" w:rsidRDefault="00000000">
            <w:pPr>
              <w:spacing w:before="60" w:after="60"/>
              <w:ind w:right="806"/>
              <w:jc w:val="right"/>
              <w:rPr>
                <w:color w:val="000000"/>
                <w:sz w:val="20"/>
                <w:lang w:val="fr-FR"/>
              </w:rPr>
            </w:pPr>
            <w:r>
              <w:rPr>
                <w:color w:val="000000"/>
                <w:sz w:val="20"/>
                <w:lang w:val="fr-FR"/>
              </w:rPr>
              <w:t xml:space="preserve">86 188 </w:t>
            </w:r>
          </w:p>
        </w:tc>
        <w:tc>
          <w:tcPr>
            <w:tcW w:w="1746" w:type="dxa"/>
          </w:tcPr>
          <w:p w:rsidR="00000000" w:rsidRDefault="00000000">
            <w:pPr>
              <w:spacing w:before="60" w:after="60"/>
              <w:ind w:right="806"/>
              <w:jc w:val="right"/>
              <w:rPr>
                <w:color w:val="000000"/>
                <w:sz w:val="20"/>
                <w:lang w:val="fr-FR"/>
              </w:rPr>
            </w:pPr>
            <w:r>
              <w:rPr>
                <w:color w:val="000000"/>
                <w:sz w:val="20"/>
                <w:lang w:val="fr-FR"/>
              </w:rPr>
              <w:t xml:space="preserve">110 926 </w:t>
            </w:r>
          </w:p>
        </w:tc>
        <w:tc>
          <w:tcPr>
            <w:tcW w:w="1603" w:type="dxa"/>
          </w:tcPr>
          <w:p w:rsidR="00000000" w:rsidRDefault="00000000">
            <w:pPr>
              <w:spacing w:before="60" w:after="60"/>
              <w:ind w:right="806"/>
              <w:jc w:val="right"/>
              <w:rPr>
                <w:color w:val="000000"/>
                <w:sz w:val="20"/>
                <w:lang w:val="fr-FR"/>
              </w:rPr>
            </w:pPr>
            <w:r>
              <w:rPr>
                <w:color w:val="000000"/>
                <w:sz w:val="20"/>
                <w:lang w:val="fr-FR"/>
              </w:rPr>
              <w:t xml:space="preserve">197 114  </w:t>
            </w:r>
          </w:p>
        </w:tc>
      </w:tr>
      <w:tr w:rsidR="00000000">
        <w:tblPrEx>
          <w:tblCellMar>
            <w:top w:w="0" w:type="dxa"/>
            <w:bottom w:w="0" w:type="dxa"/>
          </w:tblCellMar>
        </w:tblPrEx>
        <w:trPr>
          <w:jc w:val="center"/>
        </w:trPr>
        <w:tc>
          <w:tcPr>
            <w:tcW w:w="2047" w:type="dxa"/>
          </w:tcPr>
          <w:p w:rsidR="00000000" w:rsidRDefault="00000000">
            <w:pPr>
              <w:spacing w:before="60" w:after="60"/>
              <w:ind w:left="113"/>
              <w:rPr>
                <w:color w:val="000000"/>
                <w:sz w:val="20"/>
                <w:lang w:val="fr-FR"/>
              </w:rPr>
            </w:pPr>
            <w:r>
              <w:rPr>
                <w:color w:val="000000"/>
                <w:sz w:val="20"/>
                <w:lang w:val="fr-FR"/>
              </w:rPr>
              <w:t>25-54 ans</w:t>
            </w:r>
          </w:p>
        </w:tc>
        <w:tc>
          <w:tcPr>
            <w:tcW w:w="1794" w:type="dxa"/>
          </w:tcPr>
          <w:p w:rsidR="00000000" w:rsidRDefault="00000000">
            <w:pPr>
              <w:spacing w:before="60" w:after="60"/>
              <w:ind w:right="806"/>
              <w:jc w:val="right"/>
              <w:rPr>
                <w:color w:val="000000"/>
                <w:sz w:val="20"/>
                <w:lang w:val="fr-FR"/>
              </w:rPr>
            </w:pPr>
            <w:r>
              <w:rPr>
                <w:color w:val="000000"/>
                <w:sz w:val="20"/>
                <w:lang w:val="fr-FR"/>
              </w:rPr>
              <w:t xml:space="preserve">71 878 </w:t>
            </w:r>
          </w:p>
        </w:tc>
        <w:tc>
          <w:tcPr>
            <w:tcW w:w="1746" w:type="dxa"/>
          </w:tcPr>
          <w:p w:rsidR="00000000" w:rsidRDefault="00000000">
            <w:pPr>
              <w:spacing w:before="60" w:after="60"/>
              <w:ind w:right="806"/>
              <w:jc w:val="right"/>
              <w:rPr>
                <w:color w:val="000000"/>
                <w:sz w:val="20"/>
                <w:lang w:val="fr-FR"/>
              </w:rPr>
            </w:pPr>
            <w:r>
              <w:rPr>
                <w:color w:val="000000"/>
                <w:sz w:val="20"/>
                <w:lang w:val="fr-FR"/>
              </w:rPr>
              <w:t xml:space="preserve">113 053 </w:t>
            </w:r>
          </w:p>
        </w:tc>
        <w:tc>
          <w:tcPr>
            <w:tcW w:w="1603" w:type="dxa"/>
          </w:tcPr>
          <w:p w:rsidR="00000000" w:rsidRDefault="00000000">
            <w:pPr>
              <w:spacing w:before="60" w:after="60"/>
              <w:ind w:right="806"/>
              <w:jc w:val="right"/>
              <w:rPr>
                <w:color w:val="000000"/>
                <w:sz w:val="20"/>
                <w:lang w:val="fr-FR"/>
              </w:rPr>
            </w:pPr>
            <w:r>
              <w:rPr>
                <w:color w:val="000000"/>
                <w:sz w:val="20"/>
                <w:lang w:val="fr-FR"/>
              </w:rPr>
              <w:t xml:space="preserve">184 931  </w:t>
            </w:r>
          </w:p>
        </w:tc>
      </w:tr>
      <w:tr w:rsidR="00000000">
        <w:tblPrEx>
          <w:tblCellMar>
            <w:top w:w="0" w:type="dxa"/>
            <w:bottom w:w="0" w:type="dxa"/>
          </w:tblCellMar>
        </w:tblPrEx>
        <w:trPr>
          <w:jc w:val="center"/>
        </w:trPr>
        <w:tc>
          <w:tcPr>
            <w:tcW w:w="2047" w:type="dxa"/>
            <w:tcBorders>
              <w:bottom w:val="single" w:sz="4" w:space="0" w:color="auto"/>
            </w:tcBorders>
          </w:tcPr>
          <w:p w:rsidR="00000000" w:rsidRDefault="00000000">
            <w:pPr>
              <w:spacing w:before="60" w:after="60"/>
              <w:ind w:left="113"/>
              <w:rPr>
                <w:color w:val="000000"/>
                <w:sz w:val="20"/>
                <w:lang w:val="fr-FR"/>
              </w:rPr>
            </w:pPr>
            <w:r>
              <w:rPr>
                <w:color w:val="000000"/>
                <w:sz w:val="20"/>
                <w:lang w:val="fr-FR"/>
              </w:rPr>
              <w:t xml:space="preserve">55 ans et plus </w:t>
            </w:r>
          </w:p>
        </w:tc>
        <w:tc>
          <w:tcPr>
            <w:tcW w:w="1794" w:type="dxa"/>
            <w:tcBorders>
              <w:bottom w:val="single" w:sz="4" w:space="0" w:color="auto"/>
            </w:tcBorders>
          </w:tcPr>
          <w:p w:rsidR="00000000" w:rsidRDefault="00000000">
            <w:pPr>
              <w:spacing w:before="60" w:after="60"/>
              <w:ind w:right="806"/>
              <w:jc w:val="right"/>
              <w:rPr>
                <w:color w:val="000000"/>
                <w:sz w:val="20"/>
                <w:lang w:val="fr-FR"/>
              </w:rPr>
            </w:pPr>
            <w:r>
              <w:rPr>
                <w:color w:val="000000"/>
                <w:sz w:val="20"/>
                <w:lang w:val="fr-FR"/>
              </w:rPr>
              <w:t xml:space="preserve">13 775 </w:t>
            </w:r>
          </w:p>
        </w:tc>
        <w:tc>
          <w:tcPr>
            <w:tcW w:w="1746" w:type="dxa"/>
            <w:tcBorders>
              <w:bottom w:val="single" w:sz="4" w:space="0" w:color="auto"/>
            </w:tcBorders>
          </w:tcPr>
          <w:p w:rsidR="00000000" w:rsidRDefault="00000000">
            <w:pPr>
              <w:spacing w:before="60" w:after="60"/>
              <w:ind w:right="806"/>
              <w:jc w:val="right"/>
              <w:rPr>
                <w:color w:val="000000"/>
                <w:sz w:val="20"/>
                <w:lang w:val="fr-FR"/>
              </w:rPr>
            </w:pPr>
            <w:r>
              <w:rPr>
                <w:color w:val="000000"/>
                <w:sz w:val="20"/>
                <w:lang w:val="fr-FR"/>
              </w:rPr>
              <w:t xml:space="preserve">5 453 </w:t>
            </w:r>
          </w:p>
        </w:tc>
        <w:tc>
          <w:tcPr>
            <w:tcW w:w="1603" w:type="dxa"/>
            <w:tcBorders>
              <w:bottom w:val="single" w:sz="4" w:space="0" w:color="auto"/>
            </w:tcBorders>
          </w:tcPr>
          <w:p w:rsidR="00000000" w:rsidRDefault="00000000">
            <w:pPr>
              <w:spacing w:before="60" w:after="60"/>
              <w:ind w:right="806"/>
              <w:jc w:val="right"/>
              <w:rPr>
                <w:color w:val="000000"/>
                <w:sz w:val="20"/>
                <w:lang w:val="fr-FR"/>
              </w:rPr>
            </w:pPr>
            <w:r>
              <w:rPr>
                <w:color w:val="000000"/>
                <w:sz w:val="20"/>
                <w:lang w:val="fr-FR"/>
              </w:rPr>
              <w:t xml:space="preserve">19 228  </w:t>
            </w:r>
          </w:p>
        </w:tc>
      </w:tr>
    </w:tbl>
    <w:p w:rsidR="00000000" w:rsidRDefault="00000000">
      <w:pPr>
        <w:autoSpaceDE w:val="0"/>
        <w:autoSpaceDN w:val="0"/>
        <w:adjustRightInd w:val="0"/>
        <w:spacing w:before="80" w:after="240"/>
        <w:rPr>
          <w:color w:val="000000"/>
          <w:sz w:val="20"/>
          <w:lang w:val="fr-FR"/>
        </w:rPr>
      </w:pPr>
      <w:r>
        <w:rPr>
          <w:i/>
          <w:iCs/>
          <w:color w:val="000000"/>
          <w:sz w:val="20"/>
          <w:lang w:val="fr-FR"/>
        </w:rPr>
        <w:tab/>
        <w:t>Source :</w:t>
      </w:r>
      <w:r>
        <w:rPr>
          <w:color w:val="000000"/>
          <w:sz w:val="20"/>
          <w:lang w:val="fr-FR"/>
        </w:rPr>
        <w:t xml:space="preserve"> INEC, Enquête urbaine sur l'emploi, le sous-emploi et le chômage.</w:t>
      </w:r>
    </w:p>
    <w:p w:rsidR="00000000" w:rsidRDefault="00000000">
      <w:pPr>
        <w:autoSpaceDE w:val="0"/>
        <w:autoSpaceDN w:val="0"/>
        <w:adjustRightInd w:val="0"/>
        <w:spacing w:after="360"/>
        <w:rPr>
          <w:lang w:val="fr-FR"/>
        </w:rPr>
      </w:pPr>
      <w:r>
        <w:rPr>
          <w:lang w:val="fr-FR"/>
        </w:rPr>
        <w:t>58.</w:t>
      </w:r>
      <w:r>
        <w:rPr>
          <w:lang w:val="fr-FR"/>
        </w:rPr>
        <w:tab/>
        <w:t>Si l'on considère les différentes régions, le chômage a augmenté partout, mais c'est dans la région de la Costa qu'il a été le plus élevé, essentiellement en raison des dommages occasionnés par le phénomène El Niño.  Le taux de chômage est passé de 7,1 % en 1995 à 15,8 % en 1999, soit un accroissement relatif de 123 % entre 1995 et 1999.</w:t>
      </w:r>
    </w:p>
    <w:p w:rsidR="00000000" w:rsidRDefault="00000000">
      <w:pPr>
        <w:spacing w:after="120"/>
        <w:jc w:val="center"/>
        <w:rPr>
          <w:b/>
          <w:bCs/>
          <w:color w:val="000000"/>
          <w:sz w:val="20"/>
          <w:lang w:val="fr-FR"/>
        </w:rPr>
      </w:pPr>
      <w:r>
        <w:rPr>
          <w:b/>
          <w:bCs/>
          <w:color w:val="000000"/>
          <w:sz w:val="20"/>
          <w:lang w:val="fr-FR"/>
        </w:rPr>
        <w:t>Évolution des taux de chômage</w:t>
      </w:r>
    </w:p>
    <w:tbl>
      <w:tblPr>
        <w:tblW w:w="9242" w:type="dxa"/>
        <w:jc w:val="center"/>
        <w:tblLayout w:type="fixed"/>
        <w:tblCellMar>
          <w:left w:w="70" w:type="dxa"/>
          <w:right w:w="70" w:type="dxa"/>
        </w:tblCellMar>
        <w:tblLook w:val="0000" w:firstRow="0" w:lastRow="0" w:firstColumn="0" w:lastColumn="0" w:noHBand="0" w:noVBand="0"/>
      </w:tblPr>
      <w:tblGrid>
        <w:gridCol w:w="976"/>
        <w:gridCol w:w="767"/>
        <w:gridCol w:w="767"/>
        <w:gridCol w:w="767"/>
        <w:gridCol w:w="1585"/>
        <w:gridCol w:w="1490"/>
        <w:gridCol w:w="1303"/>
        <w:gridCol w:w="1587"/>
      </w:tblGrid>
      <w:tr w:rsidR="00000000">
        <w:tblPrEx>
          <w:tblCellMar>
            <w:top w:w="0" w:type="dxa"/>
            <w:bottom w:w="0" w:type="dxa"/>
          </w:tblCellMar>
        </w:tblPrEx>
        <w:trPr>
          <w:jc w:val="center"/>
        </w:trPr>
        <w:tc>
          <w:tcPr>
            <w:tcW w:w="976" w:type="dxa"/>
            <w:tcBorders>
              <w:top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Région</w:t>
            </w:r>
          </w:p>
        </w:tc>
        <w:tc>
          <w:tcPr>
            <w:tcW w:w="767" w:type="dxa"/>
            <w:tcBorders>
              <w:top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1995</w:t>
            </w:r>
          </w:p>
        </w:tc>
        <w:tc>
          <w:tcPr>
            <w:tcW w:w="767" w:type="dxa"/>
            <w:tcBorders>
              <w:top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1998</w:t>
            </w:r>
          </w:p>
        </w:tc>
        <w:tc>
          <w:tcPr>
            <w:tcW w:w="767" w:type="dxa"/>
            <w:tcBorders>
              <w:top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1999</w:t>
            </w:r>
          </w:p>
        </w:tc>
        <w:tc>
          <w:tcPr>
            <w:tcW w:w="3075" w:type="dxa"/>
            <w:gridSpan w:val="2"/>
            <w:tcBorders>
              <w:top w:val="single" w:sz="4" w:space="0" w:color="auto"/>
              <w:bottom w:val="single" w:sz="4" w:space="0" w:color="auto"/>
            </w:tcBorders>
            <w:vAlign w:val="center"/>
          </w:tcPr>
          <w:p w:rsidR="00000000" w:rsidRDefault="00000000">
            <w:pPr>
              <w:keepNext/>
              <w:spacing w:before="60" w:after="60"/>
              <w:jc w:val="center"/>
              <w:rPr>
                <w:b/>
                <w:bCs/>
                <w:i/>
                <w:iCs/>
                <w:color w:val="000000"/>
                <w:sz w:val="20"/>
                <w:lang w:val="fr-FR"/>
              </w:rPr>
            </w:pPr>
            <w:r>
              <w:rPr>
                <w:b/>
                <w:bCs/>
                <w:i/>
                <w:iCs/>
                <w:color w:val="000000"/>
                <w:sz w:val="20"/>
                <w:lang w:val="fr-FR"/>
              </w:rPr>
              <w:t>Variation 1998/1995</w:t>
            </w:r>
          </w:p>
        </w:tc>
        <w:tc>
          <w:tcPr>
            <w:tcW w:w="2890" w:type="dxa"/>
            <w:gridSpan w:val="2"/>
            <w:tcBorders>
              <w:top w:val="single" w:sz="4" w:space="0" w:color="auto"/>
              <w:bottom w:val="single" w:sz="4" w:space="0" w:color="auto"/>
            </w:tcBorders>
            <w:vAlign w:val="center"/>
          </w:tcPr>
          <w:p w:rsidR="00000000" w:rsidRDefault="00000000">
            <w:pPr>
              <w:keepNext/>
              <w:spacing w:before="60" w:after="60"/>
              <w:ind w:right="-240"/>
              <w:jc w:val="center"/>
              <w:rPr>
                <w:b/>
                <w:bCs/>
                <w:i/>
                <w:iCs/>
                <w:color w:val="000000"/>
                <w:sz w:val="20"/>
                <w:lang w:val="fr-FR"/>
              </w:rPr>
            </w:pPr>
            <w:r>
              <w:rPr>
                <w:b/>
                <w:bCs/>
                <w:i/>
                <w:iCs/>
                <w:color w:val="000000"/>
                <w:sz w:val="20"/>
                <w:lang w:val="fr-FR"/>
              </w:rPr>
              <w:t>Variation 1999/1995</w:t>
            </w:r>
          </w:p>
        </w:tc>
      </w:tr>
      <w:tr w:rsidR="00000000">
        <w:tblPrEx>
          <w:tblCellMar>
            <w:top w:w="0" w:type="dxa"/>
            <w:bottom w:w="0" w:type="dxa"/>
          </w:tblCellMar>
        </w:tblPrEx>
        <w:trPr>
          <w:jc w:val="center"/>
        </w:trPr>
        <w:tc>
          <w:tcPr>
            <w:tcW w:w="976" w:type="dxa"/>
            <w:tcBorders>
              <w:bottom w:val="single" w:sz="4" w:space="0" w:color="auto"/>
            </w:tcBorders>
            <w:vAlign w:val="center"/>
          </w:tcPr>
          <w:p w:rsidR="00000000" w:rsidRDefault="00000000">
            <w:pPr>
              <w:spacing w:before="60" w:after="60"/>
              <w:jc w:val="center"/>
              <w:rPr>
                <w:b/>
                <w:bCs/>
                <w:i/>
                <w:iCs/>
                <w:color w:val="000000"/>
                <w:sz w:val="20"/>
                <w:lang w:val="fr-FR"/>
              </w:rPr>
            </w:pPr>
          </w:p>
        </w:tc>
        <w:tc>
          <w:tcPr>
            <w:tcW w:w="767" w:type="dxa"/>
            <w:tcBorders>
              <w:bottom w:val="single" w:sz="4" w:space="0" w:color="auto"/>
            </w:tcBorders>
            <w:vAlign w:val="center"/>
          </w:tcPr>
          <w:p w:rsidR="00000000" w:rsidRDefault="00000000">
            <w:pPr>
              <w:spacing w:before="60" w:after="60"/>
              <w:jc w:val="center"/>
              <w:rPr>
                <w:b/>
                <w:bCs/>
                <w:i/>
                <w:iCs/>
                <w:color w:val="000000"/>
                <w:sz w:val="20"/>
                <w:lang w:val="fr-FR"/>
              </w:rPr>
            </w:pPr>
          </w:p>
        </w:tc>
        <w:tc>
          <w:tcPr>
            <w:tcW w:w="767" w:type="dxa"/>
            <w:tcBorders>
              <w:bottom w:val="single" w:sz="4" w:space="0" w:color="auto"/>
            </w:tcBorders>
            <w:vAlign w:val="center"/>
          </w:tcPr>
          <w:p w:rsidR="00000000" w:rsidRDefault="00000000">
            <w:pPr>
              <w:spacing w:before="60" w:after="60"/>
              <w:jc w:val="center"/>
              <w:rPr>
                <w:b/>
                <w:bCs/>
                <w:i/>
                <w:iCs/>
                <w:color w:val="000000"/>
                <w:sz w:val="20"/>
                <w:lang w:val="fr-FR"/>
              </w:rPr>
            </w:pPr>
          </w:p>
        </w:tc>
        <w:tc>
          <w:tcPr>
            <w:tcW w:w="767" w:type="dxa"/>
            <w:tcBorders>
              <w:bottom w:val="single" w:sz="4" w:space="0" w:color="auto"/>
            </w:tcBorders>
            <w:vAlign w:val="center"/>
          </w:tcPr>
          <w:p w:rsidR="00000000" w:rsidRDefault="00000000">
            <w:pPr>
              <w:spacing w:before="60" w:after="60"/>
              <w:jc w:val="center"/>
              <w:rPr>
                <w:b/>
                <w:bCs/>
                <w:i/>
                <w:iCs/>
                <w:color w:val="000000"/>
                <w:sz w:val="20"/>
                <w:lang w:val="fr-FR"/>
              </w:rPr>
            </w:pPr>
          </w:p>
        </w:tc>
        <w:tc>
          <w:tcPr>
            <w:tcW w:w="1585" w:type="dxa"/>
            <w:tcBorders>
              <w:top w:val="single" w:sz="4" w:space="0" w:color="auto"/>
              <w:bottom w:val="single" w:sz="4" w:space="0" w:color="auto"/>
            </w:tcBorders>
            <w:vAlign w:val="center"/>
          </w:tcPr>
          <w:p w:rsidR="00000000" w:rsidRDefault="00000000">
            <w:pPr>
              <w:keepNext/>
              <w:spacing w:before="60" w:after="60"/>
              <w:jc w:val="center"/>
              <w:rPr>
                <w:b/>
                <w:bCs/>
                <w:i/>
                <w:iCs/>
                <w:color w:val="000000"/>
                <w:sz w:val="20"/>
                <w:lang w:val="fr-FR"/>
              </w:rPr>
            </w:pPr>
            <w:r>
              <w:rPr>
                <w:b/>
                <w:bCs/>
                <w:i/>
                <w:iCs/>
                <w:color w:val="000000"/>
                <w:sz w:val="20"/>
                <w:lang w:val="fr-FR"/>
              </w:rPr>
              <w:t>En valeur absolue</w:t>
            </w:r>
          </w:p>
        </w:tc>
        <w:tc>
          <w:tcPr>
            <w:tcW w:w="1490" w:type="dxa"/>
            <w:tcBorders>
              <w:top w:val="single" w:sz="4" w:space="0" w:color="auto"/>
              <w:bottom w:val="single" w:sz="4" w:space="0" w:color="auto"/>
            </w:tcBorders>
            <w:vAlign w:val="center"/>
          </w:tcPr>
          <w:p w:rsidR="00000000" w:rsidRDefault="00000000">
            <w:pPr>
              <w:keepNext/>
              <w:spacing w:before="60" w:after="60"/>
              <w:jc w:val="center"/>
              <w:rPr>
                <w:b/>
                <w:bCs/>
                <w:i/>
                <w:iCs/>
                <w:color w:val="000000"/>
                <w:sz w:val="20"/>
                <w:lang w:val="fr-FR"/>
              </w:rPr>
            </w:pPr>
            <w:r>
              <w:rPr>
                <w:b/>
                <w:bCs/>
                <w:i/>
                <w:iCs/>
                <w:color w:val="000000"/>
                <w:sz w:val="20"/>
                <w:lang w:val="fr-FR"/>
              </w:rPr>
              <w:t>En pourcentage</w:t>
            </w:r>
          </w:p>
        </w:tc>
        <w:tc>
          <w:tcPr>
            <w:tcW w:w="1303" w:type="dxa"/>
            <w:tcBorders>
              <w:top w:val="single" w:sz="4" w:space="0" w:color="auto"/>
              <w:bottom w:val="single" w:sz="4" w:space="0" w:color="auto"/>
            </w:tcBorders>
            <w:vAlign w:val="center"/>
          </w:tcPr>
          <w:p w:rsidR="00000000" w:rsidRDefault="00000000">
            <w:pPr>
              <w:keepNext/>
              <w:spacing w:before="60" w:after="60"/>
              <w:jc w:val="center"/>
              <w:rPr>
                <w:b/>
                <w:bCs/>
                <w:i/>
                <w:iCs/>
                <w:color w:val="000000"/>
                <w:sz w:val="20"/>
                <w:lang w:val="fr-FR"/>
              </w:rPr>
            </w:pPr>
            <w:r>
              <w:rPr>
                <w:b/>
                <w:bCs/>
                <w:i/>
                <w:iCs/>
                <w:color w:val="000000"/>
                <w:sz w:val="20"/>
                <w:lang w:val="fr-FR"/>
              </w:rPr>
              <w:t xml:space="preserve">En valeur </w:t>
            </w:r>
            <w:r>
              <w:rPr>
                <w:b/>
                <w:bCs/>
                <w:i/>
                <w:iCs/>
                <w:color w:val="000000"/>
                <w:sz w:val="20"/>
                <w:lang w:val="fr-FR"/>
              </w:rPr>
              <w:br/>
              <w:t>absolue</w:t>
            </w:r>
          </w:p>
        </w:tc>
        <w:tc>
          <w:tcPr>
            <w:tcW w:w="1587" w:type="dxa"/>
            <w:tcBorders>
              <w:top w:val="single" w:sz="4" w:space="0" w:color="auto"/>
              <w:bottom w:val="single" w:sz="4" w:space="0" w:color="auto"/>
            </w:tcBorders>
            <w:vAlign w:val="center"/>
          </w:tcPr>
          <w:p w:rsidR="00000000" w:rsidRDefault="00000000">
            <w:pPr>
              <w:spacing w:before="60" w:after="60"/>
              <w:rPr>
                <w:b/>
                <w:bCs/>
                <w:i/>
                <w:iCs/>
                <w:color w:val="000000"/>
                <w:sz w:val="20"/>
                <w:lang w:val="fr-FR"/>
              </w:rPr>
            </w:pPr>
            <w:r>
              <w:rPr>
                <w:b/>
                <w:bCs/>
                <w:i/>
                <w:iCs/>
                <w:color w:val="000000"/>
                <w:sz w:val="20"/>
                <w:lang w:val="fr-FR"/>
              </w:rPr>
              <w:t>En pourcentage</w:t>
            </w:r>
          </w:p>
        </w:tc>
      </w:tr>
      <w:tr w:rsidR="00000000">
        <w:tblPrEx>
          <w:tblCellMar>
            <w:top w:w="0" w:type="dxa"/>
            <w:bottom w:w="0" w:type="dxa"/>
          </w:tblCellMar>
        </w:tblPrEx>
        <w:trPr>
          <w:jc w:val="center"/>
        </w:trPr>
        <w:tc>
          <w:tcPr>
            <w:tcW w:w="976" w:type="dxa"/>
            <w:tcBorders>
              <w:top w:val="single" w:sz="4" w:space="0" w:color="auto"/>
            </w:tcBorders>
          </w:tcPr>
          <w:p w:rsidR="00000000" w:rsidRDefault="00000000">
            <w:pPr>
              <w:spacing w:before="60" w:after="60"/>
              <w:rPr>
                <w:color w:val="000000"/>
                <w:sz w:val="20"/>
                <w:lang w:val="fr-FR"/>
              </w:rPr>
            </w:pPr>
            <w:r>
              <w:rPr>
                <w:color w:val="000000"/>
                <w:sz w:val="20"/>
                <w:lang w:val="fr-FR"/>
              </w:rPr>
              <w:t>Sierra</w:t>
            </w:r>
          </w:p>
        </w:tc>
        <w:tc>
          <w:tcPr>
            <w:tcW w:w="767" w:type="dxa"/>
            <w:tcBorders>
              <w:top w:val="single" w:sz="4" w:space="0" w:color="auto"/>
            </w:tcBorders>
          </w:tcPr>
          <w:p w:rsidR="00000000" w:rsidRDefault="00000000">
            <w:pPr>
              <w:spacing w:before="60" w:after="60"/>
              <w:jc w:val="right"/>
              <w:rPr>
                <w:color w:val="000000"/>
                <w:sz w:val="20"/>
                <w:lang w:val="fr-FR"/>
              </w:rPr>
            </w:pPr>
            <w:r>
              <w:rPr>
                <w:color w:val="000000"/>
                <w:sz w:val="20"/>
                <w:lang w:val="fr-FR"/>
              </w:rPr>
              <w:t xml:space="preserve">6,5 </w:t>
            </w:r>
          </w:p>
        </w:tc>
        <w:tc>
          <w:tcPr>
            <w:tcW w:w="767" w:type="dxa"/>
            <w:tcBorders>
              <w:top w:val="single" w:sz="4" w:space="0" w:color="auto"/>
            </w:tcBorders>
          </w:tcPr>
          <w:p w:rsidR="00000000" w:rsidRDefault="00000000">
            <w:pPr>
              <w:spacing w:before="60" w:after="60"/>
              <w:jc w:val="right"/>
              <w:rPr>
                <w:color w:val="000000"/>
                <w:sz w:val="20"/>
                <w:lang w:val="fr-FR"/>
              </w:rPr>
            </w:pPr>
            <w:r>
              <w:rPr>
                <w:color w:val="000000"/>
                <w:sz w:val="20"/>
                <w:lang w:val="fr-FR"/>
              </w:rPr>
              <w:t xml:space="preserve">9,6 </w:t>
            </w:r>
          </w:p>
        </w:tc>
        <w:tc>
          <w:tcPr>
            <w:tcW w:w="767" w:type="dxa"/>
            <w:tcBorders>
              <w:top w:val="single" w:sz="4" w:space="0" w:color="auto"/>
            </w:tcBorders>
          </w:tcPr>
          <w:p w:rsidR="00000000" w:rsidRDefault="00000000">
            <w:pPr>
              <w:spacing w:before="60" w:after="60"/>
              <w:jc w:val="right"/>
              <w:rPr>
                <w:color w:val="000000"/>
                <w:sz w:val="20"/>
                <w:lang w:val="fr-FR"/>
              </w:rPr>
            </w:pPr>
            <w:r>
              <w:rPr>
                <w:color w:val="000000"/>
                <w:sz w:val="20"/>
                <w:lang w:val="fr-FR"/>
              </w:rPr>
              <w:t xml:space="preserve">12,7 </w:t>
            </w:r>
          </w:p>
        </w:tc>
        <w:tc>
          <w:tcPr>
            <w:tcW w:w="1585" w:type="dxa"/>
            <w:tcBorders>
              <w:top w:val="single" w:sz="4" w:space="0" w:color="auto"/>
            </w:tcBorders>
          </w:tcPr>
          <w:p w:rsidR="00000000" w:rsidRDefault="00000000">
            <w:pPr>
              <w:keepNext/>
              <w:tabs>
                <w:tab w:val="decimal" w:pos="747"/>
              </w:tabs>
              <w:spacing w:before="60" w:after="60"/>
              <w:rPr>
                <w:color w:val="000000"/>
                <w:sz w:val="20"/>
                <w:lang w:val="fr-FR"/>
              </w:rPr>
            </w:pPr>
            <w:r>
              <w:rPr>
                <w:color w:val="000000"/>
                <w:sz w:val="20"/>
                <w:lang w:val="fr-FR"/>
              </w:rPr>
              <w:t xml:space="preserve">3,1 </w:t>
            </w:r>
          </w:p>
        </w:tc>
        <w:tc>
          <w:tcPr>
            <w:tcW w:w="1490" w:type="dxa"/>
            <w:tcBorders>
              <w:top w:val="single" w:sz="4" w:space="0" w:color="auto"/>
            </w:tcBorders>
          </w:tcPr>
          <w:p w:rsidR="00000000" w:rsidRDefault="00000000">
            <w:pPr>
              <w:keepNext/>
              <w:spacing w:before="60" w:after="60"/>
              <w:ind w:right="570"/>
              <w:jc w:val="right"/>
              <w:rPr>
                <w:color w:val="000000"/>
                <w:sz w:val="20"/>
                <w:lang w:val="fr-FR"/>
              </w:rPr>
            </w:pPr>
            <w:r>
              <w:rPr>
                <w:color w:val="000000"/>
                <w:sz w:val="20"/>
                <w:lang w:val="fr-FR"/>
              </w:rPr>
              <w:t xml:space="preserve">48 </w:t>
            </w:r>
          </w:p>
        </w:tc>
        <w:tc>
          <w:tcPr>
            <w:tcW w:w="1303" w:type="dxa"/>
            <w:tcBorders>
              <w:top w:val="single" w:sz="4" w:space="0" w:color="auto"/>
            </w:tcBorders>
          </w:tcPr>
          <w:p w:rsidR="00000000" w:rsidRDefault="00000000">
            <w:pPr>
              <w:keepNext/>
              <w:tabs>
                <w:tab w:val="decimal" w:pos="650"/>
              </w:tabs>
              <w:spacing w:before="60" w:after="60"/>
              <w:rPr>
                <w:color w:val="000000"/>
                <w:sz w:val="20"/>
                <w:lang w:val="fr-FR"/>
              </w:rPr>
            </w:pPr>
            <w:r>
              <w:rPr>
                <w:color w:val="000000"/>
                <w:sz w:val="20"/>
                <w:lang w:val="fr-FR"/>
              </w:rPr>
              <w:t xml:space="preserve">6,2 </w:t>
            </w:r>
          </w:p>
        </w:tc>
        <w:tc>
          <w:tcPr>
            <w:tcW w:w="1587" w:type="dxa"/>
            <w:tcBorders>
              <w:top w:val="single" w:sz="4" w:space="0" w:color="auto"/>
            </w:tcBorders>
          </w:tcPr>
          <w:p w:rsidR="00000000" w:rsidRDefault="00000000">
            <w:pPr>
              <w:spacing w:before="60" w:after="60"/>
              <w:ind w:right="617"/>
              <w:jc w:val="right"/>
              <w:rPr>
                <w:color w:val="000000"/>
                <w:sz w:val="20"/>
                <w:lang w:val="fr-FR"/>
              </w:rPr>
            </w:pPr>
            <w:r>
              <w:rPr>
                <w:color w:val="000000"/>
                <w:sz w:val="20"/>
                <w:lang w:val="fr-FR"/>
              </w:rPr>
              <w:t xml:space="preserve">95  </w:t>
            </w:r>
          </w:p>
        </w:tc>
      </w:tr>
      <w:tr w:rsidR="00000000">
        <w:tblPrEx>
          <w:tblCellMar>
            <w:top w:w="0" w:type="dxa"/>
            <w:bottom w:w="0" w:type="dxa"/>
          </w:tblCellMar>
        </w:tblPrEx>
        <w:trPr>
          <w:jc w:val="center"/>
        </w:trPr>
        <w:tc>
          <w:tcPr>
            <w:tcW w:w="976" w:type="dxa"/>
          </w:tcPr>
          <w:p w:rsidR="00000000" w:rsidRDefault="00000000">
            <w:pPr>
              <w:spacing w:before="60" w:after="60"/>
              <w:rPr>
                <w:color w:val="000000"/>
                <w:sz w:val="20"/>
                <w:lang w:val="fr-FR"/>
              </w:rPr>
            </w:pPr>
            <w:r>
              <w:rPr>
                <w:color w:val="000000"/>
                <w:sz w:val="20"/>
                <w:lang w:val="fr-FR"/>
              </w:rPr>
              <w:t xml:space="preserve">Costa </w:t>
            </w:r>
          </w:p>
        </w:tc>
        <w:tc>
          <w:tcPr>
            <w:tcW w:w="767" w:type="dxa"/>
          </w:tcPr>
          <w:p w:rsidR="00000000" w:rsidRDefault="00000000">
            <w:pPr>
              <w:spacing w:before="60" w:after="60"/>
              <w:jc w:val="right"/>
              <w:rPr>
                <w:color w:val="000000"/>
                <w:sz w:val="20"/>
                <w:lang w:val="fr-FR"/>
              </w:rPr>
            </w:pPr>
            <w:r>
              <w:rPr>
                <w:color w:val="000000"/>
                <w:sz w:val="20"/>
                <w:lang w:val="fr-FR"/>
              </w:rPr>
              <w:t xml:space="preserve">7,1 </w:t>
            </w:r>
          </w:p>
        </w:tc>
        <w:tc>
          <w:tcPr>
            <w:tcW w:w="767" w:type="dxa"/>
          </w:tcPr>
          <w:p w:rsidR="00000000" w:rsidRDefault="00000000">
            <w:pPr>
              <w:spacing w:before="60" w:after="60"/>
              <w:jc w:val="right"/>
              <w:rPr>
                <w:color w:val="000000"/>
                <w:sz w:val="20"/>
                <w:lang w:val="fr-FR"/>
              </w:rPr>
            </w:pPr>
            <w:r>
              <w:rPr>
                <w:color w:val="000000"/>
                <w:sz w:val="20"/>
                <w:lang w:val="fr-FR"/>
              </w:rPr>
              <w:t xml:space="preserve">12,8 </w:t>
            </w:r>
          </w:p>
        </w:tc>
        <w:tc>
          <w:tcPr>
            <w:tcW w:w="767" w:type="dxa"/>
          </w:tcPr>
          <w:p w:rsidR="00000000" w:rsidRDefault="00000000">
            <w:pPr>
              <w:spacing w:before="60" w:after="60"/>
              <w:jc w:val="right"/>
              <w:rPr>
                <w:color w:val="000000"/>
                <w:sz w:val="20"/>
                <w:lang w:val="fr-FR"/>
              </w:rPr>
            </w:pPr>
            <w:r>
              <w:rPr>
                <w:color w:val="000000"/>
                <w:sz w:val="20"/>
                <w:lang w:val="fr-FR"/>
              </w:rPr>
              <w:t xml:space="preserve">15,8 </w:t>
            </w:r>
          </w:p>
        </w:tc>
        <w:tc>
          <w:tcPr>
            <w:tcW w:w="1585" w:type="dxa"/>
          </w:tcPr>
          <w:p w:rsidR="00000000" w:rsidRDefault="00000000">
            <w:pPr>
              <w:keepNext/>
              <w:tabs>
                <w:tab w:val="decimal" w:pos="747"/>
              </w:tabs>
              <w:spacing w:before="60" w:after="60"/>
              <w:rPr>
                <w:color w:val="000000"/>
                <w:sz w:val="20"/>
                <w:lang w:val="fr-FR"/>
              </w:rPr>
            </w:pPr>
            <w:r>
              <w:rPr>
                <w:color w:val="000000"/>
                <w:sz w:val="20"/>
                <w:lang w:val="fr-FR"/>
              </w:rPr>
              <w:t xml:space="preserve">5,7 </w:t>
            </w:r>
          </w:p>
        </w:tc>
        <w:tc>
          <w:tcPr>
            <w:tcW w:w="1490" w:type="dxa"/>
          </w:tcPr>
          <w:p w:rsidR="00000000" w:rsidRDefault="00000000">
            <w:pPr>
              <w:keepNext/>
              <w:spacing w:before="60" w:after="60"/>
              <w:ind w:right="570"/>
              <w:jc w:val="right"/>
              <w:rPr>
                <w:color w:val="000000"/>
                <w:sz w:val="20"/>
                <w:lang w:val="fr-FR"/>
              </w:rPr>
            </w:pPr>
            <w:r>
              <w:rPr>
                <w:color w:val="000000"/>
                <w:sz w:val="20"/>
                <w:lang w:val="fr-FR"/>
              </w:rPr>
              <w:t xml:space="preserve">80 </w:t>
            </w:r>
          </w:p>
        </w:tc>
        <w:tc>
          <w:tcPr>
            <w:tcW w:w="1303" w:type="dxa"/>
          </w:tcPr>
          <w:p w:rsidR="00000000" w:rsidRDefault="00000000">
            <w:pPr>
              <w:keepNext/>
              <w:tabs>
                <w:tab w:val="decimal" w:pos="650"/>
              </w:tabs>
              <w:spacing w:before="60" w:after="60"/>
              <w:rPr>
                <w:color w:val="000000"/>
                <w:sz w:val="20"/>
                <w:lang w:val="fr-FR"/>
              </w:rPr>
            </w:pPr>
            <w:r>
              <w:rPr>
                <w:color w:val="000000"/>
                <w:sz w:val="20"/>
                <w:lang w:val="fr-FR"/>
              </w:rPr>
              <w:t xml:space="preserve">8,7 </w:t>
            </w:r>
          </w:p>
        </w:tc>
        <w:tc>
          <w:tcPr>
            <w:tcW w:w="1587" w:type="dxa"/>
          </w:tcPr>
          <w:p w:rsidR="00000000" w:rsidRDefault="00000000">
            <w:pPr>
              <w:spacing w:before="60" w:after="60"/>
              <w:ind w:right="617"/>
              <w:jc w:val="right"/>
              <w:rPr>
                <w:color w:val="000000"/>
                <w:sz w:val="20"/>
                <w:lang w:val="fr-FR"/>
              </w:rPr>
            </w:pPr>
            <w:r>
              <w:rPr>
                <w:color w:val="000000"/>
                <w:sz w:val="20"/>
                <w:lang w:val="fr-FR"/>
              </w:rPr>
              <w:t xml:space="preserve">123  </w:t>
            </w:r>
          </w:p>
        </w:tc>
      </w:tr>
      <w:tr w:rsidR="00000000">
        <w:tblPrEx>
          <w:tblCellMar>
            <w:top w:w="0" w:type="dxa"/>
            <w:bottom w:w="0" w:type="dxa"/>
          </w:tblCellMar>
        </w:tblPrEx>
        <w:trPr>
          <w:jc w:val="center"/>
        </w:trPr>
        <w:tc>
          <w:tcPr>
            <w:tcW w:w="976" w:type="dxa"/>
            <w:tcBorders>
              <w:bottom w:val="single" w:sz="4" w:space="0" w:color="auto"/>
            </w:tcBorders>
          </w:tcPr>
          <w:p w:rsidR="00000000" w:rsidRDefault="00000000">
            <w:pPr>
              <w:spacing w:before="60" w:after="60"/>
              <w:rPr>
                <w:color w:val="000000"/>
                <w:sz w:val="20"/>
                <w:lang w:val="fr-FR"/>
              </w:rPr>
            </w:pPr>
            <w:r>
              <w:rPr>
                <w:color w:val="000000"/>
                <w:sz w:val="20"/>
                <w:lang w:val="fr-FR"/>
              </w:rPr>
              <w:t xml:space="preserve">Amazonía </w:t>
            </w:r>
          </w:p>
        </w:tc>
        <w:tc>
          <w:tcPr>
            <w:tcW w:w="767" w:type="dxa"/>
            <w:tcBorders>
              <w:bottom w:val="single" w:sz="4" w:space="0" w:color="auto"/>
            </w:tcBorders>
          </w:tcPr>
          <w:p w:rsidR="00000000" w:rsidRDefault="00000000">
            <w:pPr>
              <w:spacing w:before="60" w:after="60"/>
              <w:jc w:val="right"/>
              <w:rPr>
                <w:color w:val="000000"/>
                <w:sz w:val="20"/>
                <w:lang w:val="fr-FR"/>
              </w:rPr>
            </w:pPr>
            <w:r>
              <w:rPr>
                <w:color w:val="000000"/>
                <w:sz w:val="20"/>
                <w:lang w:val="fr-FR"/>
              </w:rPr>
              <w:t xml:space="preserve">5,5 </w:t>
            </w:r>
          </w:p>
        </w:tc>
        <w:tc>
          <w:tcPr>
            <w:tcW w:w="767" w:type="dxa"/>
            <w:tcBorders>
              <w:bottom w:val="single" w:sz="4" w:space="0" w:color="auto"/>
            </w:tcBorders>
          </w:tcPr>
          <w:p w:rsidR="00000000" w:rsidRDefault="00000000">
            <w:pPr>
              <w:spacing w:before="60" w:after="60"/>
              <w:jc w:val="right"/>
              <w:rPr>
                <w:color w:val="000000"/>
                <w:sz w:val="20"/>
                <w:lang w:val="fr-FR"/>
              </w:rPr>
            </w:pPr>
            <w:r>
              <w:rPr>
                <w:color w:val="000000"/>
                <w:sz w:val="20"/>
                <w:lang w:val="fr-FR"/>
              </w:rPr>
              <w:t xml:space="preserve">8,6 </w:t>
            </w:r>
          </w:p>
        </w:tc>
        <w:tc>
          <w:tcPr>
            <w:tcW w:w="767" w:type="dxa"/>
            <w:tcBorders>
              <w:bottom w:val="single" w:sz="4" w:space="0" w:color="auto"/>
            </w:tcBorders>
          </w:tcPr>
          <w:p w:rsidR="00000000" w:rsidRDefault="00000000">
            <w:pPr>
              <w:spacing w:before="60" w:after="60"/>
              <w:jc w:val="right"/>
              <w:rPr>
                <w:color w:val="000000"/>
                <w:sz w:val="20"/>
                <w:lang w:val="fr-FR"/>
              </w:rPr>
            </w:pPr>
            <w:r>
              <w:rPr>
                <w:color w:val="000000"/>
                <w:sz w:val="20"/>
                <w:lang w:val="fr-FR"/>
              </w:rPr>
              <w:t xml:space="preserve">12,2 </w:t>
            </w:r>
          </w:p>
        </w:tc>
        <w:tc>
          <w:tcPr>
            <w:tcW w:w="1585" w:type="dxa"/>
            <w:tcBorders>
              <w:bottom w:val="single" w:sz="4" w:space="0" w:color="auto"/>
            </w:tcBorders>
          </w:tcPr>
          <w:p w:rsidR="00000000" w:rsidRDefault="00000000">
            <w:pPr>
              <w:keepNext/>
              <w:tabs>
                <w:tab w:val="decimal" w:pos="747"/>
              </w:tabs>
              <w:spacing w:before="60" w:after="60"/>
              <w:rPr>
                <w:color w:val="000000"/>
                <w:sz w:val="20"/>
                <w:lang w:val="fr-FR"/>
              </w:rPr>
            </w:pPr>
            <w:r>
              <w:rPr>
                <w:color w:val="000000"/>
                <w:sz w:val="20"/>
                <w:lang w:val="fr-FR"/>
              </w:rPr>
              <w:t xml:space="preserve">3,1 </w:t>
            </w:r>
          </w:p>
        </w:tc>
        <w:tc>
          <w:tcPr>
            <w:tcW w:w="1490" w:type="dxa"/>
            <w:tcBorders>
              <w:bottom w:val="single" w:sz="4" w:space="0" w:color="auto"/>
            </w:tcBorders>
          </w:tcPr>
          <w:p w:rsidR="00000000" w:rsidRDefault="00000000">
            <w:pPr>
              <w:keepNext/>
              <w:spacing w:before="60" w:after="60"/>
              <w:ind w:right="570"/>
              <w:jc w:val="right"/>
              <w:rPr>
                <w:color w:val="000000"/>
                <w:sz w:val="20"/>
                <w:lang w:val="fr-FR"/>
              </w:rPr>
            </w:pPr>
            <w:r>
              <w:rPr>
                <w:color w:val="000000"/>
                <w:sz w:val="20"/>
                <w:lang w:val="fr-FR"/>
              </w:rPr>
              <w:t xml:space="preserve">56 </w:t>
            </w:r>
          </w:p>
        </w:tc>
        <w:tc>
          <w:tcPr>
            <w:tcW w:w="1303" w:type="dxa"/>
            <w:tcBorders>
              <w:bottom w:val="single" w:sz="4" w:space="0" w:color="auto"/>
            </w:tcBorders>
          </w:tcPr>
          <w:p w:rsidR="00000000" w:rsidRDefault="00000000">
            <w:pPr>
              <w:keepNext/>
              <w:tabs>
                <w:tab w:val="decimal" w:pos="650"/>
              </w:tabs>
              <w:spacing w:before="60" w:after="60"/>
              <w:rPr>
                <w:color w:val="000000"/>
                <w:sz w:val="20"/>
                <w:lang w:val="fr-FR"/>
              </w:rPr>
            </w:pPr>
            <w:r>
              <w:rPr>
                <w:color w:val="000000"/>
                <w:sz w:val="20"/>
                <w:lang w:val="fr-FR"/>
              </w:rPr>
              <w:t xml:space="preserve">6,7 </w:t>
            </w:r>
          </w:p>
        </w:tc>
        <w:tc>
          <w:tcPr>
            <w:tcW w:w="1587" w:type="dxa"/>
            <w:tcBorders>
              <w:bottom w:val="single" w:sz="4" w:space="0" w:color="auto"/>
            </w:tcBorders>
          </w:tcPr>
          <w:p w:rsidR="00000000" w:rsidRDefault="00000000">
            <w:pPr>
              <w:spacing w:before="60" w:after="60"/>
              <w:ind w:right="617"/>
              <w:jc w:val="right"/>
              <w:rPr>
                <w:color w:val="000000"/>
                <w:sz w:val="20"/>
                <w:lang w:val="fr-FR"/>
              </w:rPr>
            </w:pPr>
            <w:r>
              <w:rPr>
                <w:color w:val="000000"/>
                <w:sz w:val="20"/>
                <w:lang w:val="fr-FR"/>
              </w:rPr>
              <w:t xml:space="preserve">122  </w:t>
            </w:r>
          </w:p>
        </w:tc>
      </w:tr>
    </w:tbl>
    <w:p w:rsidR="00000000" w:rsidRDefault="00000000">
      <w:pPr>
        <w:autoSpaceDE w:val="0"/>
        <w:autoSpaceDN w:val="0"/>
        <w:adjustRightInd w:val="0"/>
        <w:spacing w:before="80" w:after="240"/>
        <w:rPr>
          <w:color w:val="000000"/>
          <w:sz w:val="20"/>
          <w:lang w:val="fr-FR"/>
        </w:rPr>
      </w:pPr>
      <w:r>
        <w:rPr>
          <w:i/>
          <w:iCs/>
          <w:color w:val="000000"/>
          <w:sz w:val="20"/>
          <w:lang w:val="fr-FR"/>
        </w:rPr>
        <w:tab/>
        <w:t>Source :</w:t>
      </w:r>
      <w:r>
        <w:rPr>
          <w:color w:val="000000"/>
          <w:sz w:val="20"/>
          <w:lang w:val="fr-FR"/>
        </w:rPr>
        <w:t xml:space="preserve">  INEC, Enquête urbaine sur l'emploi, le sous-emploi et le chômage.</w:t>
      </w:r>
    </w:p>
    <w:p w:rsidR="00000000" w:rsidRDefault="00000000">
      <w:pPr>
        <w:autoSpaceDE w:val="0"/>
        <w:autoSpaceDN w:val="0"/>
        <w:adjustRightInd w:val="0"/>
        <w:spacing w:after="240"/>
        <w:rPr>
          <w:lang w:val="fr-FR"/>
        </w:rPr>
      </w:pPr>
      <w:r>
        <w:rPr>
          <w:lang w:val="fr-FR"/>
        </w:rPr>
        <w:t>59.</w:t>
      </w:r>
      <w:r>
        <w:rPr>
          <w:lang w:val="fr-FR"/>
        </w:rPr>
        <w:tab/>
        <w:t>L'accroissement du chômage procède donc de deux facteurs : la restriction de la demande de travail et l'augmentation de la population en âge de travailler.</w:t>
      </w:r>
    </w:p>
    <w:p w:rsidR="00000000" w:rsidRDefault="00000000">
      <w:pPr>
        <w:spacing w:after="120"/>
        <w:jc w:val="center"/>
        <w:rPr>
          <w:b/>
          <w:bCs/>
          <w:color w:val="000000"/>
          <w:sz w:val="20"/>
          <w:lang w:val="fr-FR"/>
        </w:rPr>
      </w:pPr>
      <w:r>
        <w:rPr>
          <w:b/>
          <w:bCs/>
          <w:color w:val="000000"/>
          <w:sz w:val="20"/>
          <w:lang w:val="fr-FR"/>
        </w:rPr>
        <w:t>Population totale urbaine (1990)</w:t>
      </w:r>
    </w:p>
    <w:tbl>
      <w:tblPr>
        <w:tblW w:w="8505"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3462"/>
        <w:gridCol w:w="1726"/>
        <w:gridCol w:w="1672"/>
        <w:gridCol w:w="1645"/>
      </w:tblGrid>
      <w:tr w:rsidR="00000000">
        <w:tblPrEx>
          <w:tblCellMar>
            <w:top w:w="0" w:type="dxa"/>
            <w:bottom w:w="0" w:type="dxa"/>
          </w:tblCellMar>
        </w:tblPrEx>
        <w:trPr>
          <w:jc w:val="center"/>
        </w:trPr>
        <w:tc>
          <w:tcPr>
            <w:tcW w:w="2895"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Groupe</w:t>
            </w:r>
          </w:p>
        </w:tc>
        <w:tc>
          <w:tcPr>
            <w:tcW w:w="1443"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Total</w:t>
            </w:r>
          </w:p>
        </w:tc>
        <w:tc>
          <w:tcPr>
            <w:tcW w:w="1398"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Hommes</w:t>
            </w:r>
          </w:p>
        </w:tc>
        <w:tc>
          <w:tcPr>
            <w:tcW w:w="1375"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Femmes</w:t>
            </w:r>
          </w:p>
        </w:tc>
      </w:tr>
      <w:tr w:rsidR="00000000">
        <w:tblPrEx>
          <w:tblCellMar>
            <w:top w:w="0" w:type="dxa"/>
            <w:bottom w:w="0" w:type="dxa"/>
          </w:tblCellMar>
        </w:tblPrEx>
        <w:trPr>
          <w:jc w:val="center"/>
        </w:trPr>
        <w:tc>
          <w:tcPr>
            <w:tcW w:w="2895" w:type="dxa"/>
            <w:tcBorders>
              <w:top w:val="single" w:sz="4" w:space="0" w:color="auto"/>
            </w:tcBorders>
          </w:tcPr>
          <w:p w:rsidR="00000000" w:rsidRDefault="00000000">
            <w:pPr>
              <w:spacing w:before="60" w:after="60"/>
              <w:ind w:left="113"/>
              <w:rPr>
                <w:color w:val="000000"/>
                <w:sz w:val="20"/>
                <w:lang w:val="fr-FR"/>
              </w:rPr>
            </w:pPr>
            <w:r>
              <w:rPr>
                <w:color w:val="000000"/>
                <w:sz w:val="20"/>
                <w:lang w:val="fr-FR"/>
              </w:rPr>
              <w:t xml:space="preserve">Population totale </w:t>
            </w:r>
          </w:p>
        </w:tc>
        <w:tc>
          <w:tcPr>
            <w:tcW w:w="1443" w:type="dxa"/>
            <w:tcBorders>
              <w:top w:val="single" w:sz="4" w:space="0" w:color="auto"/>
            </w:tcBorders>
          </w:tcPr>
          <w:p w:rsidR="00000000" w:rsidRDefault="00000000">
            <w:pPr>
              <w:spacing w:before="60" w:after="60"/>
              <w:ind w:right="352"/>
              <w:jc w:val="right"/>
              <w:rPr>
                <w:color w:val="000000"/>
                <w:sz w:val="20"/>
                <w:lang w:val="fr-FR"/>
              </w:rPr>
            </w:pPr>
            <w:r>
              <w:rPr>
                <w:color w:val="000000"/>
                <w:sz w:val="20"/>
                <w:lang w:val="fr-FR"/>
              </w:rPr>
              <w:t xml:space="preserve">6 172 978 </w:t>
            </w:r>
          </w:p>
        </w:tc>
        <w:tc>
          <w:tcPr>
            <w:tcW w:w="1398" w:type="dxa"/>
            <w:tcBorders>
              <w:top w:val="single" w:sz="4" w:space="0" w:color="auto"/>
            </w:tcBorders>
          </w:tcPr>
          <w:p w:rsidR="00000000" w:rsidRDefault="00000000">
            <w:pPr>
              <w:spacing w:before="60" w:after="60"/>
              <w:ind w:right="352"/>
              <w:jc w:val="right"/>
              <w:rPr>
                <w:color w:val="000000"/>
                <w:sz w:val="20"/>
                <w:lang w:val="fr-FR"/>
              </w:rPr>
            </w:pPr>
            <w:r>
              <w:rPr>
                <w:color w:val="000000"/>
                <w:sz w:val="20"/>
                <w:lang w:val="fr-FR"/>
              </w:rPr>
              <w:t xml:space="preserve">3 020 358 </w:t>
            </w:r>
          </w:p>
        </w:tc>
        <w:tc>
          <w:tcPr>
            <w:tcW w:w="1375" w:type="dxa"/>
            <w:tcBorders>
              <w:top w:val="single" w:sz="4" w:space="0" w:color="auto"/>
            </w:tcBorders>
          </w:tcPr>
          <w:p w:rsidR="00000000" w:rsidRDefault="00000000">
            <w:pPr>
              <w:spacing w:before="60" w:after="60"/>
              <w:ind w:right="352"/>
              <w:jc w:val="right"/>
              <w:rPr>
                <w:color w:val="000000"/>
                <w:sz w:val="20"/>
                <w:lang w:val="fr-FR"/>
              </w:rPr>
            </w:pPr>
            <w:r>
              <w:rPr>
                <w:color w:val="000000"/>
                <w:sz w:val="20"/>
                <w:lang w:val="fr-FR"/>
              </w:rPr>
              <w:t xml:space="preserve">3 152 620  </w:t>
            </w:r>
          </w:p>
        </w:tc>
      </w:tr>
      <w:tr w:rsidR="00000000">
        <w:tblPrEx>
          <w:tblCellMar>
            <w:top w:w="0" w:type="dxa"/>
            <w:bottom w:w="0" w:type="dxa"/>
          </w:tblCellMar>
        </w:tblPrEx>
        <w:trPr>
          <w:jc w:val="center"/>
        </w:trPr>
        <w:tc>
          <w:tcPr>
            <w:tcW w:w="2895" w:type="dxa"/>
          </w:tcPr>
          <w:p w:rsidR="00000000" w:rsidRDefault="00000000">
            <w:pPr>
              <w:spacing w:before="60" w:after="60"/>
              <w:ind w:left="113"/>
              <w:rPr>
                <w:color w:val="000000"/>
                <w:sz w:val="20"/>
                <w:lang w:val="fr-FR"/>
              </w:rPr>
            </w:pPr>
            <w:r>
              <w:rPr>
                <w:color w:val="000000"/>
                <w:sz w:val="20"/>
                <w:lang w:val="fr-FR"/>
              </w:rPr>
              <w:t xml:space="preserve">Mineurs de moins de 10 ans </w:t>
            </w:r>
          </w:p>
        </w:tc>
        <w:tc>
          <w:tcPr>
            <w:tcW w:w="1443" w:type="dxa"/>
          </w:tcPr>
          <w:p w:rsidR="00000000" w:rsidRDefault="00000000">
            <w:pPr>
              <w:spacing w:before="60" w:after="60"/>
              <w:ind w:right="352"/>
              <w:jc w:val="right"/>
              <w:rPr>
                <w:color w:val="000000"/>
                <w:sz w:val="20"/>
                <w:lang w:val="fr-FR"/>
              </w:rPr>
            </w:pPr>
            <w:r>
              <w:rPr>
                <w:color w:val="000000"/>
                <w:sz w:val="20"/>
                <w:lang w:val="fr-FR"/>
              </w:rPr>
              <w:t xml:space="preserve">1 432 662 </w:t>
            </w:r>
          </w:p>
        </w:tc>
        <w:tc>
          <w:tcPr>
            <w:tcW w:w="1398" w:type="dxa"/>
          </w:tcPr>
          <w:p w:rsidR="00000000" w:rsidRDefault="00000000">
            <w:pPr>
              <w:spacing w:before="60" w:after="60"/>
              <w:ind w:right="352"/>
              <w:jc w:val="right"/>
              <w:rPr>
                <w:color w:val="000000"/>
                <w:sz w:val="20"/>
                <w:lang w:val="fr-FR"/>
              </w:rPr>
            </w:pPr>
            <w:r>
              <w:rPr>
                <w:color w:val="000000"/>
                <w:sz w:val="20"/>
                <w:lang w:val="fr-FR"/>
              </w:rPr>
              <w:t xml:space="preserve">730 411 </w:t>
            </w:r>
          </w:p>
        </w:tc>
        <w:tc>
          <w:tcPr>
            <w:tcW w:w="1375" w:type="dxa"/>
          </w:tcPr>
          <w:p w:rsidR="00000000" w:rsidRDefault="00000000">
            <w:pPr>
              <w:spacing w:before="60" w:after="60"/>
              <w:ind w:right="352"/>
              <w:jc w:val="right"/>
              <w:rPr>
                <w:color w:val="000000"/>
                <w:sz w:val="20"/>
                <w:lang w:val="fr-FR"/>
              </w:rPr>
            </w:pPr>
            <w:r>
              <w:rPr>
                <w:color w:val="000000"/>
                <w:sz w:val="20"/>
                <w:lang w:val="fr-FR"/>
              </w:rPr>
              <w:t xml:space="preserve">702 251  </w:t>
            </w:r>
          </w:p>
        </w:tc>
      </w:tr>
      <w:tr w:rsidR="00000000">
        <w:tblPrEx>
          <w:tblCellMar>
            <w:top w:w="0" w:type="dxa"/>
            <w:bottom w:w="0" w:type="dxa"/>
          </w:tblCellMar>
        </w:tblPrEx>
        <w:trPr>
          <w:jc w:val="center"/>
        </w:trPr>
        <w:tc>
          <w:tcPr>
            <w:tcW w:w="2895" w:type="dxa"/>
          </w:tcPr>
          <w:p w:rsidR="00000000" w:rsidRDefault="00000000">
            <w:pPr>
              <w:spacing w:before="60" w:after="60"/>
              <w:ind w:left="113"/>
              <w:rPr>
                <w:color w:val="000000"/>
                <w:sz w:val="20"/>
                <w:lang w:val="fr-FR"/>
              </w:rPr>
            </w:pPr>
            <w:r>
              <w:rPr>
                <w:color w:val="000000"/>
                <w:sz w:val="20"/>
                <w:lang w:val="fr-FR"/>
              </w:rPr>
              <w:t xml:space="preserve">Population en âge de travailler </w:t>
            </w:r>
          </w:p>
        </w:tc>
        <w:tc>
          <w:tcPr>
            <w:tcW w:w="1443" w:type="dxa"/>
          </w:tcPr>
          <w:p w:rsidR="00000000" w:rsidRDefault="00000000">
            <w:pPr>
              <w:spacing w:before="60" w:after="60"/>
              <w:ind w:right="352"/>
              <w:jc w:val="right"/>
              <w:rPr>
                <w:color w:val="000000"/>
                <w:sz w:val="20"/>
                <w:lang w:val="fr-FR"/>
              </w:rPr>
            </w:pPr>
            <w:r>
              <w:rPr>
                <w:color w:val="000000"/>
                <w:sz w:val="20"/>
                <w:lang w:val="fr-FR"/>
              </w:rPr>
              <w:t xml:space="preserve">4 740 316 </w:t>
            </w:r>
          </w:p>
        </w:tc>
        <w:tc>
          <w:tcPr>
            <w:tcW w:w="1398" w:type="dxa"/>
          </w:tcPr>
          <w:p w:rsidR="00000000" w:rsidRDefault="00000000">
            <w:pPr>
              <w:spacing w:before="60" w:after="60"/>
              <w:ind w:right="352"/>
              <w:jc w:val="right"/>
              <w:rPr>
                <w:color w:val="000000"/>
                <w:sz w:val="20"/>
                <w:lang w:val="fr-FR"/>
              </w:rPr>
            </w:pPr>
            <w:r>
              <w:rPr>
                <w:color w:val="000000"/>
                <w:sz w:val="20"/>
                <w:lang w:val="fr-FR"/>
              </w:rPr>
              <w:t xml:space="preserve">2 289 947 </w:t>
            </w:r>
          </w:p>
        </w:tc>
        <w:tc>
          <w:tcPr>
            <w:tcW w:w="1375" w:type="dxa"/>
          </w:tcPr>
          <w:p w:rsidR="00000000" w:rsidRDefault="00000000">
            <w:pPr>
              <w:spacing w:before="60" w:after="60"/>
              <w:ind w:right="352"/>
              <w:jc w:val="right"/>
              <w:rPr>
                <w:color w:val="000000"/>
                <w:sz w:val="20"/>
                <w:lang w:val="fr-FR"/>
              </w:rPr>
            </w:pPr>
            <w:r>
              <w:rPr>
                <w:color w:val="000000"/>
                <w:sz w:val="20"/>
                <w:lang w:val="fr-FR"/>
              </w:rPr>
              <w:t xml:space="preserve">2 450 369  </w:t>
            </w:r>
          </w:p>
        </w:tc>
      </w:tr>
      <w:tr w:rsidR="00000000">
        <w:tblPrEx>
          <w:tblCellMar>
            <w:top w:w="0" w:type="dxa"/>
            <w:bottom w:w="0" w:type="dxa"/>
          </w:tblCellMar>
        </w:tblPrEx>
        <w:trPr>
          <w:jc w:val="center"/>
        </w:trPr>
        <w:tc>
          <w:tcPr>
            <w:tcW w:w="2895" w:type="dxa"/>
          </w:tcPr>
          <w:p w:rsidR="00000000" w:rsidRDefault="00000000">
            <w:pPr>
              <w:spacing w:before="60" w:after="60"/>
              <w:ind w:left="113"/>
              <w:rPr>
                <w:color w:val="000000"/>
                <w:sz w:val="20"/>
                <w:lang w:val="fr-FR"/>
              </w:rPr>
            </w:pPr>
            <w:r>
              <w:rPr>
                <w:color w:val="000000"/>
                <w:sz w:val="20"/>
                <w:lang w:val="fr-FR"/>
              </w:rPr>
              <w:t xml:space="preserve">Population économiquement inactive </w:t>
            </w:r>
          </w:p>
        </w:tc>
        <w:tc>
          <w:tcPr>
            <w:tcW w:w="1443" w:type="dxa"/>
          </w:tcPr>
          <w:p w:rsidR="00000000" w:rsidRDefault="00000000">
            <w:pPr>
              <w:spacing w:before="60" w:after="60"/>
              <w:ind w:right="352"/>
              <w:jc w:val="right"/>
              <w:rPr>
                <w:color w:val="000000"/>
                <w:sz w:val="20"/>
                <w:lang w:val="fr-FR"/>
              </w:rPr>
            </w:pPr>
            <w:r>
              <w:rPr>
                <w:color w:val="000000"/>
                <w:sz w:val="20"/>
                <w:lang w:val="fr-FR"/>
              </w:rPr>
              <w:t xml:space="preserve">2 259 331 </w:t>
            </w:r>
          </w:p>
        </w:tc>
        <w:tc>
          <w:tcPr>
            <w:tcW w:w="1398" w:type="dxa"/>
          </w:tcPr>
          <w:p w:rsidR="00000000" w:rsidRDefault="00000000">
            <w:pPr>
              <w:spacing w:before="60" w:after="60"/>
              <w:ind w:right="352"/>
              <w:jc w:val="right"/>
              <w:rPr>
                <w:color w:val="000000"/>
                <w:sz w:val="20"/>
                <w:lang w:val="fr-FR"/>
              </w:rPr>
            </w:pPr>
            <w:r>
              <w:rPr>
                <w:color w:val="000000"/>
                <w:sz w:val="20"/>
                <w:lang w:val="fr-FR"/>
              </w:rPr>
              <w:t xml:space="preserve">723 208 </w:t>
            </w:r>
          </w:p>
        </w:tc>
        <w:tc>
          <w:tcPr>
            <w:tcW w:w="1375" w:type="dxa"/>
          </w:tcPr>
          <w:p w:rsidR="00000000" w:rsidRDefault="00000000">
            <w:pPr>
              <w:spacing w:before="60" w:after="60"/>
              <w:ind w:right="352"/>
              <w:jc w:val="right"/>
              <w:rPr>
                <w:color w:val="000000"/>
                <w:sz w:val="20"/>
                <w:lang w:val="fr-FR"/>
              </w:rPr>
            </w:pPr>
            <w:r>
              <w:rPr>
                <w:color w:val="000000"/>
                <w:sz w:val="20"/>
                <w:lang w:val="fr-FR"/>
              </w:rPr>
              <w:t xml:space="preserve">1 536 123  </w:t>
            </w:r>
          </w:p>
        </w:tc>
      </w:tr>
      <w:tr w:rsidR="00000000">
        <w:tblPrEx>
          <w:tblCellMar>
            <w:top w:w="0" w:type="dxa"/>
            <w:bottom w:w="0" w:type="dxa"/>
          </w:tblCellMar>
        </w:tblPrEx>
        <w:trPr>
          <w:jc w:val="center"/>
        </w:trPr>
        <w:tc>
          <w:tcPr>
            <w:tcW w:w="2895" w:type="dxa"/>
          </w:tcPr>
          <w:p w:rsidR="00000000" w:rsidRDefault="00000000">
            <w:pPr>
              <w:spacing w:before="60" w:after="60"/>
              <w:ind w:left="113"/>
              <w:rPr>
                <w:color w:val="000000"/>
                <w:sz w:val="20"/>
                <w:lang w:val="fr-FR"/>
              </w:rPr>
            </w:pPr>
            <w:r>
              <w:rPr>
                <w:color w:val="000000"/>
                <w:sz w:val="20"/>
                <w:lang w:val="fr-FR"/>
              </w:rPr>
              <w:t xml:space="preserve">Population économiquement active </w:t>
            </w:r>
          </w:p>
        </w:tc>
        <w:tc>
          <w:tcPr>
            <w:tcW w:w="1443" w:type="dxa"/>
          </w:tcPr>
          <w:p w:rsidR="00000000" w:rsidRDefault="00000000">
            <w:pPr>
              <w:spacing w:before="60" w:after="60"/>
              <w:ind w:right="352"/>
              <w:jc w:val="right"/>
              <w:rPr>
                <w:color w:val="000000"/>
                <w:sz w:val="20"/>
                <w:lang w:val="fr-FR"/>
              </w:rPr>
            </w:pPr>
            <w:r>
              <w:rPr>
                <w:color w:val="000000"/>
                <w:sz w:val="20"/>
                <w:lang w:val="fr-FR"/>
              </w:rPr>
              <w:t xml:space="preserve">2 480 985 </w:t>
            </w:r>
          </w:p>
        </w:tc>
        <w:tc>
          <w:tcPr>
            <w:tcW w:w="1398" w:type="dxa"/>
          </w:tcPr>
          <w:p w:rsidR="00000000" w:rsidRDefault="00000000">
            <w:pPr>
              <w:spacing w:before="60" w:after="60"/>
              <w:ind w:right="352"/>
              <w:jc w:val="right"/>
              <w:rPr>
                <w:color w:val="000000"/>
                <w:sz w:val="20"/>
                <w:lang w:val="fr-FR"/>
              </w:rPr>
            </w:pPr>
            <w:r>
              <w:rPr>
                <w:color w:val="000000"/>
                <w:sz w:val="20"/>
                <w:lang w:val="fr-FR"/>
              </w:rPr>
              <w:t xml:space="preserve">1 566 739 </w:t>
            </w:r>
          </w:p>
        </w:tc>
        <w:tc>
          <w:tcPr>
            <w:tcW w:w="1375" w:type="dxa"/>
          </w:tcPr>
          <w:p w:rsidR="00000000" w:rsidRDefault="00000000">
            <w:pPr>
              <w:spacing w:before="60" w:after="60"/>
              <w:ind w:right="352"/>
              <w:jc w:val="right"/>
              <w:rPr>
                <w:color w:val="000000"/>
                <w:sz w:val="20"/>
                <w:lang w:val="fr-FR"/>
              </w:rPr>
            </w:pPr>
            <w:r>
              <w:rPr>
                <w:color w:val="000000"/>
                <w:sz w:val="20"/>
                <w:lang w:val="fr-FR"/>
              </w:rPr>
              <w:t xml:space="preserve">914 246  </w:t>
            </w:r>
          </w:p>
        </w:tc>
      </w:tr>
      <w:tr w:rsidR="00000000">
        <w:tblPrEx>
          <w:tblCellMar>
            <w:top w:w="0" w:type="dxa"/>
            <w:bottom w:w="0" w:type="dxa"/>
          </w:tblCellMar>
        </w:tblPrEx>
        <w:trPr>
          <w:jc w:val="center"/>
        </w:trPr>
        <w:tc>
          <w:tcPr>
            <w:tcW w:w="2895" w:type="dxa"/>
          </w:tcPr>
          <w:p w:rsidR="00000000" w:rsidRDefault="00000000">
            <w:pPr>
              <w:spacing w:before="60" w:after="60"/>
              <w:ind w:left="113"/>
              <w:rPr>
                <w:color w:val="000000"/>
                <w:sz w:val="20"/>
                <w:lang w:val="fr-FR"/>
              </w:rPr>
            </w:pPr>
            <w:r>
              <w:rPr>
                <w:color w:val="000000"/>
                <w:sz w:val="20"/>
                <w:lang w:val="fr-FR"/>
              </w:rPr>
              <w:t xml:space="preserve">Chômeurs </w:t>
            </w:r>
          </w:p>
        </w:tc>
        <w:tc>
          <w:tcPr>
            <w:tcW w:w="1443" w:type="dxa"/>
          </w:tcPr>
          <w:p w:rsidR="00000000" w:rsidRDefault="00000000">
            <w:pPr>
              <w:spacing w:before="60" w:after="60"/>
              <w:ind w:right="352"/>
              <w:jc w:val="right"/>
              <w:rPr>
                <w:color w:val="000000"/>
                <w:sz w:val="20"/>
                <w:lang w:val="fr-FR"/>
              </w:rPr>
            </w:pPr>
            <w:r>
              <w:rPr>
                <w:color w:val="000000"/>
                <w:sz w:val="20"/>
                <w:lang w:val="fr-FR"/>
              </w:rPr>
              <w:t xml:space="preserve">150 472 </w:t>
            </w:r>
          </w:p>
        </w:tc>
        <w:tc>
          <w:tcPr>
            <w:tcW w:w="1398" w:type="dxa"/>
          </w:tcPr>
          <w:p w:rsidR="00000000" w:rsidRDefault="00000000">
            <w:pPr>
              <w:spacing w:before="60" w:after="60"/>
              <w:ind w:right="352"/>
              <w:jc w:val="right"/>
              <w:rPr>
                <w:color w:val="000000"/>
                <w:sz w:val="20"/>
                <w:lang w:val="fr-FR"/>
              </w:rPr>
            </w:pPr>
            <w:r>
              <w:rPr>
                <w:color w:val="000000"/>
                <w:sz w:val="20"/>
                <w:lang w:val="fr-FR"/>
              </w:rPr>
              <w:t xml:space="preserve">66 945 </w:t>
            </w:r>
          </w:p>
        </w:tc>
        <w:tc>
          <w:tcPr>
            <w:tcW w:w="1375" w:type="dxa"/>
          </w:tcPr>
          <w:p w:rsidR="00000000" w:rsidRDefault="00000000">
            <w:pPr>
              <w:spacing w:before="60" w:after="60"/>
              <w:ind w:right="352"/>
              <w:jc w:val="right"/>
              <w:rPr>
                <w:color w:val="000000"/>
                <w:sz w:val="20"/>
                <w:lang w:val="fr-FR"/>
              </w:rPr>
            </w:pPr>
            <w:r>
              <w:rPr>
                <w:color w:val="000000"/>
                <w:sz w:val="20"/>
                <w:lang w:val="fr-FR"/>
              </w:rPr>
              <w:t xml:space="preserve">83 527  </w:t>
            </w:r>
          </w:p>
        </w:tc>
      </w:tr>
      <w:tr w:rsidR="00000000">
        <w:tblPrEx>
          <w:tblCellMar>
            <w:top w:w="0" w:type="dxa"/>
            <w:bottom w:w="0" w:type="dxa"/>
          </w:tblCellMar>
        </w:tblPrEx>
        <w:trPr>
          <w:jc w:val="center"/>
        </w:trPr>
        <w:tc>
          <w:tcPr>
            <w:tcW w:w="2895" w:type="dxa"/>
          </w:tcPr>
          <w:p w:rsidR="00000000" w:rsidRDefault="00000000">
            <w:pPr>
              <w:spacing w:before="60" w:after="60"/>
              <w:ind w:left="113"/>
              <w:rPr>
                <w:color w:val="000000"/>
                <w:sz w:val="20"/>
                <w:lang w:val="fr-FR"/>
              </w:rPr>
            </w:pPr>
            <w:r>
              <w:rPr>
                <w:color w:val="000000"/>
                <w:sz w:val="20"/>
                <w:lang w:val="fr-FR"/>
              </w:rPr>
              <w:t xml:space="preserve">Occupés </w:t>
            </w:r>
          </w:p>
        </w:tc>
        <w:tc>
          <w:tcPr>
            <w:tcW w:w="1443" w:type="dxa"/>
          </w:tcPr>
          <w:p w:rsidR="00000000" w:rsidRDefault="00000000">
            <w:pPr>
              <w:spacing w:before="60" w:after="60"/>
              <w:ind w:right="352"/>
              <w:jc w:val="right"/>
              <w:rPr>
                <w:color w:val="000000"/>
                <w:sz w:val="20"/>
                <w:lang w:val="fr-FR"/>
              </w:rPr>
            </w:pPr>
            <w:r>
              <w:rPr>
                <w:color w:val="000000"/>
                <w:sz w:val="20"/>
                <w:lang w:val="fr-FR"/>
              </w:rPr>
              <w:t xml:space="preserve">2 330 513 </w:t>
            </w:r>
          </w:p>
        </w:tc>
        <w:tc>
          <w:tcPr>
            <w:tcW w:w="1398" w:type="dxa"/>
          </w:tcPr>
          <w:p w:rsidR="00000000" w:rsidRDefault="00000000">
            <w:pPr>
              <w:spacing w:before="60" w:after="60"/>
              <w:ind w:right="352"/>
              <w:jc w:val="right"/>
              <w:rPr>
                <w:color w:val="000000"/>
                <w:sz w:val="20"/>
                <w:lang w:val="fr-FR"/>
              </w:rPr>
            </w:pPr>
            <w:r>
              <w:rPr>
                <w:color w:val="000000"/>
                <w:sz w:val="20"/>
                <w:lang w:val="fr-FR"/>
              </w:rPr>
              <w:t xml:space="preserve">1 499 794 </w:t>
            </w:r>
          </w:p>
        </w:tc>
        <w:tc>
          <w:tcPr>
            <w:tcW w:w="1375" w:type="dxa"/>
          </w:tcPr>
          <w:p w:rsidR="00000000" w:rsidRDefault="00000000">
            <w:pPr>
              <w:spacing w:before="60" w:after="60"/>
              <w:ind w:right="352"/>
              <w:jc w:val="right"/>
              <w:rPr>
                <w:color w:val="000000"/>
                <w:sz w:val="20"/>
                <w:lang w:val="fr-FR"/>
              </w:rPr>
            </w:pPr>
            <w:r>
              <w:rPr>
                <w:color w:val="000000"/>
                <w:sz w:val="20"/>
                <w:lang w:val="fr-FR"/>
              </w:rPr>
              <w:t xml:space="preserve">830 719  </w:t>
            </w:r>
          </w:p>
        </w:tc>
      </w:tr>
    </w:tbl>
    <w:p w:rsidR="00000000" w:rsidRDefault="00000000">
      <w:pPr>
        <w:autoSpaceDE w:val="0"/>
        <w:autoSpaceDN w:val="0"/>
        <w:adjustRightInd w:val="0"/>
        <w:spacing w:before="80" w:after="240"/>
        <w:rPr>
          <w:color w:val="000000"/>
          <w:sz w:val="20"/>
          <w:lang w:val="fr-FR"/>
        </w:rPr>
      </w:pPr>
      <w:r>
        <w:rPr>
          <w:i/>
          <w:iCs/>
          <w:color w:val="000000"/>
          <w:sz w:val="20"/>
          <w:lang w:val="fr-FR"/>
        </w:rPr>
        <w:tab/>
        <w:t>Source :</w:t>
      </w:r>
      <w:r>
        <w:rPr>
          <w:color w:val="000000"/>
          <w:sz w:val="20"/>
          <w:lang w:val="fr-FR"/>
        </w:rPr>
        <w:t xml:space="preserve">  INEC, Enquête urbaine sur l'emploi, le sous-emploi et le chômage.</w:t>
      </w:r>
    </w:p>
    <w:p w:rsidR="00000000" w:rsidRDefault="00000000">
      <w:pPr>
        <w:spacing w:after="120"/>
        <w:jc w:val="center"/>
        <w:rPr>
          <w:b/>
          <w:bCs/>
          <w:color w:val="000000"/>
          <w:sz w:val="20"/>
          <w:lang w:val="fr-FR"/>
        </w:rPr>
      </w:pPr>
      <w:r>
        <w:rPr>
          <w:b/>
          <w:bCs/>
          <w:color w:val="000000"/>
          <w:sz w:val="20"/>
          <w:lang w:val="fr-FR"/>
        </w:rPr>
        <w:br w:type="page"/>
        <w:t>Population totale urbaine (1995)</w:t>
      </w:r>
    </w:p>
    <w:tbl>
      <w:tblPr>
        <w:tblW w:w="8505" w:type="dxa"/>
        <w:jc w:val="center"/>
        <w:tblLayout w:type="fixed"/>
        <w:tblCellMar>
          <w:left w:w="70" w:type="dxa"/>
          <w:right w:w="70" w:type="dxa"/>
        </w:tblCellMar>
        <w:tblLook w:val="0000" w:firstRow="0" w:lastRow="0" w:firstColumn="0" w:lastColumn="0" w:noHBand="0" w:noVBand="0"/>
      </w:tblPr>
      <w:tblGrid>
        <w:gridCol w:w="3468"/>
        <w:gridCol w:w="1687"/>
        <w:gridCol w:w="1698"/>
        <w:gridCol w:w="1652"/>
      </w:tblGrid>
      <w:tr w:rsidR="00000000">
        <w:tblPrEx>
          <w:tblCellMar>
            <w:top w:w="0" w:type="dxa"/>
            <w:bottom w:w="0" w:type="dxa"/>
          </w:tblCellMar>
        </w:tblPrEx>
        <w:trPr>
          <w:jc w:val="center"/>
        </w:trPr>
        <w:tc>
          <w:tcPr>
            <w:tcW w:w="2916"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Groupe</w:t>
            </w:r>
          </w:p>
        </w:tc>
        <w:tc>
          <w:tcPr>
            <w:tcW w:w="1419"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Population</w:t>
            </w:r>
          </w:p>
        </w:tc>
        <w:tc>
          <w:tcPr>
            <w:tcW w:w="1428"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Hommes</w:t>
            </w:r>
          </w:p>
        </w:tc>
        <w:tc>
          <w:tcPr>
            <w:tcW w:w="1389"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Femmes</w:t>
            </w:r>
          </w:p>
        </w:tc>
      </w:tr>
      <w:tr w:rsidR="00000000">
        <w:tblPrEx>
          <w:tblCellMar>
            <w:top w:w="0" w:type="dxa"/>
            <w:bottom w:w="0" w:type="dxa"/>
          </w:tblCellMar>
        </w:tblPrEx>
        <w:trPr>
          <w:jc w:val="center"/>
        </w:trPr>
        <w:tc>
          <w:tcPr>
            <w:tcW w:w="2916" w:type="dxa"/>
            <w:tcBorders>
              <w:top w:val="single" w:sz="4" w:space="0" w:color="auto"/>
            </w:tcBorders>
          </w:tcPr>
          <w:p w:rsidR="00000000" w:rsidRDefault="00000000">
            <w:pPr>
              <w:spacing w:before="60" w:after="60"/>
              <w:rPr>
                <w:color w:val="000000"/>
                <w:sz w:val="20"/>
                <w:lang w:val="fr-FR"/>
              </w:rPr>
            </w:pPr>
            <w:r>
              <w:rPr>
                <w:color w:val="000000"/>
                <w:sz w:val="20"/>
                <w:lang w:val="fr-FR"/>
              </w:rPr>
              <w:t xml:space="preserve">Population totale </w:t>
            </w:r>
          </w:p>
        </w:tc>
        <w:tc>
          <w:tcPr>
            <w:tcW w:w="1419" w:type="dxa"/>
            <w:tcBorders>
              <w:top w:val="single" w:sz="4" w:space="0" w:color="auto"/>
            </w:tcBorders>
          </w:tcPr>
          <w:p w:rsidR="00000000" w:rsidRDefault="00000000">
            <w:pPr>
              <w:spacing w:before="60" w:after="60"/>
              <w:ind w:right="319"/>
              <w:jc w:val="right"/>
              <w:rPr>
                <w:color w:val="000000"/>
                <w:sz w:val="20"/>
                <w:lang w:val="fr-FR"/>
              </w:rPr>
            </w:pPr>
            <w:r>
              <w:rPr>
                <w:color w:val="000000"/>
                <w:sz w:val="20"/>
                <w:lang w:val="fr-FR"/>
              </w:rPr>
              <w:t xml:space="preserve">7 037 563 </w:t>
            </w:r>
          </w:p>
        </w:tc>
        <w:tc>
          <w:tcPr>
            <w:tcW w:w="1428" w:type="dxa"/>
            <w:tcBorders>
              <w:top w:val="single" w:sz="4" w:space="0" w:color="auto"/>
            </w:tcBorders>
          </w:tcPr>
          <w:p w:rsidR="00000000" w:rsidRDefault="00000000">
            <w:pPr>
              <w:spacing w:before="60" w:after="60"/>
              <w:ind w:right="319"/>
              <w:jc w:val="right"/>
              <w:rPr>
                <w:color w:val="000000"/>
                <w:sz w:val="20"/>
                <w:lang w:val="fr-FR"/>
              </w:rPr>
            </w:pPr>
            <w:r>
              <w:rPr>
                <w:color w:val="000000"/>
                <w:sz w:val="20"/>
                <w:lang w:val="fr-FR"/>
              </w:rPr>
              <w:t xml:space="preserve">3 422 990 </w:t>
            </w:r>
          </w:p>
        </w:tc>
        <w:tc>
          <w:tcPr>
            <w:tcW w:w="1389" w:type="dxa"/>
            <w:tcBorders>
              <w:top w:val="single" w:sz="4" w:space="0" w:color="auto"/>
            </w:tcBorders>
          </w:tcPr>
          <w:p w:rsidR="00000000" w:rsidRDefault="00000000">
            <w:pPr>
              <w:spacing w:before="60" w:after="60"/>
              <w:ind w:right="319"/>
              <w:jc w:val="right"/>
              <w:rPr>
                <w:color w:val="000000"/>
                <w:sz w:val="20"/>
                <w:lang w:val="fr-FR"/>
              </w:rPr>
            </w:pPr>
            <w:r>
              <w:rPr>
                <w:color w:val="000000"/>
                <w:sz w:val="20"/>
                <w:lang w:val="fr-FR"/>
              </w:rPr>
              <w:t xml:space="preserve">3 614 573  </w:t>
            </w:r>
          </w:p>
        </w:tc>
      </w:tr>
      <w:tr w:rsidR="00000000">
        <w:tblPrEx>
          <w:tblCellMar>
            <w:top w:w="0" w:type="dxa"/>
            <w:bottom w:w="0" w:type="dxa"/>
          </w:tblCellMar>
        </w:tblPrEx>
        <w:trPr>
          <w:jc w:val="center"/>
        </w:trPr>
        <w:tc>
          <w:tcPr>
            <w:tcW w:w="2916" w:type="dxa"/>
          </w:tcPr>
          <w:p w:rsidR="00000000" w:rsidRDefault="00000000">
            <w:pPr>
              <w:spacing w:before="60" w:after="60"/>
              <w:rPr>
                <w:color w:val="000000"/>
                <w:sz w:val="20"/>
                <w:lang w:val="fr-FR"/>
              </w:rPr>
            </w:pPr>
            <w:r>
              <w:rPr>
                <w:color w:val="000000"/>
                <w:sz w:val="20"/>
                <w:lang w:val="fr-FR"/>
              </w:rPr>
              <w:t xml:space="preserve">Mineurs de moins de 10 ans </w:t>
            </w:r>
          </w:p>
        </w:tc>
        <w:tc>
          <w:tcPr>
            <w:tcW w:w="1419" w:type="dxa"/>
          </w:tcPr>
          <w:p w:rsidR="00000000" w:rsidRDefault="00000000">
            <w:pPr>
              <w:spacing w:before="60" w:after="60"/>
              <w:ind w:right="319"/>
              <w:jc w:val="right"/>
              <w:rPr>
                <w:color w:val="000000"/>
                <w:sz w:val="20"/>
                <w:lang w:val="fr-FR"/>
              </w:rPr>
            </w:pPr>
            <w:r>
              <w:rPr>
                <w:color w:val="000000"/>
                <w:sz w:val="20"/>
                <w:lang w:val="fr-FR"/>
              </w:rPr>
              <w:t xml:space="preserve">1 468 250 </w:t>
            </w:r>
          </w:p>
        </w:tc>
        <w:tc>
          <w:tcPr>
            <w:tcW w:w="1428" w:type="dxa"/>
          </w:tcPr>
          <w:p w:rsidR="00000000" w:rsidRDefault="00000000">
            <w:pPr>
              <w:spacing w:before="60" w:after="60"/>
              <w:ind w:right="319"/>
              <w:jc w:val="right"/>
              <w:rPr>
                <w:color w:val="000000"/>
                <w:sz w:val="20"/>
                <w:lang w:val="fr-FR"/>
              </w:rPr>
            </w:pPr>
            <w:r>
              <w:rPr>
                <w:color w:val="000000"/>
                <w:sz w:val="20"/>
                <w:lang w:val="fr-FR"/>
              </w:rPr>
              <w:t xml:space="preserve">746 211 </w:t>
            </w:r>
          </w:p>
        </w:tc>
        <w:tc>
          <w:tcPr>
            <w:tcW w:w="1389" w:type="dxa"/>
          </w:tcPr>
          <w:p w:rsidR="00000000" w:rsidRDefault="00000000">
            <w:pPr>
              <w:spacing w:before="60" w:after="60"/>
              <w:ind w:right="319"/>
              <w:jc w:val="right"/>
              <w:rPr>
                <w:color w:val="000000"/>
                <w:sz w:val="20"/>
                <w:lang w:val="fr-FR"/>
              </w:rPr>
            </w:pPr>
            <w:r>
              <w:rPr>
                <w:color w:val="000000"/>
                <w:sz w:val="20"/>
                <w:lang w:val="fr-FR"/>
              </w:rPr>
              <w:t xml:space="preserve">722 039  </w:t>
            </w:r>
          </w:p>
        </w:tc>
      </w:tr>
      <w:tr w:rsidR="00000000">
        <w:tblPrEx>
          <w:tblCellMar>
            <w:top w:w="0" w:type="dxa"/>
            <w:bottom w:w="0" w:type="dxa"/>
          </w:tblCellMar>
        </w:tblPrEx>
        <w:trPr>
          <w:jc w:val="center"/>
        </w:trPr>
        <w:tc>
          <w:tcPr>
            <w:tcW w:w="2916" w:type="dxa"/>
          </w:tcPr>
          <w:p w:rsidR="00000000" w:rsidRDefault="00000000">
            <w:pPr>
              <w:spacing w:before="60" w:after="60"/>
              <w:rPr>
                <w:color w:val="000000"/>
                <w:sz w:val="20"/>
                <w:lang w:val="fr-FR"/>
              </w:rPr>
            </w:pPr>
            <w:r>
              <w:rPr>
                <w:color w:val="000000"/>
                <w:sz w:val="20"/>
                <w:lang w:val="fr-FR"/>
              </w:rPr>
              <w:t xml:space="preserve">Population en âge de travailler </w:t>
            </w:r>
          </w:p>
        </w:tc>
        <w:tc>
          <w:tcPr>
            <w:tcW w:w="1419" w:type="dxa"/>
          </w:tcPr>
          <w:p w:rsidR="00000000" w:rsidRDefault="00000000">
            <w:pPr>
              <w:spacing w:before="60" w:after="60"/>
              <w:ind w:right="319"/>
              <w:jc w:val="right"/>
              <w:rPr>
                <w:color w:val="000000"/>
                <w:sz w:val="20"/>
                <w:lang w:val="fr-FR"/>
              </w:rPr>
            </w:pPr>
            <w:r>
              <w:rPr>
                <w:color w:val="000000"/>
                <w:sz w:val="20"/>
                <w:lang w:val="fr-FR"/>
              </w:rPr>
              <w:t xml:space="preserve">5 569 313 </w:t>
            </w:r>
          </w:p>
        </w:tc>
        <w:tc>
          <w:tcPr>
            <w:tcW w:w="1428" w:type="dxa"/>
          </w:tcPr>
          <w:p w:rsidR="00000000" w:rsidRDefault="00000000">
            <w:pPr>
              <w:spacing w:before="60" w:after="60"/>
              <w:ind w:right="319"/>
              <w:jc w:val="right"/>
              <w:rPr>
                <w:color w:val="000000"/>
                <w:sz w:val="20"/>
                <w:lang w:val="fr-FR"/>
              </w:rPr>
            </w:pPr>
            <w:r>
              <w:rPr>
                <w:color w:val="000000"/>
                <w:sz w:val="20"/>
                <w:lang w:val="fr-FR"/>
              </w:rPr>
              <w:t xml:space="preserve">2 676 779 </w:t>
            </w:r>
          </w:p>
        </w:tc>
        <w:tc>
          <w:tcPr>
            <w:tcW w:w="1389" w:type="dxa"/>
          </w:tcPr>
          <w:p w:rsidR="00000000" w:rsidRDefault="00000000">
            <w:pPr>
              <w:spacing w:before="60" w:after="60"/>
              <w:ind w:right="319"/>
              <w:jc w:val="right"/>
              <w:rPr>
                <w:color w:val="000000"/>
                <w:sz w:val="20"/>
                <w:lang w:val="fr-FR"/>
              </w:rPr>
            </w:pPr>
            <w:r>
              <w:rPr>
                <w:color w:val="000000"/>
                <w:sz w:val="20"/>
                <w:lang w:val="fr-FR"/>
              </w:rPr>
              <w:t xml:space="preserve">2 892 534  </w:t>
            </w:r>
          </w:p>
        </w:tc>
      </w:tr>
      <w:tr w:rsidR="00000000">
        <w:tblPrEx>
          <w:tblCellMar>
            <w:top w:w="0" w:type="dxa"/>
            <w:bottom w:w="0" w:type="dxa"/>
          </w:tblCellMar>
        </w:tblPrEx>
        <w:trPr>
          <w:jc w:val="center"/>
        </w:trPr>
        <w:tc>
          <w:tcPr>
            <w:tcW w:w="2916" w:type="dxa"/>
          </w:tcPr>
          <w:p w:rsidR="00000000" w:rsidRDefault="00000000">
            <w:pPr>
              <w:spacing w:before="60" w:after="60"/>
              <w:rPr>
                <w:color w:val="000000"/>
                <w:sz w:val="20"/>
                <w:lang w:val="fr-FR"/>
              </w:rPr>
            </w:pPr>
            <w:r>
              <w:rPr>
                <w:color w:val="000000"/>
                <w:sz w:val="20"/>
                <w:lang w:val="fr-FR"/>
              </w:rPr>
              <w:t xml:space="preserve">Population économiquement inactive  </w:t>
            </w:r>
          </w:p>
        </w:tc>
        <w:tc>
          <w:tcPr>
            <w:tcW w:w="1419" w:type="dxa"/>
          </w:tcPr>
          <w:p w:rsidR="00000000" w:rsidRDefault="00000000">
            <w:pPr>
              <w:spacing w:before="60" w:after="60"/>
              <w:ind w:right="319"/>
              <w:jc w:val="right"/>
              <w:rPr>
                <w:color w:val="000000"/>
                <w:sz w:val="20"/>
                <w:lang w:val="fr-FR"/>
              </w:rPr>
            </w:pPr>
            <w:r>
              <w:rPr>
                <w:color w:val="000000"/>
                <w:sz w:val="20"/>
                <w:lang w:val="fr-FR"/>
              </w:rPr>
              <w:t xml:space="preserve">2 464 999 </w:t>
            </w:r>
          </w:p>
        </w:tc>
        <w:tc>
          <w:tcPr>
            <w:tcW w:w="1428" w:type="dxa"/>
          </w:tcPr>
          <w:p w:rsidR="00000000" w:rsidRDefault="00000000">
            <w:pPr>
              <w:spacing w:before="60" w:after="60"/>
              <w:ind w:right="319"/>
              <w:jc w:val="right"/>
              <w:rPr>
                <w:color w:val="000000"/>
                <w:sz w:val="20"/>
                <w:lang w:val="fr-FR"/>
              </w:rPr>
            </w:pPr>
            <w:r>
              <w:rPr>
                <w:color w:val="000000"/>
                <w:sz w:val="20"/>
                <w:lang w:val="fr-FR"/>
              </w:rPr>
              <w:t xml:space="preserve">798 138 </w:t>
            </w:r>
          </w:p>
        </w:tc>
        <w:tc>
          <w:tcPr>
            <w:tcW w:w="1389" w:type="dxa"/>
          </w:tcPr>
          <w:p w:rsidR="00000000" w:rsidRDefault="00000000">
            <w:pPr>
              <w:spacing w:before="60" w:after="60"/>
              <w:ind w:right="319"/>
              <w:jc w:val="right"/>
              <w:rPr>
                <w:color w:val="000000"/>
                <w:sz w:val="20"/>
                <w:lang w:val="fr-FR"/>
              </w:rPr>
            </w:pPr>
            <w:r>
              <w:rPr>
                <w:color w:val="000000"/>
                <w:sz w:val="20"/>
                <w:lang w:val="fr-FR"/>
              </w:rPr>
              <w:t xml:space="preserve">1 666 861  </w:t>
            </w:r>
          </w:p>
        </w:tc>
      </w:tr>
      <w:tr w:rsidR="00000000">
        <w:tblPrEx>
          <w:tblCellMar>
            <w:top w:w="0" w:type="dxa"/>
            <w:bottom w:w="0" w:type="dxa"/>
          </w:tblCellMar>
        </w:tblPrEx>
        <w:trPr>
          <w:jc w:val="center"/>
        </w:trPr>
        <w:tc>
          <w:tcPr>
            <w:tcW w:w="2916" w:type="dxa"/>
          </w:tcPr>
          <w:p w:rsidR="00000000" w:rsidRDefault="00000000">
            <w:pPr>
              <w:spacing w:before="60" w:after="60"/>
              <w:rPr>
                <w:color w:val="000000"/>
                <w:sz w:val="20"/>
                <w:lang w:val="fr-FR"/>
              </w:rPr>
            </w:pPr>
            <w:r>
              <w:rPr>
                <w:color w:val="000000"/>
                <w:sz w:val="20"/>
                <w:lang w:val="fr-FR"/>
              </w:rPr>
              <w:t xml:space="preserve">Population économiquement active  </w:t>
            </w:r>
          </w:p>
        </w:tc>
        <w:tc>
          <w:tcPr>
            <w:tcW w:w="1419" w:type="dxa"/>
          </w:tcPr>
          <w:p w:rsidR="00000000" w:rsidRDefault="00000000">
            <w:pPr>
              <w:spacing w:before="60" w:after="60"/>
              <w:ind w:right="319"/>
              <w:jc w:val="right"/>
              <w:rPr>
                <w:color w:val="000000"/>
                <w:sz w:val="20"/>
                <w:lang w:val="fr-FR"/>
              </w:rPr>
            </w:pPr>
            <w:r>
              <w:rPr>
                <w:color w:val="000000"/>
                <w:sz w:val="20"/>
                <w:lang w:val="fr-FR"/>
              </w:rPr>
              <w:t xml:space="preserve">3 104 314 </w:t>
            </w:r>
          </w:p>
        </w:tc>
        <w:tc>
          <w:tcPr>
            <w:tcW w:w="1428" w:type="dxa"/>
          </w:tcPr>
          <w:p w:rsidR="00000000" w:rsidRDefault="00000000">
            <w:pPr>
              <w:spacing w:before="60" w:after="60"/>
              <w:ind w:right="319"/>
              <w:jc w:val="right"/>
              <w:rPr>
                <w:color w:val="000000"/>
                <w:sz w:val="20"/>
                <w:lang w:val="fr-FR"/>
              </w:rPr>
            </w:pPr>
            <w:r>
              <w:rPr>
                <w:color w:val="000000"/>
                <w:sz w:val="20"/>
                <w:lang w:val="fr-FR"/>
              </w:rPr>
              <w:t xml:space="preserve">1 878 641 </w:t>
            </w:r>
          </w:p>
        </w:tc>
        <w:tc>
          <w:tcPr>
            <w:tcW w:w="1389" w:type="dxa"/>
          </w:tcPr>
          <w:p w:rsidR="00000000" w:rsidRDefault="00000000">
            <w:pPr>
              <w:spacing w:before="60" w:after="60"/>
              <w:ind w:right="319"/>
              <w:jc w:val="right"/>
              <w:rPr>
                <w:color w:val="000000"/>
                <w:sz w:val="20"/>
                <w:lang w:val="fr-FR"/>
              </w:rPr>
            </w:pPr>
            <w:r>
              <w:rPr>
                <w:color w:val="000000"/>
                <w:sz w:val="20"/>
                <w:lang w:val="fr-FR"/>
              </w:rPr>
              <w:t xml:space="preserve">1 225 673  </w:t>
            </w:r>
          </w:p>
        </w:tc>
      </w:tr>
      <w:tr w:rsidR="00000000">
        <w:tblPrEx>
          <w:tblCellMar>
            <w:top w:w="0" w:type="dxa"/>
            <w:bottom w:w="0" w:type="dxa"/>
          </w:tblCellMar>
        </w:tblPrEx>
        <w:trPr>
          <w:jc w:val="center"/>
        </w:trPr>
        <w:tc>
          <w:tcPr>
            <w:tcW w:w="2916" w:type="dxa"/>
          </w:tcPr>
          <w:p w:rsidR="00000000" w:rsidRDefault="00000000">
            <w:pPr>
              <w:spacing w:before="60" w:after="60"/>
              <w:rPr>
                <w:color w:val="000000"/>
                <w:sz w:val="20"/>
                <w:lang w:val="fr-FR"/>
              </w:rPr>
            </w:pPr>
            <w:r>
              <w:rPr>
                <w:color w:val="000000"/>
                <w:sz w:val="20"/>
                <w:lang w:val="fr-FR"/>
              </w:rPr>
              <w:t xml:space="preserve">Chômeurs </w:t>
            </w:r>
          </w:p>
        </w:tc>
        <w:tc>
          <w:tcPr>
            <w:tcW w:w="1419" w:type="dxa"/>
          </w:tcPr>
          <w:p w:rsidR="00000000" w:rsidRDefault="00000000">
            <w:pPr>
              <w:spacing w:before="60" w:after="60"/>
              <w:ind w:right="319"/>
              <w:jc w:val="right"/>
              <w:rPr>
                <w:color w:val="000000"/>
                <w:sz w:val="20"/>
                <w:lang w:val="fr-FR"/>
              </w:rPr>
            </w:pPr>
            <w:r>
              <w:rPr>
                <w:color w:val="000000"/>
                <w:sz w:val="20"/>
                <w:lang w:val="fr-FR"/>
              </w:rPr>
              <w:t xml:space="preserve">212 655 </w:t>
            </w:r>
          </w:p>
        </w:tc>
        <w:tc>
          <w:tcPr>
            <w:tcW w:w="1428" w:type="dxa"/>
          </w:tcPr>
          <w:p w:rsidR="00000000" w:rsidRDefault="00000000">
            <w:pPr>
              <w:spacing w:before="60" w:after="60"/>
              <w:ind w:right="319"/>
              <w:jc w:val="right"/>
              <w:rPr>
                <w:color w:val="000000"/>
                <w:sz w:val="20"/>
                <w:lang w:val="fr-FR"/>
              </w:rPr>
            </w:pPr>
            <w:r>
              <w:rPr>
                <w:color w:val="000000"/>
                <w:sz w:val="20"/>
                <w:lang w:val="fr-FR"/>
              </w:rPr>
              <w:t xml:space="preserve">104 226 </w:t>
            </w:r>
          </w:p>
        </w:tc>
        <w:tc>
          <w:tcPr>
            <w:tcW w:w="1389" w:type="dxa"/>
          </w:tcPr>
          <w:p w:rsidR="00000000" w:rsidRDefault="00000000">
            <w:pPr>
              <w:spacing w:before="60" w:after="60"/>
              <w:ind w:right="319"/>
              <w:jc w:val="right"/>
              <w:rPr>
                <w:color w:val="000000"/>
                <w:sz w:val="20"/>
                <w:lang w:val="fr-FR"/>
              </w:rPr>
            </w:pPr>
            <w:r>
              <w:rPr>
                <w:color w:val="000000"/>
                <w:sz w:val="20"/>
                <w:lang w:val="fr-FR"/>
              </w:rPr>
              <w:t xml:space="preserve">108 429 </w:t>
            </w:r>
          </w:p>
        </w:tc>
      </w:tr>
      <w:tr w:rsidR="00000000">
        <w:tblPrEx>
          <w:tblCellMar>
            <w:top w:w="0" w:type="dxa"/>
            <w:bottom w:w="0" w:type="dxa"/>
          </w:tblCellMar>
        </w:tblPrEx>
        <w:trPr>
          <w:jc w:val="center"/>
        </w:trPr>
        <w:tc>
          <w:tcPr>
            <w:tcW w:w="2916" w:type="dxa"/>
            <w:tcBorders>
              <w:bottom w:val="single" w:sz="4" w:space="0" w:color="auto"/>
            </w:tcBorders>
          </w:tcPr>
          <w:p w:rsidR="00000000" w:rsidRDefault="00000000">
            <w:pPr>
              <w:spacing w:before="60" w:after="60"/>
              <w:rPr>
                <w:color w:val="000000"/>
                <w:sz w:val="20"/>
                <w:lang w:val="fr-FR"/>
              </w:rPr>
            </w:pPr>
            <w:r>
              <w:rPr>
                <w:color w:val="000000"/>
                <w:sz w:val="20"/>
                <w:lang w:val="fr-FR"/>
              </w:rPr>
              <w:t xml:space="preserve">Occupés </w:t>
            </w:r>
          </w:p>
        </w:tc>
        <w:tc>
          <w:tcPr>
            <w:tcW w:w="1419" w:type="dxa"/>
            <w:tcBorders>
              <w:bottom w:val="single" w:sz="4" w:space="0" w:color="auto"/>
            </w:tcBorders>
          </w:tcPr>
          <w:p w:rsidR="00000000" w:rsidRDefault="00000000">
            <w:pPr>
              <w:spacing w:before="60" w:after="60"/>
              <w:ind w:right="319"/>
              <w:jc w:val="right"/>
              <w:rPr>
                <w:color w:val="000000"/>
                <w:sz w:val="20"/>
                <w:lang w:val="fr-FR"/>
              </w:rPr>
            </w:pPr>
            <w:r>
              <w:rPr>
                <w:color w:val="000000"/>
                <w:sz w:val="20"/>
                <w:lang w:val="fr-FR"/>
              </w:rPr>
              <w:t xml:space="preserve">2 891 659 </w:t>
            </w:r>
          </w:p>
        </w:tc>
        <w:tc>
          <w:tcPr>
            <w:tcW w:w="1428" w:type="dxa"/>
            <w:tcBorders>
              <w:bottom w:val="single" w:sz="4" w:space="0" w:color="auto"/>
            </w:tcBorders>
          </w:tcPr>
          <w:p w:rsidR="00000000" w:rsidRDefault="00000000">
            <w:pPr>
              <w:spacing w:before="60" w:after="60"/>
              <w:ind w:right="319"/>
              <w:jc w:val="right"/>
              <w:rPr>
                <w:color w:val="000000"/>
                <w:sz w:val="20"/>
                <w:lang w:val="fr-FR"/>
              </w:rPr>
            </w:pPr>
            <w:r>
              <w:rPr>
                <w:color w:val="000000"/>
                <w:sz w:val="20"/>
                <w:lang w:val="fr-FR"/>
              </w:rPr>
              <w:t xml:space="preserve">1 774 415 </w:t>
            </w:r>
          </w:p>
        </w:tc>
        <w:tc>
          <w:tcPr>
            <w:tcW w:w="1389" w:type="dxa"/>
            <w:tcBorders>
              <w:bottom w:val="single" w:sz="4" w:space="0" w:color="auto"/>
            </w:tcBorders>
          </w:tcPr>
          <w:p w:rsidR="00000000" w:rsidRDefault="00000000">
            <w:pPr>
              <w:spacing w:before="60" w:after="60"/>
              <w:ind w:right="319"/>
              <w:jc w:val="right"/>
              <w:rPr>
                <w:color w:val="000000"/>
                <w:sz w:val="20"/>
                <w:lang w:val="fr-FR"/>
              </w:rPr>
            </w:pPr>
            <w:r>
              <w:rPr>
                <w:color w:val="000000"/>
                <w:sz w:val="20"/>
                <w:lang w:val="fr-FR"/>
              </w:rPr>
              <w:t xml:space="preserve">1 117 244  </w:t>
            </w:r>
          </w:p>
        </w:tc>
      </w:tr>
    </w:tbl>
    <w:p w:rsidR="00000000" w:rsidRDefault="00000000">
      <w:pPr>
        <w:autoSpaceDE w:val="0"/>
        <w:autoSpaceDN w:val="0"/>
        <w:adjustRightInd w:val="0"/>
        <w:spacing w:before="80" w:after="240"/>
        <w:ind w:left="567"/>
        <w:rPr>
          <w:color w:val="000000"/>
          <w:sz w:val="20"/>
          <w:lang w:val="fr-FR"/>
        </w:rPr>
      </w:pPr>
      <w:r>
        <w:rPr>
          <w:i/>
          <w:iCs/>
          <w:color w:val="000000"/>
          <w:sz w:val="20"/>
          <w:lang w:val="fr-FR"/>
        </w:rPr>
        <w:t>Source :</w:t>
      </w:r>
      <w:r>
        <w:rPr>
          <w:color w:val="000000"/>
          <w:sz w:val="20"/>
          <w:lang w:val="fr-FR"/>
        </w:rPr>
        <w:t xml:space="preserve">  INEC, Enquête urbaine sur l'emploi, le sous-emploi et le chômage.</w:t>
      </w:r>
    </w:p>
    <w:p w:rsidR="00000000" w:rsidRDefault="00000000">
      <w:pPr>
        <w:spacing w:after="120"/>
        <w:jc w:val="center"/>
        <w:rPr>
          <w:b/>
          <w:bCs/>
          <w:color w:val="000000"/>
          <w:sz w:val="20"/>
          <w:lang w:val="fr-FR"/>
        </w:rPr>
      </w:pPr>
      <w:r>
        <w:rPr>
          <w:b/>
          <w:bCs/>
          <w:color w:val="000000"/>
          <w:sz w:val="20"/>
          <w:lang w:val="fr-FR"/>
        </w:rPr>
        <w:t>Population totale urbaine (1998)</w:t>
      </w:r>
    </w:p>
    <w:tbl>
      <w:tblPr>
        <w:tblW w:w="8505"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3237"/>
        <w:gridCol w:w="1756"/>
        <w:gridCol w:w="1788"/>
        <w:gridCol w:w="1724"/>
      </w:tblGrid>
      <w:tr w:rsidR="00000000">
        <w:tblPrEx>
          <w:tblCellMar>
            <w:top w:w="0" w:type="dxa"/>
            <w:bottom w:w="0" w:type="dxa"/>
          </w:tblCellMar>
        </w:tblPrEx>
        <w:trPr>
          <w:jc w:val="center"/>
        </w:trPr>
        <w:tc>
          <w:tcPr>
            <w:tcW w:w="2306"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Groupe</w:t>
            </w:r>
          </w:p>
        </w:tc>
        <w:tc>
          <w:tcPr>
            <w:tcW w:w="1251"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Population</w:t>
            </w:r>
          </w:p>
        </w:tc>
        <w:tc>
          <w:tcPr>
            <w:tcW w:w="1274"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Hommes</w:t>
            </w:r>
          </w:p>
        </w:tc>
        <w:tc>
          <w:tcPr>
            <w:tcW w:w="1228"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Femmes</w:t>
            </w:r>
          </w:p>
        </w:tc>
      </w:tr>
      <w:tr w:rsidR="00000000">
        <w:tblPrEx>
          <w:tblCellMar>
            <w:top w:w="0" w:type="dxa"/>
            <w:bottom w:w="0" w:type="dxa"/>
          </w:tblCellMar>
        </w:tblPrEx>
        <w:trPr>
          <w:jc w:val="center"/>
        </w:trPr>
        <w:tc>
          <w:tcPr>
            <w:tcW w:w="2306" w:type="dxa"/>
            <w:tcBorders>
              <w:top w:val="single" w:sz="4" w:space="0" w:color="auto"/>
            </w:tcBorders>
          </w:tcPr>
          <w:p w:rsidR="00000000" w:rsidRDefault="00000000">
            <w:pPr>
              <w:spacing w:before="60" w:after="60"/>
              <w:ind w:left="57"/>
              <w:rPr>
                <w:color w:val="000000"/>
                <w:sz w:val="20"/>
                <w:lang w:val="fr-FR"/>
              </w:rPr>
            </w:pPr>
            <w:r>
              <w:rPr>
                <w:color w:val="000000"/>
                <w:sz w:val="20"/>
                <w:lang w:val="fr-FR"/>
              </w:rPr>
              <w:t xml:space="preserve">Population totale </w:t>
            </w:r>
          </w:p>
        </w:tc>
        <w:tc>
          <w:tcPr>
            <w:tcW w:w="1251" w:type="dxa"/>
            <w:tcBorders>
              <w:top w:val="single" w:sz="4" w:space="0" w:color="auto"/>
            </w:tcBorders>
          </w:tcPr>
          <w:p w:rsidR="00000000" w:rsidRDefault="00000000">
            <w:pPr>
              <w:spacing w:before="60" w:after="60"/>
              <w:ind w:right="337"/>
              <w:jc w:val="right"/>
              <w:rPr>
                <w:color w:val="000000"/>
                <w:sz w:val="20"/>
                <w:lang w:val="fr-FR"/>
              </w:rPr>
            </w:pPr>
            <w:r>
              <w:rPr>
                <w:color w:val="000000"/>
                <w:sz w:val="20"/>
                <w:lang w:val="fr-FR"/>
              </w:rPr>
              <w:t xml:space="preserve">7 780 286 </w:t>
            </w:r>
          </w:p>
        </w:tc>
        <w:tc>
          <w:tcPr>
            <w:tcW w:w="1274" w:type="dxa"/>
            <w:tcBorders>
              <w:top w:val="single" w:sz="4" w:space="0" w:color="auto"/>
            </w:tcBorders>
          </w:tcPr>
          <w:p w:rsidR="00000000" w:rsidRDefault="00000000">
            <w:pPr>
              <w:spacing w:before="60" w:after="60"/>
              <w:ind w:right="337"/>
              <w:jc w:val="right"/>
              <w:rPr>
                <w:color w:val="000000"/>
                <w:sz w:val="20"/>
                <w:lang w:val="fr-FR"/>
              </w:rPr>
            </w:pPr>
            <w:r>
              <w:rPr>
                <w:color w:val="000000"/>
                <w:sz w:val="20"/>
                <w:lang w:val="fr-FR"/>
              </w:rPr>
              <w:t xml:space="preserve">3 800 813 </w:t>
            </w:r>
          </w:p>
        </w:tc>
        <w:tc>
          <w:tcPr>
            <w:tcW w:w="1228" w:type="dxa"/>
            <w:tcBorders>
              <w:top w:val="single" w:sz="4" w:space="0" w:color="auto"/>
            </w:tcBorders>
          </w:tcPr>
          <w:p w:rsidR="00000000" w:rsidRDefault="00000000">
            <w:pPr>
              <w:spacing w:before="60" w:after="60"/>
              <w:ind w:right="337"/>
              <w:jc w:val="right"/>
              <w:rPr>
                <w:color w:val="000000"/>
                <w:sz w:val="20"/>
                <w:lang w:val="fr-FR"/>
              </w:rPr>
            </w:pPr>
            <w:r>
              <w:rPr>
                <w:color w:val="000000"/>
                <w:sz w:val="20"/>
                <w:lang w:val="fr-FR"/>
              </w:rPr>
              <w:t xml:space="preserve">3 979 473  </w:t>
            </w:r>
          </w:p>
        </w:tc>
      </w:tr>
      <w:tr w:rsidR="00000000">
        <w:tblPrEx>
          <w:tblCellMar>
            <w:top w:w="0" w:type="dxa"/>
            <w:bottom w:w="0" w:type="dxa"/>
          </w:tblCellMar>
        </w:tblPrEx>
        <w:trPr>
          <w:jc w:val="center"/>
        </w:trPr>
        <w:tc>
          <w:tcPr>
            <w:tcW w:w="2306" w:type="dxa"/>
          </w:tcPr>
          <w:p w:rsidR="00000000" w:rsidRDefault="00000000">
            <w:pPr>
              <w:spacing w:before="60" w:after="60"/>
              <w:ind w:left="57"/>
              <w:rPr>
                <w:color w:val="000000"/>
                <w:sz w:val="20"/>
                <w:lang w:val="fr-FR"/>
              </w:rPr>
            </w:pPr>
            <w:r>
              <w:rPr>
                <w:color w:val="000000"/>
                <w:sz w:val="20"/>
                <w:lang w:val="fr-FR"/>
              </w:rPr>
              <w:t xml:space="preserve">Mineurs de moins de 10 ans </w:t>
            </w:r>
          </w:p>
        </w:tc>
        <w:tc>
          <w:tcPr>
            <w:tcW w:w="1251" w:type="dxa"/>
          </w:tcPr>
          <w:p w:rsidR="00000000" w:rsidRDefault="00000000">
            <w:pPr>
              <w:spacing w:before="60" w:after="60"/>
              <w:ind w:right="337"/>
              <w:jc w:val="right"/>
              <w:rPr>
                <w:color w:val="000000"/>
                <w:sz w:val="20"/>
                <w:lang w:val="fr-FR"/>
              </w:rPr>
            </w:pPr>
            <w:r>
              <w:rPr>
                <w:color w:val="000000"/>
                <w:sz w:val="20"/>
                <w:lang w:val="fr-FR"/>
              </w:rPr>
              <w:t xml:space="preserve">1 686 600 </w:t>
            </w:r>
          </w:p>
        </w:tc>
        <w:tc>
          <w:tcPr>
            <w:tcW w:w="1274" w:type="dxa"/>
          </w:tcPr>
          <w:p w:rsidR="00000000" w:rsidRDefault="00000000">
            <w:pPr>
              <w:spacing w:before="60" w:after="60"/>
              <w:ind w:right="337"/>
              <w:jc w:val="right"/>
              <w:rPr>
                <w:color w:val="000000"/>
                <w:sz w:val="20"/>
                <w:lang w:val="fr-FR"/>
              </w:rPr>
            </w:pPr>
            <w:r>
              <w:rPr>
                <w:color w:val="000000"/>
                <w:sz w:val="20"/>
                <w:lang w:val="fr-FR"/>
              </w:rPr>
              <w:t xml:space="preserve">881 700 </w:t>
            </w:r>
          </w:p>
        </w:tc>
        <w:tc>
          <w:tcPr>
            <w:tcW w:w="1228" w:type="dxa"/>
          </w:tcPr>
          <w:p w:rsidR="00000000" w:rsidRDefault="00000000">
            <w:pPr>
              <w:spacing w:before="60" w:after="60"/>
              <w:ind w:right="337"/>
              <w:jc w:val="right"/>
              <w:rPr>
                <w:color w:val="000000"/>
                <w:sz w:val="20"/>
                <w:lang w:val="fr-FR"/>
              </w:rPr>
            </w:pPr>
            <w:r>
              <w:rPr>
                <w:color w:val="000000"/>
                <w:sz w:val="20"/>
                <w:lang w:val="fr-FR"/>
              </w:rPr>
              <w:t xml:space="preserve">804 900  </w:t>
            </w:r>
          </w:p>
        </w:tc>
      </w:tr>
      <w:tr w:rsidR="00000000">
        <w:tblPrEx>
          <w:tblCellMar>
            <w:top w:w="0" w:type="dxa"/>
            <w:bottom w:w="0" w:type="dxa"/>
          </w:tblCellMar>
        </w:tblPrEx>
        <w:trPr>
          <w:jc w:val="center"/>
        </w:trPr>
        <w:tc>
          <w:tcPr>
            <w:tcW w:w="2306" w:type="dxa"/>
          </w:tcPr>
          <w:p w:rsidR="00000000" w:rsidRDefault="00000000">
            <w:pPr>
              <w:spacing w:before="60" w:after="60"/>
              <w:ind w:left="57"/>
              <w:rPr>
                <w:color w:val="000000"/>
                <w:sz w:val="20"/>
                <w:lang w:val="fr-FR"/>
              </w:rPr>
            </w:pPr>
            <w:r>
              <w:rPr>
                <w:color w:val="000000"/>
                <w:sz w:val="20"/>
                <w:lang w:val="fr-FR"/>
              </w:rPr>
              <w:t xml:space="preserve">Population en âge de travailler </w:t>
            </w:r>
          </w:p>
        </w:tc>
        <w:tc>
          <w:tcPr>
            <w:tcW w:w="1251" w:type="dxa"/>
          </w:tcPr>
          <w:p w:rsidR="00000000" w:rsidRDefault="00000000">
            <w:pPr>
              <w:spacing w:before="60" w:after="60"/>
              <w:ind w:right="337"/>
              <w:jc w:val="right"/>
              <w:rPr>
                <w:color w:val="000000"/>
                <w:sz w:val="20"/>
                <w:lang w:val="fr-FR"/>
              </w:rPr>
            </w:pPr>
            <w:r>
              <w:rPr>
                <w:color w:val="000000"/>
                <w:sz w:val="20"/>
                <w:lang w:val="fr-FR"/>
              </w:rPr>
              <w:t xml:space="preserve">6 093 686 </w:t>
            </w:r>
          </w:p>
        </w:tc>
        <w:tc>
          <w:tcPr>
            <w:tcW w:w="1274" w:type="dxa"/>
          </w:tcPr>
          <w:p w:rsidR="00000000" w:rsidRDefault="00000000">
            <w:pPr>
              <w:spacing w:before="60" w:after="60"/>
              <w:ind w:right="337"/>
              <w:jc w:val="right"/>
              <w:rPr>
                <w:color w:val="000000"/>
                <w:sz w:val="20"/>
                <w:lang w:val="fr-FR"/>
              </w:rPr>
            </w:pPr>
            <w:r>
              <w:rPr>
                <w:color w:val="000000"/>
                <w:sz w:val="20"/>
                <w:lang w:val="fr-FR"/>
              </w:rPr>
              <w:t xml:space="preserve">2 919 113 </w:t>
            </w:r>
          </w:p>
        </w:tc>
        <w:tc>
          <w:tcPr>
            <w:tcW w:w="1228" w:type="dxa"/>
          </w:tcPr>
          <w:p w:rsidR="00000000" w:rsidRDefault="00000000">
            <w:pPr>
              <w:spacing w:before="60" w:after="60"/>
              <w:ind w:right="337"/>
              <w:jc w:val="right"/>
              <w:rPr>
                <w:color w:val="000000"/>
                <w:sz w:val="20"/>
                <w:lang w:val="fr-FR"/>
              </w:rPr>
            </w:pPr>
            <w:r>
              <w:rPr>
                <w:color w:val="000000"/>
                <w:sz w:val="20"/>
                <w:lang w:val="fr-FR"/>
              </w:rPr>
              <w:t xml:space="preserve">3 174 573  </w:t>
            </w:r>
          </w:p>
        </w:tc>
      </w:tr>
      <w:tr w:rsidR="00000000">
        <w:tblPrEx>
          <w:tblCellMar>
            <w:top w:w="0" w:type="dxa"/>
            <w:bottom w:w="0" w:type="dxa"/>
          </w:tblCellMar>
        </w:tblPrEx>
        <w:trPr>
          <w:jc w:val="center"/>
        </w:trPr>
        <w:tc>
          <w:tcPr>
            <w:tcW w:w="2306" w:type="dxa"/>
          </w:tcPr>
          <w:p w:rsidR="00000000" w:rsidRDefault="00000000">
            <w:pPr>
              <w:spacing w:before="60" w:after="60"/>
              <w:ind w:left="57"/>
              <w:rPr>
                <w:color w:val="000000"/>
                <w:sz w:val="20"/>
                <w:lang w:val="fr-FR"/>
              </w:rPr>
            </w:pPr>
            <w:r>
              <w:rPr>
                <w:color w:val="000000"/>
                <w:sz w:val="20"/>
                <w:lang w:val="fr-FR"/>
              </w:rPr>
              <w:t xml:space="preserve">Population économiquement inactive </w:t>
            </w:r>
          </w:p>
        </w:tc>
        <w:tc>
          <w:tcPr>
            <w:tcW w:w="1251" w:type="dxa"/>
          </w:tcPr>
          <w:p w:rsidR="00000000" w:rsidRDefault="00000000">
            <w:pPr>
              <w:spacing w:before="60" w:after="60"/>
              <w:ind w:right="337"/>
              <w:jc w:val="right"/>
              <w:rPr>
                <w:color w:val="000000"/>
                <w:sz w:val="20"/>
                <w:lang w:val="fr-FR"/>
              </w:rPr>
            </w:pPr>
            <w:r>
              <w:rPr>
                <w:color w:val="000000"/>
                <w:sz w:val="20"/>
                <w:lang w:val="fr-FR"/>
              </w:rPr>
              <w:t xml:space="preserve">2 533 202 </w:t>
            </w:r>
          </w:p>
        </w:tc>
        <w:tc>
          <w:tcPr>
            <w:tcW w:w="1274" w:type="dxa"/>
          </w:tcPr>
          <w:p w:rsidR="00000000" w:rsidRDefault="00000000">
            <w:pPr>
              <w:spacing w:before="60" w:after="60"/>
              <w:ind w:right="337"/>
              <w:jc w:val="right"/>
              <w:rPr>
                <w:color w:val="000000"/>
                <w:sz w:val="20"/>
                <w:lang w:val="fr-FR"/>
              </w:rPr>
            </w:pPr>
            <w:r>
              <w:rPr>
                <w:color w:val="000000"/>
                <w:sz w:val="20"/>
                <w:lang w:val="fr-FR"/>
              </w:rPr>
              <w:t xml:space="preserve">822 851 </w:t>
            </w:r>
          </w:p>
        </w:tc>
        <w:tc>
          <w:tcPr>
            <w:tcW w:w="1228" w:type="dxa"/>
          </w:tcPr>
          <w:p w:rsidR="00000000" w:rsidRDefault="00000000">
            <w:pPr>
              <w:spacing w:before="60" w:after="60"/>
              <w:ind w:right="337"/>
              <w:jc w:val="right"/>
              <w:rPr>
                <w:color w:val="000000"/>
                <w:sz w:val="20"/>
                <w:lang w:val="fr-FR"/>
              </w:rPr>
            </w:pPr>
            <w:r>
              <w:rPr>
                <w:color w:val="000000"/>
                <w:sz w:val="20"/>
                <w:lang w:val="fr-FR"/>
              </w:rPr>
              <w:t xml:space="preserve">1 710 351  </w:t>
            </w:r>
          </w:p>
        </w:tc>
      </w:tr>
      <w:tr w:rsidR="00000000">
        <w:tblPrEx>
          <w:tblCellMar>
            <w:top w:w="0" w:type="dxa"/>
            <w:bottom w:w="0" w:type="dxa"/>
          </w:tblCellMar>
        </w:tblPrEx>
        <w:trPr>
          <w:jc w:val="center"/>
        </w:trPr>
        <w:tc>
          <w:tcPr>
            <w:tcW w:w="2306" w:type="dxa"/>
          </w:tcPr>
          <w:p w:rsidR="00000000" w:rsidRDefault="00000000">
            <w:pPr>
              <w:spacing w:before="60" w:after="60"/>
              <w:ind w:left="57"/>
              <w:rPr>
                <w:color w:val="000000"/>
                <w:sz w:val="20"/>
                <w:lang w:val="fr-FR"/>
              </w:rPr>
            </w:pPr>
            <w:r>
              <w:rPr>
                <w:color w:val="000000"/>
                <w:sz w:val="20"/>
                <w:lang w:val="fr-FR"/>
              </w:rPr>
              <w:t xml:space="preserve">Population économiquement active </w:t>
            </w:r>
          </w:p>
        </w:tc>
        <w:tc>
          <w:tcPr>
            <w:tcW w:w="1251" w:type="dxa"/>
          </w:tcPr>
          <w:p w:rsidR="00000000" w:rsidRDefault="00000000">
            <w:pPr>
              <w:spacing w:before="60" w:after="60"/>
              <w:ind w:right="337"/>
              <w:jc w:val="right"/>
              <w:rPr>
                <w:color w:val="000000"/>
                <w:sz w:val="20"/>
                <w:lang w:val="fr-FR"/>
              </w:rPr>
            </w:pPr>
            <w:r>
              <w:rPr>
                <w:color w:val="000000"/>
                <w:sz w:val="20"/>
                <w:lang w:val="fr-FR"/>
              </w:rPr>
              <w:t xml:space="preserve">3 560 484 </w:t>
            </w:r>
          </w:p>
        </w:tc>
        <w:tc>
          <w:tcPr>
            <w:tcW w:w="1274" w:type="dxa"/>
          </w:tcPr>
          <w:p w:rsidR="00000000" w:rsidRDefault="00000000">
            <w:pPr>
              <w:spacing w:before="60" w:after="60"/>
              <w:ind w:right="337"/>
              <w:jc w:val="right"/>
              <w:rPr>
                <w:color w:val="000000"/>
                <w:sz w:val="20"/>
                <w:lang w:val="fr-FR"/>
              </w:rPr>
            </w:pPr>
            <w:r>
              <w:rPr>
                <w:color w:val="000000"/>
                <w:sz w:val="20"/>
                <w:lang w:val="fr-FR"/>
              </w:rPr>
              <w:t xml:space="preserve">2 096 262 </w:t>
            </w:r>
          </w:p>
        </w:tc>
        <w:tc>
          <w:tcPr>
            <w:tcW w:w="1228" w:type="dxa"/>
          </w:tcPr>
          <w:p w:rsidR="00000000" w:rsidRDefault="00000000">
            <w:pPr>
              <w:spacing w:before="60" w:after="60"/>
              <w:ind w:right="337"/>
              <w:jc w:val="right"/>
              <w:rPr>
                <w:color w:val="000000"/>
                <w:sz w:val="20"/>
                <w:lang w:val="fr-FR"/>
              </w:rPr>
            </w:pPr>
            <w:r>
              <w:rPr>
                <w:color w:val="000000"/>
                <w:sz w:val="20"/>
                <w:lang w:val="fr-FR"/>
              </w:rPr>
              <w:t xml:space="preserve">1 464 222  </w:t>
            </w:r>
          </w:p>
        </w:tc>
      </w:tr>
      <w:tr w:rsidR="00000000">
        <w:tblPrEx>
          <w:tblCellMar>
            <w:top w:w="0" w:type="dxa"/>
            <w:bottom w:w="0" w:type="dxa"/>
          </w:tblCellMar>
        </w:tblPrEx>
        <w:trPr>
          <w:jc w:val="center"/>
        </w:trPr>
        <w:tc>
          <w:tcPr>
            <w:tcW w:w="2306" w:type="dxa"/>
          </w:tcPr>
          <w:p w:rsidR="00000000" w:rsidRDefault="00000000">
            <w:pPr>
              <w:spacing w:before="60" w:after="60"/>
              <w:ind w:left="57"/>
              <w:rPr>
                <w:color w:val="000000"/>
                <w:sz w:val="20"/>
                <w:lang w:val="fr-FR"/>
              </w:rPr>
            </w:pPr>
            <w:r>
              <w:rPr>
                <w:color w:val="000000"/>
                <w:sz w:val="20"/>
                <w:lang w:val="fr-FR"/>
              </w:rPr>
              <w:t xml:space="preserve">Chômeurs </w:t>
            </w:r>
          </w:p>
        </w:tc>
        <w:tc>
          <w:tcPr>
            <w:tcW w:w="1251" w:type="dxa"/>
          </w:tcPr>
          <w:p w:rsidR="00000000" w:rsidRDefault="00000000">
            <w:pPr>
              <w:spacing w:before="60" w:after="60"/>
              <w:ind w:right="337"/>
              <w:jc w:val="right"/>
              <w:rPr>
                <w:color w:val="000000"/>
                <w:sz w:val="20"/>
                <w:lang w:val="fr-FR"/>
              </w:rPr>
            </w:pPr>
            <w:r>
              <w:rPr>
                <w:color w:val="000000"/>
                <w:sz w:val="20"/>
                <w:lang w:val="fr-FR"/>
              </w:rPr>
              <w:t xml:space="preserve">237 034 </w:t>
            </w:r>
          </w:p>
        </w:tc>
        <w:tc>
          <w:tcPr>
            <w:tcW w:w="1274" w:type="dxa"/>
          </w:tcPr>
          <w:p w:rsidR="00000000" w:rsidRDefault="00000000">
            <w:pPr>
              <w:spacing w:before="60" w:after="60"/>
              <w:ind w:right="337"/>
              <w:jc w:val="right"/>
              <w:rPr>
                <w:color w:val="000000"/>
                <w:sz w:val="20"/>
                <w:lang w:val="fr-FR"/>
              </w:rPr>
            </w:pPr>
            <w:r>
              <w:rPr>
                <w:color w:val="000000"/>
                <w:sz w:val="20"/>
                <w:lang w:val="fr-FR"/>
              </w:rPr>
              <w:t xml:space="preserve">91 862 </w:t>
            </w:r>
          </w:p>
        </w:tc>
        <w:tc>
          <w:tcPr>
            <w:tcW w:w="1228" w:type="dxa"/>
          </w:tcPr>
          <w:p w:rsidR="00000000" w:rsidRDefault="00000000">
            <w:pPr>
              <w:spacing w:before="60" w:after="60"/>
              <w:ind w:right="337"/>
              <w:jc w:val="right"/>
              <w:rPr>
                <w:color w:val="000000"/>
                <w:sz w:val="20"/>
                <w:lang w:val="fr-FR"/>
              </w:rPr>
            </w:pPr>
            <w:r>
              <w:rPr>
                <w:color w:val="000000"/>
                <w:sz w:val="20"/>
                <w:lang w:val="fr-FR"/>
              </w:rPr>
              <w:t xml:space="preserve">145 172  </w:t>
            </w:r>
          </w:p>
        </w:tc>
      </w:tr>
      <w:tr w:rsidR="00000000">
        <w:tblPrEx>
          <w:tblCellMar>
            <w:top w:w="0" w:type="dxa"/>
            <w:bottom w:w="0" w:type="dxa"/>
          </w:tblCellMar>
        </w:tblPrEx>
        <w:trPr>
          <w:jc w:val="center"/>
        </w:trPr>
        <w:tc>
          <w:tcPr>
            <w:tcW w:w="2306" w:type="dxa"/>
          </w:tcPr>
          <w:p w:rsidR="00000000" w:rsidRDefault="00000000">
            <w:pPr>
              <w:spacing w:before="60" w:after="60"/>
              <w:ind w:left="57"/>
              <w:rPr>
                <w:color w:val="000000"/>
                <w:sz w:val="20"/>
                <w:lang w:val="fr-FR"/>
              </w:rPr>
            </w:pPr>
            <w:r>
              <w:rPr>
                <w:color w:val="000000"/>
                <w:sz w:val="20"/>
                <w:lang w:val="fr-FR"/>
              </w:rPr>
              <w:t xml:space="preserve">Occupés </w:t>
            </w:r>
          </w:p>
        </w:tc>
        <w:tc>
          <w:tcPr>
            <w:tcW w:w="1251" w:type="dxa"/>
          </w:tcPr>
          <w:p w:rsidR="00000000" w:rsidRDefault="00000000">
            <w:pPr>
              <w:spacing w:before="60" w:after="60"/>
              <w:ind w:right="337"/>
              <w:jc w:val="right"/>
              <w:rPr>
                <w:color w:val="000000"/>
                <w:sz w:val="20"/>
                <w:lang w:val="fr-FR"/>
              </w:rPr>
            </w:pPr>
            <w:r>
              <w:rPr>
                <w:color w:val="000000"/>
                <w:sz w:val="20"/>
                <w:lang w:val="fr-FR"/>
              </w:rPr>
              <w:t xml:space="preserve">3 151 203 </w:t>
            </w:r>
          </w:p>
        </w:tc>
        <w:tc>
          <w:tcPr>
            <w:tcW w:w="1274" w:type="dxa"/>
          </w:tcPr>
          <w:p w:rsidR="00000000" w:rsidRDefault="00000000">
            <w:pPr>
              <w:spacing w:before="60" w:after="60"/>
              <w:ind w:right="337"/>
              <w:jc w:val="right"/>
              <w:rPr>
                <w:color w:val="000000"/>
                <w:sz w:val="20"/>
                <w:lang w:val="fr-FR"/>
              </w:rPr>
            </w:pPr>
            <w:r>
              <w:rPr>
                <w:color w:val="000000"/>
                <w:sz w:val="20"/>
                <w:lang w:val="fr-FR"/>
              </w:rPr>
              <w:t xml:space="preserve">1 920 794 </w:t>
            </w:r>
          </w:p>
        </w:tc>
        <w:tc>
          <w:tcPr>
            <w:tcW w:w="1228" w:type="dxa"/>
          </w:tcPr>
          <w:p w:rsidR="00000000" w:rsidRDefault="00000000">
            <w:pPr>
              <w:spacing w:before="60" w:after="60"/>
              <w:ind w:right="337"/>
              <w:jc w:val="right"/>
              <w:rPr>
                <w:color w:val="000000"/>
                <w:sz w:val="20"/>
                <w:lang w:val="fr-FR"/>
              </w:rPr>
            </w:pPr>
            <w:r>
              <w:rPr>
                <w:color w:val="000000"/>
                <w:sz w:val="20"/>
                <w:lang w:val="fr-FR"/>
              </w:rPr>
              <w:t xml:space="preserve">1 230 409  </w:t>
            </w:r>
          </w:p>
        </w:tc>
      </w:tr>
    </w:tbl>
    <w:p w:rsidR="00000000" w:rsidRDefault="00000000">
      <w:pPr>
        <w:autoSpaceDE w:val="0"/>
        <w:autoSpaceDN w:val="0"/>
        <w:adjustRightInd w:val="0"/>
        <w:spacing w:before="80" w:after="240"/>
        <w:ind w:left="567"/>
        <w:rPr>
          <w:color w:val="000000"/>
          <w:sz w:val="20"/>
          <w:lang w:val="fr-FR"/>
        </w:rPr>
      </w:pPr>
      <w:r>
        <w:rPr>
          <w:i/>
          <w:iCs/>
          <w:color w:val="000000"/>
          <w:sz w:val="20"/>
          <w:lang w:val="fr-FR"/>
        </w:rPr>
        <w:t>Source :</w:t>
      </w:r>
      <w:r>
        <w:rPr>
          <w:color w:val="000000"/>
          <w:sz w:val="20"/>
          <w:lang w:val="fr-FR"/>
        </w:rPr>
        <w:t xml:space="preserve">  INEC, Enquête urbaine sur l'emploi, le sous-emploi et le chômage.</w:t>
      </w:r>
    </w:p>
    <w:p w:rsidR="00000000" w:rsidRDefault="00000000">
      <w:pPr>
        <w:spacing w:after="120"/>
        <w:jc w:val="center"/>
        <w:rPr>
          <w:b/>
          <w:bCs/>
          <w:color w:val="000000"/>
          <w:sz w:val="20"/>
          <w:lang w:val="fr-FR"/>
        </w:rPr>
      </w:pPr>
      <w:r>
        <w:rPr>
          <w:b/>
          <w:bCs/>
          <w:color w:val="000000"/>
          <w:sz w:val="20"/>
          <w:lang w:val="fr-FR"/>
        </w:rPr>
        <w:t>Population totale urbaine (1999)</w:t>
      </w:r>
    </w:p>
    <w:tbl>
      <w:tblPr>
        <w:tblW w:w="8505" w:type="dxa"/>
        <w:jc w:val="center"/>
        <w:tblLayout w:type="fixed"/>
        <w:tblCellMar>
          <w:left w:w="70" w:type="dxa"/>
          <w:right w:w="70" w:type="dxa"/>
        </w:tblCellMar>
        <w:tblLook w:val="0000" w:firstRow="0" w:lastRow="0" w:firstColumn="0" w:lastColumn="0" w:noHBand="0" w:noVBand="0"/>
      </w:tblPr>
      <w:tblGrid>
        <w:gridCol w:w="5735"/>
        <w:gridCol w:w="2770"/>
      </w:tblGrid>
      <w:tr w:rsidR="00000000">
        <w:tblPrEx>
          <w:tblCellMar>
            <w:top w:w="0" w:type="dxa"/>
            <w:bottom w:w="0" w:type="dxa"/>
          </w:tblCellMar>
        </w:tblPrEx>
        <w:trPr>
          <w:jc w:val="center"/>
        </w:trPr>
        <w:tc>
          <w:tcPr>
            <w:tcW w:w="3479"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Groupe</w:t>
            </w:r>
          </w:p>
        </w:tc>
        <w:tc>
          <w:tcPr>
            <w:tcW w:w="1680"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Population</w:t>
            </w:r>
          </w:p>
        </w:tc>
      </w:tr>
      <w:tr w:rsidR="00000000">
        <w:tblPrEx>
          <w:tblCellMar>
            <w:top w:w="0" w:type="dxa"/>
            <w:bottom w:w="0" w:type="dxa"/>
          </w:tblCellMar>
        </w:tblPrEx>
        <w:trPr>
          <w:jc w:val="center"/>
        </w:trPr>
        <w:tc>
          <w:tcPr>
            <w:tcW w:w="3479" w:type="dxa"/>
            <w:tcBorders>
              <w:top w:val="single" w:sz="4" w:space="0" w:color="auto"/>
            </w:tcBorders>
          </w:tcPr>
          <w:p w:rsidR="00000000" w:rsidRDefault="00000000">
            <w:pPr>
              <w:spacing w:before="60" w:after="60"/>
              <w:ind w:left="57"/>
              <w:rPr>
                <w:color w:val="000000"/>
                <w:sz w:val="20"/>
                <w:lang w:val="fr-FR"/>
              </w:rPr>
            </w:pPr>
            <w:r>
              <w:rPr>
                <w:color w:val="000000"/>
                <w:sz w:val="20"/>
                <w:lang w:val="fr-FR"/>
              </w:rPr>
              <w:t xml:space="preserve">Population totale </w:t>
            </w:r>
          </w:p>
        </w:tc>
        <w:tc>
          <w:tcPr>
            <w:tcW w:w="1680" w:type="dxa"/>
            <w:tcBorders>
              <w:top w:val="single" w:sz="4" w:space="0" w:color="auto"/>
            </w:tcBorders>
          </w:tcPr>
          <w:p w:rsidR="00000000" w:rsidRDefault="00000000">
            <w:pPr>
              <w:spacing w:before="60" w:after="60"/>
              <w:ind w:right="789"/>
              <w:jc w:val="right"/>
              <w:rPr>
                <w:color w:val="000000"/>
                <w:sz w:val="20"/>
                <w:lang w:val="fr-FR"/>
              </w:rPr>
            </w:pPr>
            <w:r>
              <w:rPr>
                <w:color w:val="000000"/>
                <w:sz w:val="20"/>
                <w:lang w:val="fr-FR"/>
              </w:rPr>
              <w:t xml:space="preserve">8 023 454  </w:t>
            </w:r>
          </w:p>
        </w:tc>
      </w:tr>
      <w:tr w:rsidR="00000000">
        <w:tblPrEx>
          <w:tblCellMar>
            <w:top w:w="0" w:type="dxa"/>
            <w:bottom w:w="0" w:type="dxa"/>
          </w:tblCellMar>
        </w:tblPrEx>
        <w:trPr>
          <w:jc w:val="center"/>
        </w:trPr>
        <w:tc>
          <w:tcPr>
            <w:tcW w:w="3479" w:type="dxa"/>
          </w:tcPr>
          <w:p w:rsidR="00000000" w:rsidRDefault="00000000">
            <w:pPr>
              <w:spacing w:before="60" w:after="60"/>
              <w:ind w:left="57"/>
              <w:rPr>
                <w:color w:val="000000"/>
                <w:sz w:val="20"/>
                <w:lang w:val="fr-FR"/>
              </w:rPr>
            </w:pPr>
            <w:r>
              <w:rPr>
                <w:color w:val="000000"/>
                <w:sz w:val="20"/>
                <w:lang w:val="fr-FR"/>
              </w:rPr>
              <w:t xml:space="preserve">Mineurs de moins de10 ans </w:t>
            </w:r>
          </w:p>
        </w:tc>
        <w:tc>
          <w:tcPr>
            <w:tcW w:w="1680" w:type="dxa"/>
          </w:tcPr>
          <w:p w:rsidR="00000000" w:rsidRDefault="00000000">
            <w:pPr>
              <w:spacing w:before="60" w:after="60"/>
              <w:ind w:right="789"/>
              <w:jc w:val="right"/>
              <w:rPr>
                <w:color w:val="000000"/>
                <w:sz w:val="20"/>
                <w:lang w:val="fr-FR"/>
              </w:rPr>
            </w:pPr>
            <w:r>
              <w:rPr>
                <w:color w:val="000000"/>
                <w:sz w:val="20"/>
                <w:lang w:val="fr-FR"/>
              </w:rPr>
              <w:t xml:space="preserve">1 742 514  </w:t>
            </w:r>
          </w:p>
        </w:tc>
      </w:tr>
      <w:tr w:rsidR="00000000">
        <w:tblPrEx>
          <w:tblCellMar>
            <w:top w:w="0" w:type="dxa"/>
            <w:bottom w:w="0" w:type="dxa"/>
          </w:tblCellMar>
        </w:tblPrEx>
        <w:trPr>
          <w:jc w:val="center"/>
        </w:trPr>
        <w:tc>
          <w:tcPr>
            <w:tcW w:w="3479" w:type="dxa"/>
          </w:tcPr>
          <w:p w:rsidR="00000000" w:rsidRDefault="00000000">
            <w:pPr>
              <w:spacing w:before="60" w:after="60"/>
              <w:ind w:left="57"/>
              <w:rPr>
                <w:color w:val="000000"/>
                <w:sz w:val="20"/>
                <w:lang w:val="fr-FR"/>
              </w:rPr>
            </w:pPr>
            <w:r>
              <w:rPr>
                <w:color w:val="000000"/>
                <w:sz w:val="20"/>
                <w:lang w:val="fr-FR"/>
              </w:rPr>
              <w:t xml:space="preserve">Population en âge de travailler </w:t>
            </w:r>
          </w:p>
        </w:tc>
        <w:tc>
          <w:tcPr>
            <w:tcW w:w="1680" w:type="dxa"/>
          </w:tcPr>
          <w:p w:rsidR="00000000" w:rsidRDefault="00000000">
            <w:pPr>
              <w:spacing w:before="60" w:after="60"/>
              <w:ind w:right="789"/>
              <w:jc w:val="right"/>
              <w:rPr>
                <w:color w:val="000000"/>
                <w:sz w:val="20"/>
                <w:lang w:val="fr-FR"/>
              </w:rPr>
            </w:pPr>
            <w:r>
              <w:rPr>
                <w:color w:val="000000"/>
                <w:sz w:val="20"/>
                <w:lang w:val="fr-FR"/>
              </w:rPr>
              <w:t xml:space="preserve">6 280 940  </w:t>
            </w:r>
          </w:p>
        </w:tc>
      </w:tr>
      <w:tr w:rsidR="00000000">
        <w:tblPrEx>
          <w:tblCellMar>
            <w:top w:w="0" w:type="dxa"/>
            <w:bottom w:w="0" w:type="dxa"/>
          </w:tblCellMar>
        </w:tblPrEx>
        <w:trPr>
          <w:jc w:val="center"/>
        </w:trPr>
        <w:tc>
          <w:tcPr>
            <w:tcW w:w="3479" w:type="dxa"/>
          </w:tcPr>
          <w:p w:rsidR="00000000" w:rsidRDefault="00000000">
            <w:pPr>
              <w:spacing w:before="60" w:after="60"/>
              <w:ind w:left="57"/>
              <w:rPr>
                <w:color w:val="000000"/>
                <w:sz w:val="20"/>
                <w:lang w:val="fr-FR"/>
              </w:rPr>
            </w:pPr>
            <w:r>
              <w:rPr>
                <w:color w:val="000000"/>
                <w:sz w:val="20"/>
                <w:lang w:val="fr-FR"/>
              </w:rPr>
              <w:t>Population économiquement inactive</w:t>
            </w:r>
          </w:p>
        </w:tc>
        <w:tc>
          <w:tcPr>
            <w:tcW w:w="1680" w:type="dxa"/>
          </w:tcPr>
          <w:p w:rsidR="00000000" w:rsidRDefault="00000000">
            <w:pPr>
              <w:spacing w:before="60" w:after="60"/>
              <w:ind w:right="789"/>
              <w:jc w:val="right"/>
              <w:rPr>
                <w:color w:val="000000"/>
                <w:sz w:val="20"/>
                <w:lang w:val="fr-FR"/>
              </w:rPr>
            </w:pPr>
            <w:r>
              <w:rPr>
                <w:color w:val="000000"/>
                <w:sz w:val="20"/>
                <w:lang w:val="fr-FR"/>
              </w:rPr>
              <w:t xml:space="preserve">2 511 360  </w:t>
            </w:r>
          </w:p>
        </w:tc>
      </w:tr>
      <w:tr w:rsidR="00000000">
        <w:tblPrEx>
          <w:tblCellMar>
            <w:top w:w="0" w:type="dxa"/>
            <w:bottom w:w="0" w:type="dxa"/>
          </w:tblCellMar>
        </w:tblPrEx>
        <w:trPr>
          <w:jc w:val="center"/>
        </w:trPr>
        <w:tc>
          <w:tcPr>
            <w:tcW w:w="3479" w:type="dxa"/>
          </w:tcPr>
          <w:p w:rsidR="00000000" w:rsidRDefault="00000000">
            <w:pPr>
              <w:spacing w:before="60" w:after="60"/>
              <w:ind w:left="57"/>
              <w:rPr>
                <w:color w:val="000000"/>
                <w:sz w:val="20"/>
                <w:lang w:val="fr-FR"/>
              </w:rPr>
            </w:pPr>
            <w:r>
              <w:rPr>
                <w:color w:val="000000"/>
                <w:sz w:val="20"/>
                <w:lang w:val="fr-FR"/>
              </w:rPr>
              <w:t xml:space="preserve">Population économiquement active </w:t>
            </w:r>
          </w:p>
        </w:tc>
        <w:tc>
          <w:tcPr>
            <w:tcW w:w="1680" w:type="dxa"/>
          </w:tcPr>
          <w:p w:rsidR="00000000" w:rsidRDefault="00000000">
            <w:pPr>
              <w:spacing w:before="60" w:after="60"/>
              <w:ind w:right="789"/>
              <w:jc w:val="right"/>
              <w:rPr>
                <w:color w:val="000000"/>
                <w:sz w:val="20"/>
                <w:lang w:val="fr-FR"/>
              </w:rPr>
            </w:pPr>
            <w:r>
              <w:rPr>
                <w:color w:val="000000"/>
                <w:sz w:val="20"/>
                <w:lang w:val="fr-FR"/>
              </w:rPr>
              <w:t xml:space="preserve">3 769 580  </w:t>
            </w:r>
          </w:p>
        </w:tc>
      </w:tr>
      <w:tr w:rsidR="00000000">
        <w:tblPrEx>
          <w:tblCellMar>
            <w:top w:w="0" w:type="dxa"/>
            <w:bottom w:w="0" w:type="dxa"/>
          </w:tblCellMar>
        </w:tblPrEx>
        <w:trPr>
          <w:jc w:val="center"/>
        </w:trPr>
        <w:tc>
          <w:tcPr>
            <w:tcW w:w="3479" w:type="dxa"/>
          </w:tcPr>
          <w:p w:rsidR="00000000" w:rsidRDefault="00000000">
            <w:pPr>
              <w:spacing w:before="60" w:after="60"/>
              <w:ind w:left="57"/>
              <w:rPr>
                <w:color w:val="000000"/>
                <w:sz w:val="20"/>
                <w:lang w:val="fr-FR"/>
              </w:rPr>
            </w:pPr>
            <w:r>
              <w:rPr>
                <w:color w:val="000000"/>
                <w:sz w:val="20"/>
                <w:lang w:val="fr-FR"/>
              </w:rPr>
              <w:t xml:space="preserve">Chômeurs </w:t>
            </w:r>
          </w:p>
        </w:tc>
        <w:tc>
          <w:tcPr>
            <w:tcW w:w="1680" w:type="dxa"/>
          </w:tcPr>
          <w:p w:rsidR="00000000" w:rsidRDefault="00000000">
            <w:pPr>
              <w:spacing w:before="60" w:after="60"/>
              <w:ind w:right="789"/>
              <w:jc w:val="right"/>
              <w:rPr>
                <w:color w:val="000000"/>
                <w:sz w:val="20"/>
                <w:lang w:val="fr-FR"/>
              </w:rPr>
            </w:pPr>
            <w:r>
              <w:rPr>
                <w:color w:val="000000"/>
                <w:sz w:val="20"/>
                <w:lang w:val="fr-FR"/>
              </w:rPr>
              <w:t xml:space="preserve">543 452  </w:t>
            </w:r>
          </w:p>
        </w:tc>
      </w:tr>
      <w:tr w:rsidR="00000000">
        <w:tblPrEx>
          <w:tblCellMar>
            <w:top w:w="0" w:type="dxa"/>
            <w:bottom w:w="0" w:type="dxa"/>
          </w:tblCellMar>
        </w:tblPrEx>
        <w:trPr>
          <w:jc w:val="center"/>
        </w:trPr>
        <w:tc>
          <w:tcPr>
            <w:tcW w:w="3479" w:type="dxa"/>
            <w:tcBorders>
              <w:bottom w:val="single" w:sz="4" w:space="0" w:color="auto"/>
            </w:tcBorders>
          </w:tcPr>
          <w:p w:rsidR="00000000" w:rsidRDefault="00000000">
            <w:pPr>
              <w:spacing w:before="60" w:after="60"/>
              <w:ind w:left="57"/>
              <w:rPr>
                <w:color w:val="000000"/>
                <w:sz w:val="20"/>
                <w:lang w:val="fr-FR"/>
              </w:rPr>
            </w:pPr>
            <w:r>
              <w:rPr>
                <w:color w:val="000000"/>
                <w:sz w:val="20"/>
                <w:lang w:val="fr-FR"/>
              </w:rPr>
              <w:t xml:space="preserve">Occupés </w:t>
            </w:r>
          </w:p>
        </w:tc>
        <w:tc>
          <w:tcPr>
            <w:tcW w:w="1680" w:type="dxa"/>
            <w:tcBorders>
              <w:bottom w:val="single" w:sz="4" w:space="0" w:color="auto"/>
            </w:tcBorders>
          </w:tcPr>
          <w:p w:rsidR="00000000" w:rsidRDefault="00000000">
            <w:pPr>
              <w:spacing w:before="60" w:after="60"/>
              <w:ind w:right="789"/>
              <w:jc w:val="right"/>
              <w:rPr>
                <w:color w:val="000000"/>
                <w:sz w:val="20"/>
                <w:lang w:val="fr-FR"/>
              </w:rPr>
            </w:pPr>
            <w:r>
              <w:rPr>
                <w:color w:val="000000"/>
                <w:sz w:val="20"/>
                <w:lang w:val="fr-FR"/>
              </w:rPr>
              <w:t xml:space="preserve">3 226 128  </w:t>
            </w:r>
          </w:p>
        </w:tc>
      </w:tr>
    </w:tbl>
    <w:p w:rsidR="00000000" w:rsidRDefault="00000000">
      <w:pPr>
        <w:autoSpaceDE w:val="0"/>
        <w:autoSpaceDN w:val="0"/>
        <w:adjustRightInd w:val="0"/>
        <w:spacing w:before="80" w:after="240"/>
        <w:rPr>
          <w:color w:val="000000"/>
          <w:sz w:val="20"/>
          <w:lang w:val="fr-FR"/>
        </w:rPr>
      </w:pPr>
      <w:r>
        <w:rPr>
          <w:i/>
          <w:iCs/>
          <w:color w:val="000000"/>
          <w:sz w:val="20"/>
          <w:lang w:val="fr-FR"/>
        </w:rPr>
        <w:tab/>
        <w:t>Source :</w:t>
      </w:r>
      <w:r>
        <w:rPr>
          <w:color w:val="000000"/>
          <w:sz w:val="20"/>
          <w:lang w:val="fr-FR"/>
        </w:rPr>
        <w:t xml:space="preserve">  INEC, Enquête urbaine sur l'emploi, le sous-emploi et le chômage.</w:t>
      </w:r>
    </w:p>
    <w:p w:rsidR="00000000" w:rsidRDefault="00000000">
      <w:pPr>
        <w:autoSpaceDE w:val="0"/>
        <w:autoSpaceDN w:val="0"/>
        <w:adjustRightInd w:val="0"/>
        <w:spacing w:after="240"/>
        <w:rPr>
          <w:color w:val="000000"/>
          <w:lang w:val="fr-FR"/>
        </w:rPr>
      </w:pPr>
      <w:r>
        <w:rPr>
          <w:color w:val="000000"/>
          <w:lang w:val="fr-FR"/>
        </w:rPr>
        <w:t>60.</w:t>
      </w:r>
      <w:r>
        <w:rPr>
          <w:color w:val="000000"/>
          <w:lang w:val="fr-FR"/>
        </w:rPr>
        <w:tab/>
        <w:t>L'accroissement de la population économiquement active (PEA) confirme la tendance, observée depuis plusieurs années, à l'augmentation des entrées sur le marché du travail.  Ainsi, le taux de participation globale (PEA/PET) était de 52,34 % pour novembre 1990, de 58,43 % pour 1998 et de 60 % pour 1999.</w:t>
      </w:r>
    </w:p>
    <w:p w:rsidR="00000000" w:rsidRDefault="00000000">
      <w:pPr>
        <w:autoSpaceDE w:val="0"/>
        <w:autoSpaceDN w:val="0"/>
        <w:adjustRightInd w:val="0"/>
        <w:spacing w:after="240"/>
        <w:rPr>
          <w:color w:val="000000"/>
          <w:lang w:val="fr-FR"/>
        </w:rPr>
      </w:pPr>
      <w:r>
        <w:rPr>
          <w:color w:val="000000"/>
          <w:lang w:val="fr-FR"/>
        </w:rPr>
        <w:t>61.</w:t>
      </w:r>
      <w:r>
        <w:rPr>
          <w:color w:val="000000"/>
          <w:lang w:val="fr-FR"/>
        </w:rPr>
        <w:tab/>
        <w:t xml:space="preserve">D'après l'enquête de novembre 1998 sur l'emploi, le chômage et le sous-emploi dans les zones urbaines, le chômage a davantage touché les femmes.  On note que 15,9 % des femmes sont économiquement inactives, alors que cette proportion est de 8,3 % chez les hommes, c'est-à-dire que les femmes souffrent par rapport aux hommes de l'inégalité des chances.  </w:t>
      </w:r>
    </w:p>
    <w:p w:rsidR="00000000" w:rsidRDefault="00000000">
      <w:pPr>
        <w:autoSpaceDE w:val="0"/>
        <w:autoSpaceDN w:val="0"/>
        <w:adjustRightInd w:val="0"/>
        <w:spacing w:after="240"/>
        <w:rPr>
          <w:color w:val="000000"/>
          <w:lang w:val="fr-FR"/>
        </w:rPr>
      </w:pPr>
      <w:r>
        <w:rPr>
          <w:color w:val="000000"/>
          <w:lang w:val="fr-FR"/>
        </w:rPr>
        <w:t>62.</w:t>
      </w:r>
      <w:r>
        <w:rPr>
          <w:color w:val="000000"/>
          <w:lang w:val="fr-FR"/>
        </w:rPr>
        <w:tab/>
        <w:t>Le marché du travail, dans l'ensemble du pays, comporte des différences selon le sexe : les hommes ont davantage accès aux emplois salariés que les femmes, ces dernières étant surtout présentes dans les activités indépendantes et le travail familial non rémunéré</w:t>
      </w:r>
      <w:r>
        <w:rPr>
          <w:rStyle w:val="FootnoteReference"/>
          <w:b/>
          <w:color w:val="000000"/>
          <w:lang w:val="fr-FR"/>
        </w:rPr>
        <w:footnoteReference w:id="14"/>
      </w:r>
      <w:r>
        <w:rPr>
          <w:color w:val="000000"/>
          <w:lang w:val="fr-FR"/>
        </w:rPr>
        <w:t>.</w:t>
      </w:r>
    </w:p>
    <w:p w:rsidR="00000000" w:rsidRDefault="00000000">
      <w:pPr>
        <w:spacing w:after="360"/>
        <w:rPr>
          <w:lang w:val="fr-FR"/>
        </w:rPr>
      </w:pPr>
      <w:r>
        <w:rPr>
          <w:lang w:val="fr-FR"/>
        </w:rPr>
        <w:t>63.</w:t>
      </w:r>
      <w:r>
        <w:rPr>
          <w:lang w:val="fr-FR"/>
        </w:rPr>
        <w:tab/>
        <w:t>Dans le secteur rural, on s'attendait, grâce à l'accroissement des exportations, à une nette reprise de la demande de main-d’œuvre.  Mais cet accroissement a été modeste et insuffisant, en raison principalement des dégâts occasionnés par le phénomène El Niño dans la région de la Costa en 1997 et 1998, qui a affecté la production agricole (baisse de 0,8 %), à quoi s'ajoutent la destruction de 80 % des routes de cette région et les dommages subis par l'infrastructure hospitalière (au moins 23 établissements de santé touchés).</w:t>
      </w:r>
    </w:p>
    <w:p w:rsidR="00000000" w:rsidRDefault="00000000">
      <w:pPr>
        <w:pStyle w:val="Heading1"/>
        <w:keepNext w:val="0"/>
        <w:rPr>
          <w:sz w:val="20"/>
          <w:lang w:val="fr-FR"/>
        </w:rPr>
      </w:pPr>
      <w:r>
        <w:rPr>
          <w:sz w:val="20"/>
          <w:lang w:val="fr-FR"/>
        </w:rPr>
        <w:t>Exportations traditionnelles</w:t>
      </w:r>
    </w:p>
    <w:p w:rsidR="00000000" w:rsidRDefault="00000000">
      <w:pPr>
        <w:spacing w:after="120"/>
        <w:jc w:val="center"/>
        <w:rPr>
          <w:i/>
          <w:iCs/>
          <w:color w:val="000000"/>
          <w:sz w:val="20"/>
          <w:lang w:val="fr-FR"/>
        </w:rPr>
      </w:pPr>
      <w:r>
        <w:rPr>
          <w:i/>
          <w:iCs/>
          <w:color w:val="000000"/>
          <w:sz w:val="20"/>
          <w:lang w:val="fr-FR"/>
        </w:rPr>
        <w:t>(En millions de dollars f.o.b.)</w:t>
      </w:r>
    </w:p>
    <w:tbl>
      <w:tblPr>
        <w:tblW w:w="8505" w:type="dxa"/>
        <w:jc w:val="center"/>
        <w:tblLayout w:type="fixed"/>
        <w:tblCellMar>
          <w:left w:w="70" w:type="dxa"/>
          <w:right w:w="70" w:type="dxa"/>
        </w:tblCellMar>
        <w:tblLook w:val="0000" w:firstRow="0" w:lastRow="0" w:firstColumn="0" w:lastColumn="0" w:noHBand="0" w:noVBand="0"/>
      </w:tblPr>
      <w:tblGrid>
        <w:gridCol w:w="2835"/>
        <w:gridCol w:w="1134"/>
        <w:gridCol w:w="1134"/>
        <w:gridCol w:w="1134"/>
        <w:gridCol w:w="1134"/>
        <w:gridCol w:w="1134"/>
      </w:tblGrid>
      <w:tr w:rsidR="00000000">
        <w:tblPrEx>
          <w:tblCellMar>
            <w:top w:w="0" w:type="dxa"/>
            <w:bottom w:w="0" w:type="dxa"/>
          </w:tblCellMar>
        </w:tblPrEx>
        <w:trPr>
          <w:jc w:val="center"/>
        </w:trPr>
        <w:tc>
          <w:tcPr>
            <w:tcW w:w="2816"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p>
        </w:tc>
        <w:tc>
          <w:tcPr>
            <w:tcW w:w="1126"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1995</w:t>
            </w:r>
          </w:p>
        </w:tc>
        <w:tc>
          <w:tcPr>
            <w:tcW w:w="1126"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1996</w:t>
            </w:r>
          </w:p>
        </w:tc>
        <w:tc>
          <w:tcPr>
            <w:tcW w:w="1126"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1997</w:t>
            </w:r>
          </w:p>
        </w:tc>
        <w:tc>
          <w:tcPr>
            <w:tcW w:w="1126"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1998</w:t>
            </w:r>
          </w:p>
        </w:tc>
        <w:tc>
          <w:tcPr>
            <w:tcW w:w="1126" w:type="dxa"/>
            <w:tcBorders>
              <w:top w:val="single" w:sz="4" w:space="0" w:color="auto"/>
              <w:bottom w:val="single" w:sz="4" w:space="0" w:color="auto"/>
            </w:tcBorders>
            <w:vAlign w:val="center"/>
          </w:tcPr>
          <w:p w:rsidR="00000000" w:rsidRDefault="00000000">
            <w:pPr>
              <w:spacing w:before="60" w:after="60"/>
              <w:jc w:val="center"/>
              <w:rPr>
                <w:b/>
                <w:bCs/>
                <w:i/>
                <w:iCs/>
                <w:color w:val="000000"/>
                <w:sz w:val="20"/>
                <w:lang w:val="fr-FR"/>
              </w:rPr>
            </w:pPr>
            <w:r>
              <w:rPr>
                <w:b/>
                <w:bCs/>
                <w:i/>
                <w:iCs/>
                <w:color w:val="000000"/>
                <w:sz w:val="20"/>
                <w:lang w:val="fr-FR"/>
              </w:rPr>
              <w:t>1999</w:t>
            </w:r>
          </w:p>
        </w:tc>
      </w:tr>
      <w:tr w:rsidR="00000000">
        <w:tblPrEx>
          <w:tblCellMar>
            <w:top w:w="0" w:type="dxa"/>
            <w:bottom w:w="0" w:type="dxa"/>
          </w:tblCellMar>
        </w:tblPrEx>
        <w:trPr>
          <w:jc w:val="center"/>
        </w:trPr>
        <w:tc>
          <w:tcPr>
            <w:tcW w:w="2816" w:type="dxa"/>
            <w:tcBorders>
              <w:top w:val="single" w:sz="4" w:space="0" w:color="auto"/>
            </w:tcBorders>
          </w:tcPr>
          <w:p w:rsidR="00000000" w:rsidRDefault="00000000">
            <w:pPr>
              <w:spacing w:before="60" w:after="60"/>
              <w:rPr>
                <w:color w:val="000000"/>
                <w:sz w:val="20"/>
                <w:lang w:val="fr-FR"/>
              </w:rPr>
            </w:pPr>
            <w:r>
              <w:rPr>
                <w:color w:val="000000"/>
                <w:sz w:val="20"/>
                <w:lang w:val="fr-FR"/>
              </w:rPr>
              <w:t xml:space="preserve">Bananes </w:t>
            </w:r>
          </w:p>
        </w:tc>
        <w:tc>
          <w:tcPr>
            <w:tcW w:w="1126" w:type="dxa"/>
            <w:tcBorders>
              <w:top w:val="single" w:sz="4" w:space="0" w:color="auto"/>
            </w:tcBorders>
          </w:tcPr>
          <w:p w:rsidR="00000000" w:rsidRDefault="00000000">
            <w:pPr>
              <w:spacing w:before="60" w:after="60"/>
              <w:ind w:right="213"/>
              <w:jc w:val="right"/>
              <w:rPr>
                <w:color w:val="000000"/>
                <w:sz w:val="20"/>
                <w:lang w:val="fr-FR"/>
              </w:rPr>
            </w:pPr>
            <w:r>
              <w:rPr>
                <w:color w:val="000000"/>
                <w:sz w:val="20"/>
                <w:lang w:val="fr-FR"/>
              </w:rPr>
              <w:t xml:space="preserve">857 </w:t>
            </w:r>
          </w:p>
        </w:tc>
        <w:tc>
          <w:tcPr>
            <w:tcW w:w="1126" w:type="dxa"/>
            <w:tcBorders>
              <w:top w:val="single" w:sz="4" w:space="0" w:color="auto"/>
            </w:tcBorders>
          </w:tcPr>
          <w:p w:rsidR="00000000" w:rsidRDefault="00000000">
            <w:pPr>
              <w:spacing w:before="60" w:after="60"/>
              <w:ind w:right="213"/>
              <w:jc w:val="right"/>
              <w:rPr>
                <w:color w:val="000000"/>
                <w:sz w:val="20"/>
                <w:lang w:val="fr-FR"/>
              </w:rPr>
            </w:pPr>
            <w:r>
              <w:rPr>
                <w:color w:val="000000"/>
                <w:sz w:val="20"/>
                <w:lang w:val="fr-FR"/>
              </w:rPr>
              <w:t xml:space="preserve">973 </w:t>
            </w:r>
          </w:p>
        </w:tc>
        <w:tc>
          <w:tcPr>
            <w:tcW w:w="1126" w:type="dxa"/>
            <w:tcBorders>
              <w:top w:val="single" w:sz="4" w:space="0" w:color="auto"/>
            </w:tcBorders>
          </w:tcPr>
          <w:p w:rsidR="00000000" w:rsidRDefault="00000000">
            <w:pPr>
              <w:spacing w:before="60" w:after="60"/>
              <w:ind w:right="174"/>
              <w:jc w:val="right"/>
              <w:rPr>
                <w:color w:val="000000"/>
                <w:sz w:val="20"/>
                <w:lang w:val="fr-FR"/>
              </w:rPr>
            </w:pPr>
            <w:r>
              <w:rPr>
                <w:color w:val="000000"/>
                <w:sz w:val="20"/>
                <w:lang w:val="fr-FR"/>
              </w:rPr>
              <w:t xml:space="preserve">1 327 </w:t>
            </w:r>
          </w:p>
        </w:tc>
        <w:tc>
          <w:tcPr>
            <w:tcW w:w="1126" w:type="dxa"/>
            <w:tcBorders>
              <w:top w:val="single" w:sz="4" w:space="0" w:color="auto"/>
            </w:tcBorders>
          </w:tcPr>
          <w:p w:rsidR="00000000" w:rsidRDefault="00000000">
            <w:pPr>
              <w:spacing w:before="60" w:after="60"/>
              <w:ind w:right="174"/>
              <w:jc w:val="right"/>
              <w:rPr>
                <w:color w:val="000000"/>
                <w:sz w:val="20"/>
                <w:lang w:val="fr-FR"/>
              </w:rPr>
            </w:pPr>
            <w:r>
              <w:rPr>
                <w:color w:val="000000"/>
                <w:sz w:val="20"/>
                <w:lang w:val="fr-FR"/>
              </w:rPr>
              <w:t xml:space="preserve">1 070 </w:t>
            </w:r>
          </w:p>
        </w:tc>
        <w:tc>
          <w:tcPr>
            <w:tcW w:w="1126" w:type="dxa"/>
            <w:tcBorders>
              <w:top w:val="single" w:sz="4" w:space="0" w:color="auto"/>
            </w:tcBorders>
          </w:tcPr>
          <w:p w:rsidR="00000000" w:rsidRDefault="00000000">
            <w:pPr>
              <w:spacing w:before="60" w:after="60"/>
              <w:ind w:right="174"/>
              <w:jc w:val="right"/>
              <w:rPr>
                <w:color w:val="000000"/>
                <w:sz w:val="20"/>
                <w:lang w:val="fr-FR"/>
              </w:rPr>
            </w:pPr>
            <w:r>
              <w:rPr>
                <w:color w:val="000000"/>
                <w:sz w:val="20"/>
                <w:lang w:val="fr-FR"/>
              </w:rPr>
              <w:t xml:space="preserve">954  </w:t>
            </w:r>
          </w:p>
        </w:tc>
      </w:tr>
      <w:tr w:rsidR="00000000">
        <w:tblPrEx>
          <w:tblCellMar>
            <w:top w:w="0" w:type="dxa"/>
            <w:bottom w:w="0" w:type="dxa"/>
          </w:tblCellMar>
        </w:tblPrEx>
        <w:trPr>
          <w:jc w:val="center"/>
        </w:trPr>
        <w:tc>
          <w:tcPr>
            <w:tcW w:w="2816" w:type="dxa"/>
          </w:tcPr>
          <w:p w:rsidR="00000000" w:rsidRDefault="00000000">
            <w:pPr>
              <w:spacing w:before="60" w:after="60"/>
              <w:rPr>
                <w:color w:val="000000"/>
                <w:sz w:val="20"/>
                <w:lang w:val="fr-FR"/>
              </w:rPr>
            </w:pPr>
            <w:r>
              <w:rPr>
                <w:color w:val="000000"/>
                <w:sz w:val="20"/>
                <w:lang w:val="fr-FR"/>
              </w:rPr>
              <w:t xml:space="preserve">Café en grain et élaboré </w:t>
            </w:r>
          </w:p>
        </w:tc>
        <w:tc>
          <w:tcPr>
            <w:tcW w:w="1126" w:type="dxa"/>
          </w:tcPr>
          <w:p w:rsidR="00000000" w:rsidRDefault="00000000">
            <w:pPr>
              <w:spacing w:before="60" w:after="60"/>
              <w:ind w:right="213"/>
              <w:jc w:val="right"/>
              <w:rPr>
                <w:color w:val="000000"/>
                <w:sz w:val="20"/>
                <w:lang w:val="fr-FR"/>
              </w:rPr>
            </w:pPr>
            <w:r>
              <w:rPr>
                <w:color w:val="000000"/>
                <w:sz w:val="20"/>
                <w:lang w:val="fr-FR"/>
              </w:rPr>
              <w:t xml:space="preserve">244 </w:t>
            </w:r>
          </w:p>
        </w:tc>
        <w:tc>
          <w:tcPr>
            <w:tcW w:w="1126" w:type="dxa"/>
          </w:tcPr>
          <w:p w:rsidR="00000000" w:rsidRDefault="00000000">
            <w:pPr>
              <w:spacing w:before="60" w:after="60"/>
              <w:ind w:right="213"/>
              <w:jc w:val="right"/>
              <w:rPr>
                <w:color w:val="000000"/>
                <w:sz w:val="20"/>
                <w:lang w:val="fr-FR"/>
              </w:rPr>
            </w:pPr>
            <w:r>
              <w:rPr>
                <w:color w:val="000000"/>
                <w:sz w:val="20"/>
                <w:lang w:val="fr-FR"/>
              </w:rPr>
              <w:t xml:space="preserve">160 </w:t>
            </w:r>
          </w:p>
        </w:tc>
        <w:tc>
          <w:tcPr>
            <w:tcW w:w="1126" w:type="dxa"/>
          </w:tcPr>
          <w:p w:rsidR="00000000" w:rsidRDefault="00000000">
            <w:pPr>
              <w:spacing w:before="60" w:after="60"/>
              <w:ind w:right="174"/>
              <w:jc w:val="right"/>
              <w:rPr>
                <w:color w:val="000000"/>
                <w:sz w:val="20"/>
                <w:lang w:val="fr-FR"/>
              </w:rPr>
            </w:pPr>
            <w:r>
              <w:rPr>
                <w:color w:val="000000"/>
                <w:sz w:val="20"/>
                <w:lang w:val="fr-FR"/>
              </w:rPr>
              <w:t xml:space="preserve">121 </w:t>
            </w:r>
          </w:p>
        </w:tc>
        <w:tc>
          <w:tcPr>
            <w:tcW w:w="1126" w:type="dxa"/>
          </w:tcPr>
          <w:p w:rsidR="00000000" w:rsidRDefault="00000000">
            <w:pPr>
              <w:spacing w:before="60" w:after="60"/>
              <w:ind w:right="174"/>
              <w:jc w:val="right"/>
              <w:rPr>
                <w:color w:val="000000"/>
                <w:sz w:val="20"/>
                <w:lang w:val="fr-FR"/>
              </w:rPr>
            </w:pPr>
            <w:r>
              <w:rPr>
                <w:color w:val="000000"/>
                <w:sz w:val="20"/>
                <w:lang w:val="fr-FR"/>
              </w:rPr>
              <w:t xml:space="preserve">105 </w:t>
            </w:r>
          </w:p>
        </w:tc>
        <w:tc>
          <w:tcPr>
            <w:tcW w:w="1126" w:type="dxa"/>
          </w:tcPr>
          <w:p w:rsidR="00000000" w:rsidRDefault="00000000">
            <w:pPr>
              <w:spacing w:before="60" w:after="60"/>
              <w:ind w:right="174"/>
              <w:jc w:val="right"/>
              <w:rPr>
                <w:color w:val="000000"/>
                <w:sz w:val="20"/>
                <w:lang w:val="fr-FR"/>
              </w:rPr>
            </w:pPr>
            <w:r>
              <w:rPr>
                <w:color w:val="000000"/>
                <w:sz w:val="20"/>
                <w:lang w:val="fr-FR"/>
              </w:rPr>
              <w:t xml:space="preserve">78  </w:t>
            </w:r>
          </w:p>
        </w:tc>
      </w:tr>
      <w:tr w:rsidR="00000000">
        <w:tblPrEx>
          <w:tblCellMar>
            <w:top w:w="0" w:type="dxa"/>
            <w:bottom w:w="0" w:type="dxa"/>
          </w:tblCellMar>
        </w:tblPrEx>
        <w:trPr>
          <w:jc w:val="center"/>
        </w:trPr>
        <w:tc>
          <w:tcPr>
            <w:tcW w:w="2816" w:type="dxa"/>
          </w:tcPr>
          <w:p w:rsidR="00000000" w:rsidRDefault="00000000">
            <w:pPr>
              <w:spacing w:before="60" w:after="60"/>
              <w:rPr>
                <w:color w:val="000000"/>
                <w:sz w:val="20"/>
                <w:lang w:val="fr-FR"/>
              </w:rPr>
            </w:pPr>
            <w:r>
              <w:rPr>
                <w:color w:val="000000"/>
                <w:sz w:val="20"/>
                <w:lang w:val="fr-FR"/>
              </w:rPr>
              <w:t xml:space="preserve">Cacao en grain et élaboré </w:t>
            </w:r>
          </w:p>
        </w:tc>
        <w:tc>
          <w:tcPr>
            <w:tcW w:w="1126" w:type="dxa"/>
          </w:tcPr>
          <w:p w:rsidR="00000000" w:rsidRDefault="00000000">
            <w:pPr>
              <w:spacing w:before="60" w:after="60"/>
              <w:ind w:right="213"/>
              <w:jc w:val="right"/>
              <w:rPr>
                <w:color w:val="000000"/>
                <w:sz w:val="20"/>
                <w:lang w:val="fr-FR"/>
              </w:rPr>
            </w:pPr>
            <w:r>
              <w:rPr>
                <w:color w:val="000000"/>
                <w:sz w:val="20"/>
                <w:lang w:val="fr-FR"/>
              </w:rPr>
              <w:t xml:space="preserve">133 </w:t>
            </w:r>
          </w:p>
        </w:tc>
        <w:tc>
          <w:tcPr>
            <w:tcW w:w="1126" w:type="dxa"/>
          </w:tcPr>
          <w:p w:rsidR="00000000" w:rsidRDefault="00000000">
            <w:pPr>
              <w:spacing w:before="60" w:after="60"/>
              <w:ind w:right="213"/>
              <w:jc w:val="right"/>
              <w:rPr>
                <w:color w:val="000000"/>
                <w:sz w:val="20"/>
                <w:lang w:val="fr-FR"/>
              </w:rPr>
            </w:pPr>
            <w:r>
              <w:rPr>
                <w:color w:val="000000"/>
                <w:sz w:val="20"/>
                <w:lang w:val="fr-FR"/>
              </w:rPr>
              <w:t xml:space="preserve">164 </w:t>
            </w:r>
          </w:p>
        </w:tc>
        <w:tc>
          <w:tcPr>
            <w:tcW w:w="1126" w:type="dxa"/>
          </w:tcPr>
          <w:p w:rsidR="00000000" w:rsidRDefault="00000000">
            <w:pPr>
              <w:spacing w:before="60" w:after="60"/>
              <w:ind w:right="174"/>
              <w:jc w:val="right"/>
              <w:rPr>
                <w:color w:val="000000"/>
                <w:sz w:val="20"/>
                <w:lang w:val="fr-FR"/>
              </w:rPr>
            </w:pPr>
            <w:r>
              <w:rPr>
                <w:color w:val="000000"/>
                <w:sz w:val="20"/>
                <w:lang w:val="fr-FR"/>
              </w:rPr>
              <w:t xml:space="preserve">132 </w:t>
            </w:r>
          </w:p>
        </w:tc>
        <w:tc>
          <w:tcPr>
            <w:tcW w:w="1126" w:type="dxa"/>
          </w:tcPr>
          <w:p w:rsidR="00000000" w:rsidRDefault="00000000">
            <w:pPr>
              <w:spacing w:before="60" w:after="60"/>
              <w:ind w:right="174"/>
              <w:jc w:val="right"/>
              <w:rPr>
                <w:color w:val="000000"/>
                <w:sz w:val="20"/>
                <w:lang w:val="fr-FR"/>
              </w:rPr>
            </w:pPr>
            <w:r>
              <w:rPr>
                <w:color w:val="000000"/>
                <w:sz w:val="20"/>
                <w:lang w:val="fr-FR"/>
              </w:rPr>
              <w:t xml:space="preserve">47 </w:t>
            </w:r>
          </w:p>
        </w:tc>
        <w:tc>
          <w:tcPr>
            <w:tcW w:w="1126" w:type="dxa"/>
          </w:tcPr>
          <w:p w:rsidR="00000000" w:rsidRDefault="00000000">
            <w:pPr>
              <w:spacing w:before="60" w:after="60"/>
              <w:ind w:right="174"/>
              <w:jc w:val="right"/>
              <w:rPr>
                <w:color w:val="000000"/>
                <w:sz w:val="20"/>
                <w:lang w:val="fr-FR"/>
              </w:rPr>
            </w:pPr>
            <w:r>
              <w:rPr>
                <w:color w:val="000000"/>
                <w:sz w:val="20"/>
                <w:lang w:val="fr-FR"/>
              </w:rPr>
              <w:t xml:space="preserve">106  </w:t>
            </w:r>
          </w:p>
        </w:tc>
      </w:tr>
      <w:tr w:rsidR="00000000">
        <w:tblPrEx>
          <w:tblCellMar>
            <w:top w:w="0" w:type="dxa"/>
            <w:bottom w:w="0" w:type="dxa"/>
          </w:tblCellMar>
        </w:tblPrEx>
        <w:trPr>
          <w:jc w:val="center"/>
        </w:trPr>
        <w:tc>
          <w:tcPr>
            <w:tcW w:w="2816" w:type="dxa"/>
          </w:tcPr>
          <w:p w:rsidR="00000000" w:rsidRDefault="00000000">
            <w:pPr>
              <w:spacing w:before="60" w:after="60"/>
              <w:rPr>
                <w:color w:val="000000"/>
                <w:sz w:val="20"/>
                <w:lang w:val="fr-FR"/>
              </w:rPr>
            </w:pPr>
            <w:r>
              <w:rPr>
                <w:color w:val="000000"/>
                <w:sz w:val="20"/>
                <w:lang w:val="fr-FR"/>
              </w:rPr>
              <w:t xml:space="preserve">Thon et poisson </w:t>
            </w:r>
          </w:p>
        </w:tc>
        <w:tc>
          <w:tcPr>
            <w:tcW w:w="1126" w:type="dxa"/>
          </w:tcPr>
          <w:p w:rsidR="00000000" w:rsidRDefault="00000000">
            <w:pPr>
              <w:spacing w:before="60" w:after="60"/>
              <w:ind w:right="213"/>
              <w:jc w:val="right"/>
              <w:rPr>
                <w:color w:val="000000"/>
                <w:sz w:val="20"/>
                <w:lang w:val="fr-FR"/>
              </w:rPr>
            </w:pPr>
            <w:r>
              <w:rPr>
                <w:color w:val="000000"/>
                <w:sz w:val="20"/>
                <w:lang w:val="fr-FR"/>
              </w:rPr>
              <w:t xml:space="preserve">89 </w:t>
            </w:r>
          </w:p>
        </w:tc>
        <w:tc>
          <w:tcPr>
            <w:tcW w:w="1126" w:type="dxa"/>
          </w:tcPr>
          <w:p w:rsidR="00000000" w:rsidRDefault="00000000">
            <w:pPr>
              <w:spacing w:before="60" w:after="60"/>
              <w:ind w:right="213"/>
              <w:jc w:val="right"/>
              <w:rPr>
                <w:color w:val="000000"/>
                <w:sz w:val="20"/>
                <w:lang w:val="fr-FR"/>
              </w:rPr>
            </w:pPr>
            <w:r>
              <w:rPr>
                <w:color w:val="000000"/>
                <w:sz w:val="20"/>
                <w:lang w:val="fr-FR"/>
              </w:rPr>
              <w:t xml:space="preserve">85 </w:t>
            </w:r>
          </w:p>
        </w:tc>
        <w:tc>
          <w:tcPr>
            <w:tcW w:w="1126" w:type="dxa"/>
          </w:tcPr>
          <w:p w:rsidR="00000000" w:rsidRDefault="00000000">
            <w:pPr>
              <w:spacing w:before="60" w:after="60"/>
              <w:ind w:right="174"/>
              <w:jc w:val="right"/>
              <w:rPr>
                <w:color w:val="000000"/>
                <w:sz w:val="20"/>
                <w:lang w:val="fr-FR"/>
              </w:rPr>
            </w:pPr>
            <w:r>
              <w:rPr>
                <w:color w:val="000000"/>
                <w:sz w:val="20"/>
                <w:lang w:val="fr-FR"/>
              </w:rPr>
              <w:t xml:space="preserve">99 </w:t>
            </w:r>
          </w:p>
        </w:tc>
        <w:tc>
          <w:tcPr>
            <w:tcW w:w="1126" w:type="dxa"/>
          </w:tcPr>
          <w:p w:rsidR="00000000" w:rsidRDefault="00000000">
            <w:pPr>
              <w:spacing w:before="60" w:after="60"/>
              <w:ind w:right="174"/>
              <w:jc w:val="right"/>
              <w:rPr>
                <w:color w:val="000000"/>
                <w:sz w:val="20"/>
                <w:lang w:val="fr-FR"/>
              </w:rPr>
            </w:pPr>
            <w:r>
              <w:rPr>
                <w:color w:val="000000"/>
                <w:sz w:val="20"/>
                <w:lang w:val="fr-FR"/>
              </w:rPr>
              <w:t xml:space="preserve">83 </w:t>
            </w:r>
          </w:p>
        </w:tc>
        <w:tc>
          <w:tcPr>
            <w:tcW w:w="1126" w:type="dxa"/>
          </w:tcPr>
          <w:p w:rsidR="00000000" w:rsidRDefault="00000000">
            <w:pPr>
              <w:spacing w:before="60" w:after="60"/>
              <w:ind w:right="174"/>
              <w:jc w:val="right"/>
              <w:rPr>
                <w:color w:val="000000"/>
                <w:sz w:val="20"/>
                <w:lang w:val="fr-FR"/>
              </w:rPr>
            </w:pPr>
            <w:r>
              <w:rPr>
                <w:color w:val="000000"/>
                <w:sz w:val="20"/>
                <w:lang w:val="fr-FR"/>
              </w:rPr>
              <w:t xml:space="preserve">69  </w:t>
            </w:r>
          </w:p>
        </w:tc>
      </w:tr>
      <w:tr w:rsidR="00000000">
        <w:tblPrEx>
          <w:tblCellMar>
            <w:top w:w="0" w:type="dxa"/>
            <w:bottom w:w="0" w:type="dxa"/>
          </w:tblCellMar>
        </w:tblPrEx>
        <w:trPr>
          <w:jc w:val="center"/>
        </w:trPr>
        <w:tc>
          <w:tcPr>
            <w:tcW w:w="2816" w:type="dxa"/>
          </w:tcPr>
          <w:p w:rsidR="00000000" w:rsidRDefault="00000000">
            <w:pPr>
              <w:spacing w:before="60" w:after="60"/>
              <w:rPr>
                <w:color w:val="000000"/>
                <w:sz w:val="20"/>
                <w:lang w:val="fr-FR"/>
              </w:rPr>
            </w:pPr>
            <w:r>
              <w:rPr>
                <w:color w:val="000000"/>
                <w:sz w:val="20"/>
                <w:lang w:val="fr-FR"/>
              </w:rPr>
              <w:t xml:space="preserve">Crevettes </w:t>
            </w:r>
          </w:p>
        </w:tc>
        <w:tc>
          <w:tcPr>
            <w:tcW w:w="1126" w:type="dxa"/>
          </w:tcPr>
          <w:p w:rsidR="00000000" w:rsidRDefault="00000000">
            <w:pPr>
              <w:spacing w:before="60" w:after="60"/>
              <w:ind w:right="213"/>
              <w:jc w:val="right"/>
              <w:rPr>
                <w:color w:val="000000"/>
                <w:sz w:val="20"/>
                <w:lang w:val="fr-FR"/>
              </w:rPr>
            </w:pPr>
            <w:r>
              <w:rPr>
                <w:color w:val="000000"/>
                <w:sz w:val="20"/>
                <w:lang w:val="fr-FR"/>
              </w:rPr>
              <w:t xml:space="preserve">673 </w:t>
            </w:r>
          </w:p>
        </w:tc>
        <w:tc>
          <w:tcPr>
            <w:tcW w:w="1126" w:type="dxa"/>
          </w:tcPr>
          <w:p w:rsidR="00000000" w:rsidRDefault="00000000">
            <w:pPr>
              <w:spacing w:before="60" w:after="60"/>
              <w:ind w:right="213"/>
              <w:jc w:val="right"/>
              <w:rPr>
                <w:color w:val="000000"/>
                <w:sz w:val="20"/>
                <w:lang w:val="fr-FR"/>
              </w:rPr>
            </w:pPr>
            <w:r>
              <w:rPr>
                <w:color w:val="000000"/>
                <w:sz w:val="20"/>
                <w:lang w:val="fr-FR"/>
              </w:rPr>
              <w:t xml:space="preserve">631 </w:t>
            </w:r>
          </w:p>
        </w:tc>
        <w:tc>
          <w:tcPr>
            <w:tcW w:w="1126" w:type="dxa"/>
          </w:tcPr>
          <w:p w:rsidR="00000000" w:rsidRDefault="00000000">
            <w:pPr>
              <w:spacing w:before="60" w:after="60"/>
              <w:ind w:right="174"/>
              <w:jc w:val="right"/>
              <w:rPr>
                <w:color w:val="000000"/>
                <w:sz w:val="20"/>
                <w:lang w:val="fr-FR"/>
              </w:rPr>
            </w:pPr>
            <w:r>
              <w:rPr>
                <w:color w:val="000000"/>
                <w:sz w:val="20"/>
                <w:lang w:val="fr-FR"/>
              </w:rPr>
              <w:t xml:space="preserve">886 </w:t>
            </w:r>
          </w:p>
        </w:tc>
        <w:tc>
          <w:tcPr>
            <w:tcW w:w="1126" w:type="dxa"/>
          </w:tcPr>
          <w:p w:rsidR="00000000" w:rsidRDefault="00000000">
            <w:pPr>
              <w:spacing w:before="60" w:after="60"/>
              <w:ind w:right="174"/>
              <w:jc w:val="right"/>
              <w:rPr>
                <w:color w:val="000000"/>
                <w:sz w:val="20"/>
                <w:lang w:val="fr-FR"/>
              </w:rPr>
            </w:pPr>
            <w:r>
              <w:rPr>
                <w:color w:val="000000"/>
                <w:sz w:val="20"/>
                <w:lang w:val="fr-FR"/>
              </w:rPr>
              <w:t xml:space="preserve">872 </w:t>
            </w:r>
          </w:p>
        </w:tc>
        <w:tc>
          <w:tcPr>
            <w:tcW w:w="1126" w:type="dxa"/>
          </w:tcPr>
          <w:p w:rsidR="00000000" w:rsidRDefault="00000000">
            <w:pPr>
              <w:spacing w:before="60" w:after="60"/>
              <w:ind w:right="174"/>
              <w:jc w:val="right"/>
              <w:rPr>
                <w:color w:val="000000"/>
                <w:sz w:val="20"/>
                <w:lang w:val="fr-FR"/>
              </w:rPr>
            </w:pPr>
            <w:r>
              <w:rPr>
                <w:color w:val="000000"/>
                <w:sz w:val="20"/>
                <w:lang w:val="fr-FR"/>
              </w:rPr>
              <w:t xml:space="preserve">607  </w:t>
            </w:r>
          </w:p>
        </w:tc>
      </w:tr>
      <w:tr w:rsidR="00000000">
        <w:tblPrEx>
          <w:tblCellMar>
            <w:top w:w="0" w:type="dxa"/>
            <w:bottom w:w="0" w:type="dxa"/>
          </w:tblCellMar>
        </w:tblPrEx>
        <w:trPr>
          <w:jc w:val="center"/>
        </w:trPr>
        <w:tc>
          <w:tcPr>
            <w:tcW w:w="2816" w:type="dxa"/>
            <w:tcBorders>
              <w:bottom w:val="single" w:sz="4" w:space="0" w:color="auto"/>
            </w:tcBorders>
          </w:tcPr>
          <w:p w:rsidR="00000000" w:rsidRDefault="00000000">
            <w:pPr>
              <w:tabs>
                <w:tab w:val="left" w:pos="196"/>
              </w:tabs>
              <w:spacing w:before="60" w:after="60"/>
              <w:rPr>
                <w:color w:val="000000"/>
                <w:sz w:val="20"/>
                <w:lang w:val="fr-FR"/>
              </w:rPr>
            </w:pPr>
            <w:r>
              <w:rPr>
                <w:color w:val="000000"/>
                <w:sz w:val="20"/>
                <w:lang w:val="fr-FR"/>
              </w:rPr>
              <w:tab/>
              <w:t xml:space="preserve">Total </w:t>
            </w:r>
          </w:p>
        </w:tc>
        <w:tc>
          <w:tcPr>
            <w:tcW w:w="1126" w:type="dxa"/>
            <w:tcBorders>
              <w:bottom w:val="single" w:sz="4" w:space="0" w:color="auto"/>
            </w:tcBorders>
          </w:tcPr>
          <w:p w:rsidR="00000000" w:rsidRDefault="00000000">
            <w:pPr>
              <w:spacing w:before="60" w:after="60"/>
              <w:ind w:right="213"/>
              <w:jc w:val="right"/>
              <w:rPr>
                <w:color w:val="000000"/>
                <w:sz w:val="20"/>
                <w:lang w:val="fr-FR"/>
              </w:rPr>
            </w:pPr>
            <w:r>
              <w:rPr>
                <w:color w:val="000000"/>
                <w:sz w:val="20"/>
                <w:lang w:val="fr-FR"/>
              </w:rPr>
              <w:t xml:space="preserve">1 996 </w:t>
            </w:r>
          </w:p>
        </w:tc>
        <w:tc>
          <w:tcPr>
            <w:tcW w:w="1126" w:type="dxa"/>
            <w:tcBorders>
              <w:bottom w:val="single" w:sz="4" w:space="0" w:color="auto"/>
            </w:tcBorders>
          </w:tcPr>
          <w:p w:rsidR="00000000" w:rsidRDefault="00000000">
            <w:pPr>
              <w:spacing w:before="60" w:after="60"/>
              <w:ind w:right="213"/>
              <w:jc w:val="right"/>
              <w:rPr>
                <w:color w:val="000000"/>
                <w:sz w:val="20"/>
                <w:lang w:val="fr-FR"/>
              </w:rPr>
            </w:pPr>
            <w:r>
              <w:rPr>
                <w:color w:val="000000"/>
                <w:sz w:val="20"/>
                <w:lang w:val="fr-FR"/>
              </w:rPr>
              <w:t xml:space="preserve">2 013 </w:t>
            </w:r>
          </w:p>
        </w:tc>
        <w:tc>
          <w:tcPr>
            <w:tcW w:w="1126" w:type="dxa"/>
            <w:tcBorders>
              <w:bottom w:val="single" w:sz="4" w:space="0" w:color="auto"/>
            </w:tcBorders>
          </w:tcPr>
          <w:p w:rsidR="00000000" w:rsidRDefault="00000000">
            <w:pPr>
              <w:spacing w:before="60" w:after="60"/>
              <w:ind w:right="174"/>
              <w:jc w:val="right"/>
              <w:rPr>
                <w:color w:val="000000"/>
                <w:sz w:val="20"/>
                <w:lang w:val="fr-FR"/>
              </w:rPr>
            </w:pPr>
            <w:r>
              <w:rPr>
                <w:color w:val="000000"/>
                <w:sz w:val="20"/>
                <w:lang w:val="fr-FR"/>
              </w:rPr>
              <w:t xml:space="preserve">2 565 </w:t>
            </w:r>
          </w:p>
        </w:tc>
        <w:tc>
          <w:tcPr>
            <w:tcW w:w="1126" w:type="dxa"/>
            <w:tcBorders>
              <w:bottom w:val="single" w:sz="4" w:space="0" w:color="auto"/>
            </w:tcBorders>
          </w:tcPr>
          <w:p w:rsidR="00000000" w:rsidRDefault="00000000">
            <w:pPr>
              <w:spacing w:before="60" w:after="60"/>
              <w:ind w:right="174"/>
              <w:jc w:val="right"/>
              <w:rPr>
                <w:color w:val="000000"/>
                <w:sz w:val="20"/>
                <w:lang w:val="fr-FR"/>
              </w:rPr>
            </w:pPr>
            <w:r>
              <w:rPr>
                <w:color w:val="000000"/>
                <w:sz w:val="20"/>
                <w:lang w:val="fr-FR"/>
              </w:rPr>
              <w:t xml:space="preserve">2 177 </w:t>
            </w:r>
          </w:p>
        </w:tc>
        <w:tc>
          <w:tcPr>
            <w:tcW w:w="1126" w:type="dxa"/>
            <w:tcBorders>
              <w:bottom w:val="single" w:sz="4" w:space="0" w:color="auto"/>
            </w:tcBorders>
          </w:tcPr>
          <w:p w:rsidR="00000000" w:rsidRDefault="00000000">
            <w:pPr>
              <w:spacing w:before="60" w:after="60"/>
              <w:ind w:right="174"/>
              <w:jc w:val="right"/>
              <w:rPr>
                <w:color w:val="000000"/>
                <w:sz w:val="20"/>
                <w:lang w:val="fr-FR"/>
              </w:rPr>
            </w:pPr>
            <w:r>
              <w:rPr>
                <w:color w:val="000000"/>
                <w:sz w:val="20"/>
                <w:lang w:val="fr-FR"/>
              </w:rPr>
              <w:t xml:space="preserve">1 815 </w:t>
            </w:r>
          </w:p>
        </w:tc>
      </w:tr>
    </w:tbl>
    <w:p w:rsidR="00000000" w:rsidRDefault="00000000">
      <w:pPr>
        <w:spacing w:before="80" w:after="240"/>
        <w:ind w:left="567"/>
        <w:rPr>
          <w:color w:val="000000"/>
          <w:sz w:val="20"/>
          <w:lang w:val="fr-FR"/>
        </w:rPr>
      </w:pPr>
      <w:r>
        <w:rPr>
          <w:i/>
          <w:iCs/>
          <w:color w:val="000000"/>
          <w:sz w:val="20"/>
          <w:lang w:val="fr-FR"/>
        </w:rPr>
        <w:t>Source :</w:t>
      </w:r>
      <w:r>
        <w:rPr>
          <w:color w:val="000000"/>
          <w:sz w:val="20"/>
          <w:lang w:val="fr-FR"/>
        </w:rPr>
        <w:t xml:space="preserve">  Bulletin statistique de la Banque centrale.  </w:t>
      </w:r>
    </w:p>
    <w:p w:rsidR="00000000" w:rsidRDefault="00000000">
      <w:pPr>
        <w:spacing w:after="360"/>
        <w:rPr>
          <w:lang w:val="fr-FR"/>
        </w:rPr>
      </w:pPr>
      <w:r>
        <w:rPr>
          <w:lang w:val="fr-FR"/>
        </w:rPr>
        <w:t>64.</w:t>
      </w:r>
      <w:r>
        <w:rPr>
          <w:lang w:val="fr-FR"/>
        </w:rPr>
        <w:tab/>
        <w:t>Le phénomène El Niño a aussi eu des incidences négatives sur les exportations traditionnelles et a entraîné un accroissement des importations de biens de consommation non durables (denrées alimentaires) et de biens d'équipement pour la reconstruction de la région de la Costa.  La Commission économique pour l'Amérique latine et les Caraïbes (CEPALC) a évalué à 2,9 milliards de dollars des États-Unis (soit 14,5 % du PIB) les pertes en infrastructure, en production et en manque à gagner.</w:t>
      </w:r>
    </w:p>
    <w:p w:rsidR="00000000" w:rsidRDefault="00000000">
      <w:pPr>
        <w:jc w:val="center"/>
        <w:rPr>
          <w:b/>
          <w:bCs/>
          <w:color w:val="000000"/>
          <w:sz w:val="20"/>
          <w:lang w:val="fr-FR"/>
        </w:rPr>
      </w:pPr>
      <w:r>
        <w:rPr>
          <w:b/>
          <w:bCs/>
          <w:color w:val="000000"/>
          <w:sz w:val="20"/>
          <w:lang w:val="fr-FR"/>
        </w:rPr>
        <w:t>Importation de biens de consommation</w:t>
      </w:r>
    </w:p>
    <w:p w:rsidR="00000000" w:rsidRDefault="00000000">
      <w:pPr>
        <w:spacing w:after="120"/>
        <w:jc w:val="center"/>
        <w:rPr>
          <w:i/>
          <w:iCs/>
          <w:color w:val="000000"/>
          <w:sz w:val="20"/>
          <w:lang w:val="fr-FR"/>
        </w:rPr>
      </w:pPr>
      <w:r>
        <w:rPr>
          <w:i/>
          <w:iCs/>
          <w:color w:val="000000"/>
          <w:sz w:val="20"/>
          <w:lang w:val="fr-FR"/>
        </w:rPr>
        <w:t>(En millions de dollars f.o.b)</w:t>
      </w:r>
    </w:p>
    <w:tbl>
      <w:tblPr>
        <w:tblW w:w="8505"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888"/>
        <w:gridCol w:w="1323"/>
        <w:gridCol w:w="1323"/>
        <w:gridCol w:w="1324"/>
        <w:gridCol w:w="1323"/>
        <w:gridCol w:w="1324"/>
      </w:tblGrid>
      <w:tr w:rsidR="00000000">
        <w:tblPrEx>
          <w:tblCellMar>
            <w:top w:w="0" w:type="dxa"/>
            <w:bottom w:w="0" w:type="dxa"/>
          </w:tblCellMar>
        </w:tblPrEx>
        <w:trPr>
          <w:jc w:val="center"/>
        </w:trPr>
        <w:tc>
          <w:tcPr>
            <w:tcW w:w="1350" w:type="dxa"/>
            <w:tcBorders>
              <w:top w:val="single" w:sz="4" w:space="0" w:color="auto"/>
              <w:bottom w:val="single" w:sz="4" w:space="0" w:color="auto"/>
            </w:tcBorders>
            <w:vAlign w:val="center"/>
          </w:tcPr>
          <w:p w:rsidR="00000000" w:rsidRDefault="00000000">
            <w:pPr>
              <w:spacing w:before="80" w:after="80"/>
              <w:jc w:val="center"/>
              <w:rPr>
                <w:b/>
                <w:bCs/>
                <w:i/>
                <w:iCs/>
                <w:color w:val="000000"/>
                <w:sz w:val="20"/>
                <w:lang w:val="fr-FR"/>
              </w:rPr>
            </w:pPr>
          </w:p>
        </w:tc>
        <w:tc>
          <w:tcPr>
            <w:tcW w:w="945" w:type="dxa"/>
            <w:tcBorders>
              <w:top w:val="single" w:sz="4" w:space="0" w:color="auto"/>
              <w:bottom w:val="single" w:sz="4" w:space="0" w:color="auto"/>
            </w:tcBorders>
            <w:vAlign w:val="center"/>
          </w:tcPr>
          <w:p w:rsidR="00000000" w:rsidRDefault="00000000">
            <w:pPr>
              <w:spacing w:before="80" w:after="80"/>
              <w:jc w:val="center"/>
              <w:rPr>
                <w:b/>
                <w:bCs/>
                <w:i/>
                <w:iCs/>
                <w:color w:val="000000"/>
                <w:sz w:val="20"/>
                <w:lang w:val="fr-FR"/>
              </w:rPr>
            </w:pPr>
            <w:r>
              <w:rPr>
                <w:b/>
                <w:bCs/>
                <w:i/>
                <w:iCs/>
                <w:color w:val="000000"/>
                <w:sz w:val="20"/>
                <w:lang w:val="fr-FR"/>
              </w:rPr>
              <w:t>1995</w:t>
            </w:r>
          </w:p>
        </w:tc>
        <w:tc>
          <w:tcPr>
            <w:tcW w:w="945" w:type="dxa"/>
            <w:tcBorders>
              <w:top w:val="single" w:sz="4" w:space="0" w:color="auto"/>
              <w:bottom w:val="single" w:sz="4" w:space="0" w:color="auto"/>
            </w:tcBorders>
            <w:vAlign w:val="center"/>
          </w:tcPr>
          <w:p w:rsidR="00000000" w:rsidRDefault="00000000">
            <w:pPr>
              <w:spacing w:before="80" w:after="80"/>
              <w:jc w:val="center"/>
              <w:rPr>
                <w:b/>
                <w:bCs/>
                <w:i/>
                <w:iCs/>
                <w:color w:val="000000"/>
                <w:sz w:val="20"/>
                <w:lang w:val="fr-FR"/>
              </w:rPr>
            </w:pPr>
            <w:r>
              <w:rPr>
                <w:b/>
                <w:bCs/>
                <w:i/>
                <w:iCs/>
                <w:color w:val="000000"/>
                <w:sz w:val="20"/>
                <w:lang w:val="fr-FR"/>
              </w:rPr>
              <w:t>1996</w:t>
            </w:r>
          </w:p>
        </w:tc>
        <w:tc>
          <w:tcPr>
            <w:tcW w:w="946" w:type="dxa"/>
            <w:tcBorders>
              <w:top w:val="single" w:sz="4" w:space="0" w:color="auto"/>
              <w:bottom w:val="single" w:sz="4" w:space="0" w:color="auto"/>
            </w:tcBorders>
            <w:vAlign w:val="center"/>
          </w:tcPr>
          <w:p w:rsidR="00000000" w:rsidRDefault="00000000">
            <w:pPr>
              <w:spacing w:before="80" w:after="80"/>
              <w:jc w:val="center"/>
              <w:rPr>
                <w:b/>
                <w:bCs/>
                <w:i/>
                <w:iCs/>
                <w:color w:val="000000"/>
                <w:sz w:val="20"/>
                <w:lang w:val="fr-FR"/>
              </w:rPr>
            </w:pPr>
            <w:r>
              <w:rPr>
                <w:b/>
                <w:bCs/>
                <w:i/>
                <w:iCs/>
                <w:color w:val="000000"/>
                <w:sz w:val="20"/>
                <w:lang w:val="fr-FR"/>
              </w:rPr>
              <w:t>1997</w:t>
            </w:r>
          </w:p>
        </w:tc>
        <w:tc>
          <w:tcPr>
            <w:tcW w:w="945" w:type="dxa"/>
            <w:tcBorders>
              <w:top w:val="single" w:sz="4" w:space="0" w:color="auto"/>
              <w:bottom w:val="single" w:sz="4" w:space="0" w:color="auto"/>
            </w:tcBorders>
            <w:vAlign w:val="center"/>
          </w:tcPr>
          <w:p w:rsidR="00000000" w:rsidRDefault="00000000">
            <w:pPr>
              <w:spacing w:before="80" w:after="80"/>
              <w:jc w:val="center"/>
              <w:rPr>
                <w:b/>
                <w:bCs/>
                <w:i/>
                <w:iCs/>
                <w:color w:val="000000"/>
                <w:sz w:val="20"/>
                <w:lang w:val="fr-FR"/>
              </w:rPr>
            </w:pPr>
            <w:r>
              <w:rPr>
                <w:b/>
                <w:bCs/>
                <w:i/>
                <w:iCs/>
                <w:color w:val="000000"/>
                <w:sz w:val="20"/>
                <w:lang w:val="fr-FR"/>
              </w:rPr>
              <w:t>1998</w:t>
            </w:r>
          </w:p>
        </w:tc>
        <w:tc>
          <w:tcPr>
            <w:tcW w:w="946" w:type="dxa"/>
            <w:tcBorders>
              <w:top w:val="single" w:sz="4" w:space="0" w:color="auto"/>
              <w:bottom w:val="single" w:sz="4" w:space="0" w:color="auto"/>
            </w:tcBorders>
            <w:vAlign w:val="center"/>
          </w:tcPr>
          <w:p w:rsidR="00000000" w:rsidRDefault="00000000">
            <w:pPr>
              <w:spacing w:before="80" w:after="80"/>
              <w:jc w:val="center"/>
              <w:rPr>
                <w:b/>
                <w:bCs/>
                <w:i/>
                <w:iCs/>
                <w:color w:val="000000"/>
                <w:sz w:val="20"/>
                <w:lang w:val="fr-FR"/>
              </w:rPr>
            </w:pPr>
            <w:r>
              <w:rPr>
                <w:b/>
                <w:bCs/>
                <w:i/>
                <w:iCs/>
                <w:color w:val="000000"/>
                <w:sz w:val="20"/>
                <w:lang w:val="fr-FR"/>
              </w:rPr>
              <w:t>1999</w:t>
            </w:r>
          </w:p>
        </w:tc>
      </w:tr>
      <w:tr w:rsidR="00000000">
        <w:tblPrEx>
          <w:tblCellMar>
            <w:top w:w="0" w:type="dxa"/>
            <w:bottom w:w="0" w:type="dxa"/>
          </w:tblCellMar>
        </w:tblPrEx>
        <w:trPr>
          <w:jc w:val="center"/>
        </w:trPr>
        <w:tc>
          <w:tcPr>
            <w:tcW w:w="1350" w:type="dxa"/>
            <w:tcBorders>
              <w:top w:val="single" w:sz="4" w:space="0" w:color="auto"/>
            </w:tcBorders>
          </w:tcPr>
          <w:p w:rsidR="00000000" w:rsidRDefault="00000000">
            <w:pPr>
              <w:spacing w:before="80" w:after="80"/>
              <w:rPr>
                <w:color w:val="000000"/>
                <w:sz w:val="20"/>
                <w:lang w:val="fr-FR"/>
              </w:rPr>
            </w:pPr>
            <w:r>
              <w:rPr>
                <w:color w:val="000000"/>
                <w:sz w:val="20"/>
                <w:lang w:val="fr-FR"/>
              </w:rPr>
              <w:t xml:space="preserve">Bien non durables </w:t>
            </w:r>
          </w:p>
        </w:tc>
        <w:tc>
          <w:tcPr>
            <w:tcW w:w="945" w:type="dxa"/>
            <w:tcBorders>
              <w:top w:val="single" w:sz="4" w:space="0" w:color="auto"/>
            </w:tcBorders>
          </w:tcPr>
          <w:p w:rsidR="00000000" w:rsidRDefault="00000000">
            <w:pPr>
              <w:spacing w:before="80" w:after="80"/>
              <w:ind w:right="355"/>
              <w:jc w:val="right"/>
              <w:rPr>
                <w:color w:val="000000"/>
                <w:sz w:val="20"/>
                <w:lang w:val="fr-FR"/>
              </w:rPr>
            </w:pPr>
            <w:r>
              <w:rPr>
                <w:color w:val="000000"/>
                <w:sz w:val="20"/>
                <w:lang w:val="fr-FR"/>
              </w:rPr>
              <w:t xml:space="preserve">398 </w:t>
            </w:r>
          </w:p>
        </w:tc>
        <w:tc>
          <w:tcPr>
            <w:tcW w:w="945" w:type="dxa"/>
            <w:tcBorders>
              <w:top w:val="single" w:sz="4" w:space="0" w:color="auto"/>
            </w:tcBorders>
          </w:tcPr>
          <w:p w:rsidR="00000000" w:rsidRDefault="00000000">
            <w:pPr>
              <w:spacing w:before="80" w:after="80"/>
              <w:ind w:right="355"/>
              <w:jc w:val="right"/>
              <w:rPr>
                <w:color w:val="000000"/>
                <w:sz w:val="20"/>
                <w:lang w:val="fr-FR"/>
              </w:rPr>
            </w:pPr>
            <w:r>
              <w:rPr>
                <w:color w:val="000000"/>
                <w:sz w:val="20"/>
                <w:lang w:val="fr-FR"/>
              </w:rPr>
              <w:t xml:space="preserve">459 </w:t>
            </w:r>
          </w:p>
        </w:tc>
        <w:tc>
          <w:tcPr>
            <w:tcW w:w="946" w:type="dxa"/>
            <w:tcBorders>
              <w:top w:val="single" w:sz="4" w:space="0" w:color="auto"/>
            </w:tcBorders>
          </w:tcPr>
          <w:p w:rsidR="00000000" w:rsidRDefault="00000000">
            <w:pPr>
              <w:spacing w:before="80" w:after="80"/>
              <w:ind w:right="355"/>
              <w:jc w:val="right"/>
              <w:rPr>
                <w:color w:val="000000"/>
                <w:sz w:val="20"/>
                <w:lang w:val="fr-FR"/>
              </w:rPr>
            </w:pPr>
            <w:r>
              <w:rPr>
                <w:color w:val="000000"/>
                <w:sz w:val="20"/>
                <w:lang w:val="fr-FR"/>
              </w:rPr>
              <w:t xml:space="preserve">563 </w:t>
            </w:r>
          </w:p>
        </w:tc>
        <w:tc>
          <w:tcPr>
            <w:tcW w:w="945" w:type="dxa"/>
            <w:tcBorders>
              <w:top w:val="single" w:sz="4" w:space="0" w:color="auto"/>
            </w:tcBorders>
          </w:tcPr>
          <w:p w:rsidR="00000000" w:rsidRDefault="00000000">
            <w:pPr>
              <w:spacing w:before="80" w:after="80"/>
              <w:ind w:right="355"/>
              <w:jc w:val="right"/>
              <w:rPr>
                <w:color w:val="000000"/>
                <w:sz w:val="20"/>
                <w:lang w:val="fr-FR"/>
              </w:rPr>
            </w:pPr>
            <w:r>
              <w:rPr>
                <w:color w:val="000000"/>
                <w:sz w:val="20"/>
                <w:lang w:val="fr-FR"/>
              </w:rPr>
              <w:t xml:space="preserve">660 </w:t>
            </w:r>
          </w:p>
        </w:tc>
        <w:tc>
          <w:tcPr>
            <w:tcW w:w="946" w:type="dxa"/>
            <w:tcBorders>
              <w:top w:val="single" w:sz="4" w:space="0" w:color="auto"/>
            </w:tcBorders>
          </w:tcPr>
          <w:p w:rsidR="00000000" w:rsidRDefault="00000000">
            <w:pPr>
              <w:tabs>
                <w:tab w:val="decimal" w:pos="755"/>
              </w:tabs>
              <w:spacing w:before="80" w:after="80"/>
              <w:rPr>
                <w:color w:val="000000"/>
                <w:sz w:val="20"/>
                <w:lang w:val="fr-FR"/>
              </w:rPr>
            </w:pPr>
            <w:r>
              <w:rPr>
                <w:color w:val="000000"/>
                <w:sz w:val="20"/>
                <w:lang w:val="fr-FR"/>
              </w:rPr>
              <w:t xml:space="preserve">412  </w:t>
            </w:r>
          </w:p>
        </w:tc>
      </w:tr>
      <w:tr w:rsidR="00000000">
        <w:tblPrEx>
          <w:tblCellMar>
            <w:top w:w="0" w:type="dxa"/>
            <w:bottom w:w="0" w:type="dxa"/>
          </w:tblCellMar>
        </w:tblPrEx>
        <w:trPr>
          <w:jc w:val="center"/>
        </w:trPr>
        <w:tc>
          <w:tcPr>
            <w:tcW w:w="1350" w:type="dxa"/>
          </w:tcPr>
          <w:p w:rsidR="00000000" w:rsidRDefault="00000000">
            <w:pPr>
              <w:spacing w:before="80" w:after="80"/>
              <w:rPr>
                <w:color w:val="000000"/>
                <w:sz w:val="20"/>
                <w:lang w:val="fr-FR"/>
              </w:rPr>
            </w:pPr>
            <w:r>
              <w:rPr>
                <w:color w:val="000000"/>
                <w:sz w:val="20"/>
                <w:lang w:val="fr-FR"/>
              </w:rPr>
              <w:t xml:space="preserve">Biens durables </w:t>
            </w:r>
          </w:p>
        </w:tc>
        <w:tc>
          <w:tcPr>
            <w:tcW w:w="945" w:type="dxa"/>
          </w:tcPr>
          <w:p w:rsidR="00000000" w:rsidRDefault="00000000">
            <w:pPr>
              <w:spacing w:before="80" w:after="80"/>
              <w:ind w:right="355"/>
              <w:jc w:val="right"/>
              <w:rPr>
                <w:color w:val="000000"/>
                <w:sz w:val="20"/>
                <w:lang w:val="fr-FR"/>
              </w:rPr>
            </w:pPr>
            <w:r>
              <w:rPr>
                <w:color w:val="000000"/>
                <w:sz w:val="20"/>
                <w:lang w:val="fr-FR"/>
              </w:rPr>
              <w:t xml:space="preserve">340 </w:t>
            </w:r>
          </w:p>
        </w:tc>
        <w:tc>
          <w:tcPr>
            <w:tcW w:w="945" w:type="dxa"/>
          </w:tcPr>
          <w:p w:rsidR="00000000" w:rsidRDefault="00000000">
            <w:pPr>
              <w:spacing w:before="80" w:after="80"/>
              <w:ind w:right="355"/>
              <w:jc w:val="right"/>
              <w:rPr>
                <w:color w:val="000000"/>
                <w:sz w:val="20"/>
                <w:lang w:val="fr-FR"/>
              </w:rPr>
            </w:pPr>
            <w:r>
              <w:rPr>
                <w:color w:val="000000"/>
                <w:sz w:val="20"/>
                <w:lang w:val="fr-FR"/>
              </w:rPr>
              <w:t xml:space="preserve">319 </w:t>
            </w:r>
          </w:p>
        </w:tc>
        <w:tc>
          <w:tcPr>
            <w:tcW w:w="946" w:type="dxa"/>
          </w:tcPr>
          <w:p w:rsidR="00000000" w:rsidRDefault="00000000">
            <w:pPr>
              <w:spacing w:before="80" w:after="80"/>
              <w:ind w:right="355"/>
              <w:jc w:val="right"/>
              <w:rPr>
                <w:color w:val="000000"/>
                <w:sz w:val="20"/>
                <w:lang w:val="fr-FR"/>
              </w:rPr>
            </w:pPr>
            <w:r>
              <w:rPr>
                <w:color w:val="000000"/>
                <w:sz w:val="20"/>
                <w:lang w:val="fr-FR"/>
              </w:rPr>
              <w:t xml:space="preserve">385 </w:t>
            </w:r>
          </w:p>
        </w:tc>
        <w:tc>
          <w:tcPr>
            <w:tcW w:w="945" w:type="dxa"/>
          </w:tcPr>
          <w:p w:rsidR="00000000" w:rsidRDefault="00000000">
            <w:pPr>
              <w:spacing w:before="80" w:after="80"/>
              <w:ind w:right="355"/>
              <w:jc w:val="right"/>
              <w:rPr>
                <w:color w:val="000000"/>
                <w:sz w:val="20"/>
                <w:lang w:val="fr-FR"/>
              </w:rPr>
            </w:pPr>
            <w:r>
              <w:rPr>
                <w:color w:val="000000"/>
                <w:sz w:val="20"/>
                <w:lang w:val="fr-FR"/>
              </w:rPr>
              <w:t xml:space="preserve">420 </w:t>
            </w:r>
          </w:p>
        </w:tc>
        <w:tc>
          <w:tcPr>
            <w:tcW w:w="946" w:type="dxa"/>
          </w:tcPr>
          <w:p w:rsidR="00000000" w:rsidRDefault="00000000">
            <w:pPr>
              <w:tabs>
                <w:tab w:val="decimal" w:pos="755"/>
              </w:tabs>
              <w:spacing w:before="80" w:after="80"/>
              <w:rPr>
                <w:color w:val="000000"/>
                <w:sz w:val="20"/>
                <w:lang w:val="fr-FR"/>
              </w:rPr>
            </w:pPr>
            <w:r>
              <w:rPr>
                <w:color w:val="000000"/>
                <w:sz w:val="20"/>
                <w:lang w:val="fr-FR"/>
              </w:rPr>
              <w:t xml:space="preserve">160,3  </w:t>
            </w:r>
          </w:p>
        </w:tc>
      </w:tr>
      <w:tr w:rsidR="00000000">
        <w:tblPrEx>
          <w:tblCellMar>
            <w:top w:w="0" w:type="dxa"/>
            <w:bottom w:w="0" w:type="dxa"/>
          </w:tblCellMar>
        </w:tblPrEx>
        <w:trPr>
          <w:jc w:val="center"/>
        </w:trPr>
        <w:tc>
          <w:tcPr>
            <w:tcW w:w="1350" w:type="dxa"/>
          </w:tcPr>
          <w:p w:rsidR="00000000" w:rsidRDefault="00000000">
            <w:pPr>
              <w:tabs>
                <w:tab w:val="left" w:pos="196"/>
              </w:tabs>
              <w:spacing w:before="80" w:after="80"/>
              <w:rPr>
                <w:color w:val="000000"/>
                <w:sz w:val="20"/>
                <w:lang w:val="fr-FR"/>
              </w:rPr>
            </w:pPr>
            <w:r>
              <w:rPr>
                <w:color w:val="000000"/>
                <w:sz w:val="20"/>
                <w:lang w:val="fr-FR"/>
              </w:rPr>
              <w:tab/>
              <w:t xml:space="preserve">Total </w:t>
            </w:r>
          </w:p>
        </w:tc>
        <w:tc>
          <w:tcPr>
            <w:tcW w:w="945" w:type="dxa"/>
          </w:tcPr>
          <w:p w:rsidR="00000000" w:rsidRDefault="00000000">
            <w:pPr>
              <w:spacing w:before="80" w:after="80"/>
              <w:ind w:right="355"/>
              <w:jc w:val="right"/>
              <w:rPr>
                <w:color w:val="000000"/>
                <w:sz w:val="20"/>
                <w:lang w:val="fr-FR"/>
              </w:rPr>
            </w:pPr>
            <w:r>
              <w:rPr>
                <w:color w:val="000000"/>
                <w:sz w:val="20"/>
                <w:lang w:val="fr-FR"/>
              </w:rPr>
              <w:t xml:space="preserve">738 </w:t>
            </w:r>
          </w:p>
        </w:tc>
        <w:tc>
          <w:tcPr>
            <w:tcW w:w="945" w:type="dxa"/>
          </w:tcPr>
          <w:p w:rsidR="00000000" w:rsidRDefault="00000000">
            <w:pPr>
              <w:spacing w:before="80" w:after="80"/>
              <w:ind w:right="355"/>
              <w:jc w:val="right"/>
              <w:rPr>
                <w:color w:val="000000"/>
                <w:sz w:val="20"/>
                <w:lang w:val="fr-FR"/>
              </w:rPr>
            </w:pPr>
            <w:r>
              <w:rPr>
                <w:color w:val="000000"/>
                <w:sz w:val="20"/>
                <w:lang w:val="fr-FR"/>
              </w:rPr>
              <w:t xml:space="preserve">779 </w:t>
            </w:r>
          </w:p>
        </w:tc>
        <w:tc>
          <w:tcPr>
            <w:tcW w:w="946" w:type="dxa"/>
          </w:tcPr>
          <w:p w:rsidR="00000000" w:rsidRDefault="00000000">
            <w:pPr>
              <w:spacing w:before="80" w:after="80"/>
              <w:ind w:right="355"/>
              <w:jc w:val="right"/>
              <w:rPr>
                <w:color w:val="000000"/>
                <w:sz w:val="20"/>
                <w:lang w:val="fr-FR"/>
              </w:rPr>
            </w:pPr>
            <w:r>
              <w:rPr>
                <w:color w:val="000000"/>
                <w:sz w:val="20"/>
                <w:lang w:val="fr-FR"/>
              </w:rPr>
              <w:t xml:space="preserve">948 </w:t>
            </w:r>
          </w:p>
        </w:tc>
        <w:tc>
          <w:tcPr>
            <w:tcW w:w="945" w:type="dxa"/>
          </w:tcPr>
          <w:p w:rsidR="00000000" w:rsidRDefault="00000000">
            <w:pPr>
              <w:spacing w:before="80" w:after="80"/>
              <w:ind w:right="355"/>
              <w:jc w:val="right"/>
              <w:rPr>
                <w:color w:val="000000"/>
                <w:sz w:val="20"/>
                <w:lang w:val="fr-FR"/>
              </w:rPr>
            </w:pPr>
            <w:r>
              <w:rPr>
                <w:color w:val="000000"/>
                <w:sz w:val="20"/>
                <w:lang w:val="fr-FR"/>
              </w:rPr>
              <w:t xml:space="preserve">1 080 </w:t>
            </w:r>
          </w:p>
        </w:tc>
        <w:tc>
          <w:tcPr>
            <w:tcW w:w="946" w:type="dxa"/>
          </w:tcPr>
          <w:p w:rsidR="00000000" w:rsidRDefault="00000000">
            <w:pPr>
              <w:tabs>
                <w:tab w:val="decimal" w:pos="755"/>
              </w:tabs>
              <w:spacing w:before="80" w:after="80"/>
              <w:rPr>
                <w:color w:val="000000"/>
                <w:sz w:val="20"/>
                <w:lang w:val="fr-FR"/>
              </w:rPr>
            </w:pPr>
            <w:r>
              <w:rPr>
                <w:color w:val="000000"/>
                <w:sz w:val="20"/>
                <w:lang w:val="fr-FR"/>
              </w:rPr>
              <w:t xml:space="preserve">572  </w:t>
            </w:r>
          </w:p>
        </w:tc>
      </w:tr>
    </w:tbl>
    <w:p w:rsidR="00000000" w:rsidRDefault="00000000">
      <w:pPr>
        <w:tabs>
          <w:tab w:val="left" w:pos="720"/>
        </w:tabs>
        <w:spacing w:before="80" w:after="240"/>
        <w:rPr>
          <w:color w:val="000000"/>
          <w:sz w:val="20"/>
          <w:lang w:val="fr-FR"/>
        </w:rPr>
      </w:pPr>
      <w:r>
        <w:rPr>
          <w:i/>
          <w:iCs/>
          <w:color w:val="000000"/>
          <w:sz w:val="20"/>
          <w:lang w:val="fr-FR"/>
        </w:rPr>
        <w:tab/>
        <w:t xml:space="preserve">Source :  </w:t>
      </w:r>
      <w:r>
        <w:rPr>
          <w:color w:val="000000"/>
          <w:sz w:val="20"/>
          <w:lang w:val="fr-FR"/>
        </w:rPr>
        <w:t xml:space="preserve">Statistiques de la Banque centrale de l'Équateur.  </w:t>
      </w:r>
    </w:p>
    <w:p w:rsidR="00000000" w:rsidRDefault="00000000">
      <w:pPr>
        <w:autoSpaceDE w:val="0"/>
        <w:autoSpaceDN w:val="0"/>
        <w:adjustRightInd w:val="0"/>
        <w:spacing w:after="240"/>
        <w:rPr>
          <w:color w:val="000000"/>
          <w:lang w:val="fr-FR"/>
        </w:rPr>
      </w:pPr>
      <w:r>
        <w:rPr>
          <w:color w:val="000000"/>
          <w:lang w:val="fr-FR"/>
        </w:rPr>
        <w:t>65.</w:t>
      </w:r>
      <w:r>
        <w:rPr>
          <w:color w:val="000000"/>
          <w:lang w:val="fr-FR"/>
        </w:rPr>
        <w:tab/>
        <w:t>Ces difficultés et autres problèmes liés au phénomène El Niño se sont traduits par des pressions sur les prix, les taux de change et les taux d'intérêt.  La reprise des exportations agricoles des dernières années n'a pas donné lieu à une création suffisante d'emplois et n'a pas réussi à inverser cette évolution.  Le niveau du chômage a atteint 14,4 % et celui du sous-emploi 56,9 %.  Les salaires n'ont cessé de baisser en termes réels et la concentration de la richesse s'est accentuée.</w:t>
      </w:r>
    </w:p>
    <w:p w:rsidR="00000000" w:rsidRDefault="00000000">
      <w:pPr>
        <w:autoSpaceDE w:val="0"/>
        <w:autoSpaceDN w:val="0"/>
        <w:adjustRightInd w:val="0"/>
        <w:spacing w:after="240"/>
        <w:rPr>
          <w:color w:val="000000"/>
          <w:lang w:val="fr-FR"/>
        </w:rPr>
      </w:pPr>
      <w:r>
        <w:rPr>
          <w:color w:val="000000"/>
          <w:lang w:val="fr-FR"/>
        </w:rPr>
        <w:t>66.</w:t>
      </w:r>
      <w:r>
        <w:rPr>
          <w:color w:val="000000"/>
          <w:lang w:val="fr-FR"/>
        </w:rPr>
        <w:tab/>
        <w:t xml:space="preserve">Dans ce contexte, la pauvreté a augmenté dans le pays au cours des dernières années; le taux de pauvreté pour la population urbaine était de 69,7 %, dont 30,5 % d'indigents, en 1997, et de 78,5 %, dont 46,2 % d'indigents, en 1999.  C'est parmi les populations autochtone et noire des zones rurales que la situation est à cet égard la plus critique.  </w:t>
      </w:r>
    </w:p>
    <w:p w:rsidR="00000000" w:rsidRDefault="00000000">
      <w:pPr>
        <w:autoSpaceDE w:val="0"/>
        <w:autoSpaceDN w:val="0"/>
        <w:adjustRightInd w:val="0"/>
        <w:spacing w:after="240"/>
        <w:rPr>
          <w:color w:val="000000"/>
          <w:lang w:val="fr-FR"/>
        </w:rPr>
      </w:pPr>
      <w:r>
        <w:rPr>
          <w:color w:val="000000"/>
          <w:lang w:val="fr-FR"/>
        </w:rPr>
        <w:t>67.</w:t>
      </w:r>
      <w:r>
        <w:rPr>
          <w:color w:val="000000"/>
          <w:lang w:val="fr-FR"/>
        </w:rPr>
        <w:tab/>
        <w:t>Dans le secteur des produits non traditionnels, l'évolution a cependant été différente.  Lorsqu’on analyse l'accroissement des exportations non traditionnelles de l'Équateur au cours de la dernière décennie, on pourrait presque parler de miracle économique.  Non seulement ces exportations ont enregistré un bond, passant de 318 millions en 1992 à 1 344 000 000 prévus pour l'année en cours, mais cet accroissement a surtout été important pour les produits incorporant un certain degré de transformation industrielle.  Alors que ces exportations ont augmenté de 228 millions à 941 millions de dollars, les exportations de produits primaires sont passées de 89 à 402 millions de dollars, et c’est en 2002, malgré la dollarisation, que leur accroissement (selon les prévisions) est le plus marqué.  Un autre secteur qui commence à connaître une croissance importante est celui des exportations de fruits frais, qui, d'après les projections, devraient atteindre 33 millions de dollars pour l'année en cours.  Parmi les produits transformés, ceux dont l’expansion a été la plus nette sont les produits de la mer, dont les exportations sont passées de 55 millions à 335 millions de dollars; mais on a également enregistré un accroissement important dans le cas des produits chimiques et pharmaceutiques, des articles en cuir, en plastique et en caoutchouc, ainsi que pour un ensemble d'autres produits, dont la valeur des ventes à l'étranger dépassera cette année 170 millions de dollars.  Il semble que la dollarisation ait profondément affecté les exportations d'articles en métal, de véhicules et de produits du secteur textile, qu'il s'agisse des vêtements ou d’autres articles.  Il convient d'appeler l'attention sur la diminution des exportations de jus et conserves de fruits, parallèlement à l'augmentation des exportations de fruits frais.</w:t>
      </w:r>
    </w:p>
    <w:p w:rsidR="00000000" w:rsidRDefault="00000000">
      <w:pPr>
        <w:autoSpaceDE w:val="0"/>
        <w:autoSpaceDN w:val="0"/>
        <w:adjustRightInd w:val="0"/>
        <w:spacing w:after="240"/>
        <w:rPr>
          <w:i/>
          <w:iCs/>
          <w:color w:val="000000"/>
          <w:lang w:val="fr-FR"/>
        </w:rPr>
      </w:pPr>
      <w:r>
        <w:rPr>
          <w:i/>
          <w:iCs/>
          <w:color w:val="000000"/>
          <w:lang w:val="fr-FR"/>
        </w:rPr>
        <w:t>Incapacité</w:t>
      </w:r>
    </w:p>
    <w:p w:rsidR="00000000" w:rsidRDefault="00000000">
      <w:pPr>
        <w:autoSpaceDE w:val="0"/>
        <w:autoSpaceDN w:val="0"/>
        <w:adjustRightInd w:val="0"/>
        <w:spacing w:after="240"/>
        <w:rPr>
          <w:color w:val="000000"/>
          <w:lang w:val="fr-FR"/>
        </w:rPr>
      </w:pPr>
      <w:r>
        <w:rPr>
          <w:color w:val="000000"/>
          <w:lang w:val="fr-FR"/>
        </w:rPr>
        <w:t>68.</w:t>
      </w:r>
      <w:r>
        <w:rPr>
          <w:color w:val="000000"/>
          <w:lang w:val="fr-FR"/>
        </w:rPr>
        <w:tab/>
        <w:t>La population générale des personnes handicapées représente, d'après l'enquête du Conseil national des handicapés (CONADIS) pour 1996, 13,2 % de la population totale, soit environ 1 600 000 personnes</w:t>
      </w:r>
      <w:r>
        <w:rPr>
          <w:rStyle w:val="FootnoteReference"/>
          <w:b/>
          <w:color w:val="000000"/>
          <w:lang w:val="fr-FR"/>
        </w:rPr>
        <w:footnoteReference w:id="15"/>
      </w:r>
      <w:r>
        <w:rPr>
          <w:color w:val="000000"/>
          <w:lang w:val="fr-FR"/>
        </w:rPr>
        <w:t>.</w:t>
      </w:r>
    </w:p>
    <w:p w:rsidR="00000000" w:rsidRDefault="00000000">
      <w:pPr>
        <w:autoSpaceDE w:val="0"/>
        <w:autoSpaceDN w:val="0"/>
        <w:adjustRightInd w:val="0"/>
        <w:spacing w:after="240"/>
        <w:rPr>
          <w:color w:val="000000"/>
          <w:lang w:val="fr-FR"/>
        </w:rPr>
      </w:pPr>
      <w:r>
        <w:rPr>
          <w:color w:val="000000"/>
          <w:lang w:val="fr-FR"/>
        </w:rPr>
        <w:t>69.</w:t>
      </w:r>
      <w:r>
        <w:rPr>
          <w:color w:val="000000"/>
          <w:lang w:val="fr-FR"/>
        </w:rPr>
        <w:tab/>
        <w:t>Le Plan d'action national en faveur des handicapés, cadre théorique et diagnostique servant de base à la planification des mesures en faveur des personnes handicapées dans le pays, consiste en programmes, projets et activités, qu'il appartient au secteur public comme au secteur privé de mettre en oeuvre.  Pour s'acquitter de sa mission, le CONADIS élabore des plans opérationnels annuels dont le financement est principalement assuré par le budget général de l'État.</w:t>
      </w:r>
    </w:p>
    <w:p w:rsidR="00000000" w:rsidRDefault="00000000">
      <w:pPr>
        <w:keepNext/>
        <w:autoSpaceDE w:val="0"/>
        <w:autoSpaceDN w:val="0"/>
        <w:adjustRightInd w:val="0"/>
        <w:jc w:val="center"/>
        <w:rPr>
          <w:b/>
          <w:bCs/>
          <w:color w:val="000000"/>
          <w:sz w:val="20"/>
          <w:lang w:val="fr-FR"/>
        </w:rPr>
      </w:pPr>
      <w:r>
        <w:rPr>
          <w:b/>
          <w:bCs/>
          <w:color w:val="000000"/>
          <w:sz w:val="20"/>
          <w:lang w:val="fr-FR"/>
        </w:rPr>
        <w:t xml:space="preserve">Plan opérationnel annuel </w:t>
      </w:r>
    </w:p>
    <w:p w:rsidR="00000000" w:rsidRDefault="00000000">
      <w:pPr>
        <w:keepNext/>
        <w:autoSpaceDE w:val="0"/>
        <w:autoSpaceDN w:val="0"/>
        <w:adjustRightInd w:val="0"/>
        <w:spacing w:after="120"/>
        <w:jc w:val="center"/>
        <w:rPr>
          <w:i/>
          <w:iCs/>
          <w:color w:val="000000"/>
          <w:sz w:val="20"/>
          <w:lang w:val="fr-FR"/>
        </w:rPr>
      </w:pPr>
      <w:r>
        <w:rPr>
          <w:i/>
          <w:iCs/>
          <w:color w:val="000000"/>
          <w:sz w:val="20"/>
          <w:lang w:val="fr-FR"/>
        </w:rPr>
        <w:t xml:space="preserve">(En sucres)  </w:t>
      </w:r>
    </w:p>
    <w:tbl>
      <w:tblPr>
        <w:tblW w:w="5670" w:type="dxa"/>
        <w:jc w:val="center"/>
        <w:tblBorders>
          <w:top w:val="single" w:sz="4" w:space="0" w:color="auto"/>
        </w:tblBorders>
        <w:tblLayout w:type="fixed"/>
        <w:tblCellMar>
          <w:left w:w="70" w:type="dxa"/>
          <w:right w:w="70" w:type="dxa"/>
        </w:tblCellMar>
        <w:tblLook w:val="0000" w:firstRow="0" w:lastRow="0" w:firstColumn="0" w:lastColumn="0" w:noHBand="0" w:noVBand="0"/>
      </w:tblPr>
      <w:tblGrid>
        <w:gridCol w:w="2835"/>
        <w:gridCol w:w="2835"/>
      </w:tblGrid>
      <w:tr w:rsidR="00000000">
        <w:tblPrEx>
          <w:tblCellMar>
            <w:top w:w="0" w:type="dxa"/>
            <w:bottom w:w="0" w:type="dxa"/>
          </w:tblCellMar>
        </w:tblPrEx>
        <w:trPr>
          <w:jc w:val="center"/>
        </w:trPr>
        <w:tc>
          <w:tcPr>
            <w:tcW w:w="3402" w:type="dxa"/>
            <w:tcBorders>
              <w:bottom w:val="nil"/>
            </w:tcBorders>
          </w:tcPr>
          <w:p w:rsidR="00000000" w:rsidRDefault="00000000">
            <w:pPr>
              <w:keepNext/>
              <w:autoSpaceDE w:val="0"/>
              <w:autoSpaceDN w:val="0"/>
              <w:adjustRightInd w:val="0"/>
              <w:spacing w:before="80" w:after="80"/>
              <w:ind w:left="170"/>
              <w:rPr>
                <w:color w:val="000000"/>
                <w:sz w:val="20"/>
                <w:lang w:val="fr-FR"/>
              </w:rPr>
            </w:pPr>
            <w:r>
              <w:rPr>
                <w:color w:val="000000"/>
                <w:sz w:val="20"/>
                <w:lang w:val="fr-FR"/>
              </w:rPr>
              <w:t>1995</w:t>
            </w:r>
          </w:p>
        </w:tc>
        <w:tc>
          <w:tcPr>
            <w:tcW w:w="3402" w:type="dxa"/>
            <w:tcBorders>
              <w:bottom w:val="nil"/>
            </w:tcBorders>
          </w:tcPr>
          <w:p w:rsidR="00000000" w:rsidRDefault="00000000">
            <w:pPr>
              <w:keepNext/>
              <w:autoSpaceDE w:val="0"/>
              <w:autoSpaceDN w:val="0"/>
              <w:adjustRightInd w:val="0"/>
              <w:spacing w:before="80" w:after="80"/>
              <w:ind w:right="170"/>
              <w:jc w:val="right"/>
              <w:rPr>
                <w:color w:val="000000"/>
                <w:sz w:val="20"/>
                <w:lang w:val="fr-FR"/>
              </w:rPr>
            </w:pPr>
            <w:r>
              <w:rPr>
                <w:color w:val="000000"/>
                <w:sz w:val="20"/>
                <w:lang w:val="fr-FR"/>
              </w:rPr>
              <w:t xml:space="preserve">1 546 422 350  </w:t>
            </w:r>
          </w:p>
        </w:tc>
      </w:tr>
      <w:tr w:rsidR="00000000">
        <w:tblPrEx>
          <w:tblCellMar>
            <w:top w:w="0" w:type="dxa"/>
            <w:bottom w:w="0" w:type="dxa"/>
          </w:tblCellMar>
        </w:tblPrEx>
        <w:trPr>
          <w:jc w:val="center"/>
        </w:trPr>
        <w:tc>
          <w:tcPr>
            <w:tcW w:w="3402" w:type="dxa"/>
            <w:tcBorders>
              <w:top w:val="nil"/>
              <w:bottom w:val="single" w:sz="4" w:space="0" w:color="auto"/>
            </w:tcBorders>
          </w:tcPr>
          <w:p w:rsidR="00000000" w:rsidRDefault="00000000">
            <w:pPr>
              <w:keepNext/>
              <w:autoSpaceDE w:val="0"/>
              <w:autoSpaceDN w:val="0"/>
              <w:adjustRightInd w:val="0"/>
              <w:spacing w:before="80" w:after="80"/>
              <w:ind w:left="170"/>
              <w:rPr>
                <w:color w:val="000000"/>
                <w:sz w:val="20"/>
                <w:lang w:val="fr-FR"/>
              </w:rPr>
            </w:pPr>
            <w:r>
              <w:rPr>
                <w:color w:val="000000"/>
                <w:sz w:val="20"/>
                <w:lang w:val="fr-FR"/>
              </w:rPr>
              <w:t>1998</w:t>
            </w:r>
          </w:p>
        </w:tc>
        <w:tc>
          <w:tcPr>
            <w:tcW w:w="3402" w:type="dxa"/>
            <w:tcBorders>
              <w:top w:val="nil"/>
              <w:bottom w:val="single" w:sz="4" w:space="0" w:color="auto"/>
            </w:tcBorders>
          </w:tcPr>
          <w:p w:rsidR="00000000" w:rsidRDefault="00000000">
            <w:pPr>
              <w:keepNext/>
              <w:autoSpaceDE w:val="0"/>
              <w:autoSpaceDN w:val="0"/>
              <w:adjustRightInd w:val="0"/>
              <w:spacing w:before="80" w:after="80"/>
              <w:ind w:right="170"/>
              <w:jc w:val="right"/>
              <w:rPr>
                <w:color w:val="000000"/>
                <w:sz w:val="20"/>
                <w:lang w:val="fr-FR"/>
              </w:rPr>
            </w:pPr>
            <w:r>
              <w:rPr>
                <w:color w:val="000000"/>
                <w:sz w:val="20"/>
                <w:lang w:val="fr-FR"/>
              </w:rPr>
              <w:t xml:space="preserve">3 643 811 000  </w:t>
            </w:r>
          </w:p>
        </w:tc>
      </w:tr>
    </w:tbl>
    <w:p w:rsidR="00000000" w:rsidRDefault="00000000">
      <w:pPr>
        <w:keepNext/>
        <w:autoSpaceDE w:val="0"/>
        <w:autoSpaceDN w:val="0"/>
        <w:adjustRightInd w:val="0"/>
        <w:spacing w:before="80" w:after="240"/>
        <w:rPr>
          <w:color w:val="000000"/>
          <w:sz w:val="20"/>
          <w:lang w:val="fr-FR"/>
        </w:rPr>
      </w:pPr>
      <w:r>
        <w:rPr>
          <w:i/>
          <w:iCs/>
          <w:color w:val="000000"/>
          <w:sz w:val="20"/>
          <w:lang w:val="fr-FR"/>
        </w:rPr>
        <w:tab/>
      </w:r>
      <w:r>
        <w:rPr>
          <w:i/>
          <w:iCs/>
          <w:color w:val="000000"/>
          <w:sz w:val="20"/>
          <w:lang w:val="fr-FR"/>
        </w:rPr>
        <w:tab/>
      </w:r>
      <w:r>
        <w:rPr>
          <w:i/>
          <w:iCs/>
          <w:color w:val="000000"/>
          <w:sz w:val="20"/>
          <w:lang w:val="fr-FR"/>
        </w:rPr>
        <w:tab/>
      </w:r>
      <w:r>
        <w:rPr>
          <w:i/>
          <w:iCs/>
          <w:color w:val="000000"/>
          <w:sz w:val="20"/>
          <w:lang w:val="fr-FR"/>
        </w:rPr>
        <w:tab/>
        <w:t>Source :  CONADIS</w:t>
      </w:r>
      <w:r>
        <w:rPr>
          <w:color w:val="000000"/>
          <w:sz w:val="20"/>
          <w:lang w:val="fr-FR"/>
        </w:rPr>
        <w:t xml:space="preserve">.  </w:t>
      </w:r>
    </w:p>
    <w:p w:rsidR="00000000" w:rsidRDefault="00000000">
      <w:pPr>
        <w:pStyle w:val="List"/>
        <w:spacing w:after="240"/>
        <w:ind w:left="0" w:firstLine="0"/>
        <w:rPr>
          <w:lang w:val="fr-FR"/>
        </w:rPr>
      </w:pPr>
      <w:r>
        <w:rPr>
          <w:lang w:val="fr-FR"/>
        </w:rPr>
        <w:t>70.</w:t>
      </w:r>
      <w:r>
        <w:rPr>
          <w:lang w:val="fr-FR"/>
        </w:rPr>
        <w:tab/>
        <w:t>L’article 47 de la Constitution en vigueur prévoit que l’État prend soin des groupes vulnérables : "Dans les secteurs public et privé, une attention prioritaire, préférentielle et spécifique est accordée aux enfants et adolescents, aux femmes enceintes, aux personnes handicapées, à celles qui souffrent de maladies extrêmement graves et complexes et aux personnes âgées.  Il en est de même des personnes en situation de risque et des victimes de la violence domestique, de la maltraitance infantile et des catastrophes naturelles ou d’origine humaine".</w:t>
      </w:r>
    </w:p>
    <w:p w:rsidR="00000000" w:rsidRDefault="00000000">
      <w:pPr>
        <w:pStyle w:val="List"/>
        <w:spacing w:after="240"/>
        <w:ind w:left="0" w:firstLine="0"/>
        <w:rPr>
          <w:lang w:val="fr-FR"/>
        </w:rPr>
      </w:pPr>
      <w:r>
        <w:rPr>
          <w:lang w:val="fr-FR"/>
        </w:rPr>
        <w:t>71.</w:t>
      </w:r>
      <w:r>
        <w:rPr>
          <w:lang w:val="fr-FR"/>
        </w:rPr>
        <w:tab/>
        <w:t xml:space="preserve">Les programmes d’éducation publics prévoient l’incorporation de personnes handicapées en général susceptibles de s’intégrer au système régulier; en outre, un plan d’intégration destiné aux enfants ayant des besoins éducatifs spéciaux, nécessitant des adaptations du programme scolaire, est en cours d’exécution.  En ce qui concerne la formation et l’insertion professionnelles, il existe des services publics et privés qui assument ces responsabilités avec l’appui de l’État, agissant par l’intermédiaire du CONADIS, malgré de sérieuses contraintes, notamment d’ordre budgétaire et en matière de ressources humaines.  </w:t>
      </w:r>
    </w:p>
    <w:p w:rsidR="00000000" w:rsidRDefault="00000000">
      <w:pPr>
        <w:pStyle w:val="List"/>
        <w:spacing w:after="240"/>
        <w:ind w:left="0" w:firstLine="0"/>
        <w:rPr>
          <w:lang w:val="fr-FR"/>
        </w:rPr>
      </w:pPr>
      <w:r>
        <w:rPr>
          <w:lang w:val="fr-FR"/>
        </w:rPr>
        <w:t>72.</w:t>
      </w:r>
      <w:r>
        <w:rPr>
          <w:lang w:val="fr-FR"/>
        </w:rPr>
        <w:tab/>
        <w:t>L’article 53 de la Constitution dispose : "L’État veille à la prévention des incapacités et garantit des services de soin et de réhabilitation complets en faveur des personnes handicapées, en particulier dans le cas des personnes démunies.  En collaboration avec la société et la famille, il assume la responsabilité de leur intégration sociale et de l’égalisation des chances.  Il met en place des mesures qui leur garantissent l’utilisation des biens et services, en particulier dans les domaines de la santé, de l’éducation, de l’insertion professionnelle et des loisirs, ainsi que des mesures visant à éliminer les obstacles de communication, ainsi que ceux liés à l’urbanisme et à l’architecture et les difficultés d’accès aux moyens de transport qui entravent leur mobilité.  Les municipalités ont l’obligation d’adopter ces mesures dans leur circonscription dans le cadre de leurs attributions.  Les personnes handicapées bénéficient d’un traitement préférentiel pour l’obtention de crédits et en matière d’exonérations et d’allégements fiscaux, en conformité avec la loi.  Le droit des personnes handicapées de recourir pour communiquer à des moyens non conventionnels tels que la langue des signes équatorienne pour les sourds, l’oralisme ou le système Braille, est reconnu".</w:t>
      </w:r>
    </w:p>
    <w:p w:rsidR="00000000" w:rsidRDefault="00000000">
      <w:pPr>
        <w:pStyle w:val="List"/>
        <w:spacing w:after="240"/>
        <w:ind w:left="0" w:firstLine="0"/>
        <w:rPr>
          <w:lang w:val="fr-FR"/>
        </w:rPr>
      </w:pPr>
      <w:r>
        <w:rPr>
          <w:lang w:val="fr-FR"/>
        </w:rPr>
        <w:t>73.</w:t>
      </w:r>
      <w:r>
        <w:rPr>
          <w:lang w:val="fr-FR"/>
        </w:rPr>
        <w:tab/>
        <w:t>les principaux problèmes auxquels sont confrontées les personnes handicapées dans la société équatorienne sont les suivants :</w:t>
      </w:r>
    </w:p>
    <w:p w:rsidR="00000000" w:rsidRDefault="00000000">
      <w:pPr>
        <w:numPr>
          <w:ilvl w:val="0"/>
          <w:numId w:val="14"/>
        </w:numPr>
        <w:tabs>
          <w:tab w:val="clear" w:pos="930"/>
          <w:tab w:val="num" w:pos="1080"/>
        </w:tabs>
        <w:spacing w:after="240"/>
        <w:ind w:left="1080" w:hanging="540"/>
        <w:rPr>
          <w:lang w:val="fr-FR"/>
        </w:rPr>
      </w:pPr>
      <w:r>
        <w:rPr>
          <w:lang w:val="fr-FR"/>
        </w:rPr>
        <w:t>Insuffisance des programmes de prévention de l’invalidité;</w:t>
      </w:r>
    </w:p>
    <w:p w:rsidR="00000000" w:rsidRDefault="00000000">
      <w:pPr>
        <w:numPr>
          <w:ilvl w:val="0"/>
          <w:numId w:val="14"/>
        </w:numPr>
        <w:tabs>
          <w:tab w:val="clear" w:pos="930"/>
          <w:tab w:val="num" w:pos="1080"/>
        </w:tabs>
        <w:spacing w:after="240"/>
        <w:ind w:left="1080" w:hanging="540"/>
        <w:rPr>
          <w:lang w:val="fr-FR"/>
        </w:rPr>
      </w:pPr>
      <w:r>
        <w:rPr>
          <w:lang w:val="fr-FR"/>
        </w:rPr>
        <w:t>Insuffisance des services de diagnostic et d’intervention précoces;</w:t>
      </w:r>
    </w:p>
    <w:p w:rsidR="00000000" w:rsidRDefault="00000000">
      <w:pPr>
        <w:numPr>
          <w:ilvl w:val="0"/>
          <w:numId w:val="14"/>
        </w:numPr>
        <w:tabs>
          <w:tab w:val="clear" w:pos="930"/>
          <w:tab w:val="num" w:pos="1080"/>
        </w:tabs>
        <w:spacing w:after="240"/>
        <w:ind w:left="1080" w:hanging="540"/>
        <w:rPr>
          <w:lang w:val="fr-FR"/>
        </w:rPr>
      </w:pPr>
      <w:r>
        <w:rPr>
          <w:lang w:val="fr-FR"/>
        </w:rPr>
        <w:t>Absence de programmes de fourniture de médicaments génériques aux personnes gravement handicapées à faibles ressources;</w:t>
      </w:r>
    </w:p>
    <w:p w:rsidR="00000000" w:rsidRDefault="00000000">
      <w:pPr>
        <w:numPr>
          <w:ilvl w:val="0"/>
          <w:numId w:val="14"/>
        </w:numPr>
        <w:tabs>
          <w:tab w:val="clear" w:pos="930"/>
          <w:tab w:val="num" w:pos="1080"/>
        </w:tabs>
        <w:spacing w:after="240"/>
        <w:ind w:left="1080" w:hanging="540"/>
        <w:rPr>
          <w:lang w:val="fr-FR"/>
        </w:rPr>
      </w:pPr>
      <w:r>
        <w:rPr>
          <w:lang w:val="fr-FR"/>
        </w:rPr>
        <w:t>Insuffisance des services d’intégration éducative, sociale et professionnelle;</w:t>
      </w:r>
    </w:p>
    <w:p w:rsidR="00000000" w:rsidRDefault="00000000">
      <w:pPr>
        <w:numPr>
          <w:ilvl w:val="0"/>
          <w:numId w:val="14"/>
        </w:numPr>
        <w:tabs>
          <w:tab w:val="clear" w:pos="930"/>
          <w:tab w:val="num" w:pos="1080"/>
        </w:tabs>
        <w:spacing w:after="240"/>
        <w:ind w:left="1080" w:hanging="540"/>
        <w:rPr>
          <w:lang w:val="fr-FR"/>
        </w:rPr>
      </w:pPr>
      <w:r>
        <w:rPr>
          <w:lang w:val="fr-FR"/>
        </w:rPr>
        <w:t>Insuffisance des services d’assistance technique;</w:t>
      </w:r>
    </w:p>
    <w:p w:rsidR="00000000" w:rsidRDefault="00000000">
      <w:pPr>
        <w:numPr>
          <w:ilvl w:val="0"/>
          <w:numId w:val="14"/>
        </w:numPr>
        <w:tabs>
          <w:tab w:val="clear" w:pos="930"/>
          <w:tab w:val="num" w:pos="1080"/>
        </w:tabs>
        <w:spacing w:after="240"/>
        <w:ind w:left="1080" w:hanging="540"/>
        <w:rPr>
          <w:lang w:val="fr-FR"/>
        </w:rPr>
      </w:pPr>
      <w:r>
        <w:rPr>
          <w:lang w:val="fr-FR"/>
        </w:rPr>
        <w:t>Manque de structures d’éducation et de formation adaptées aux personnes handicapées;</w:t>
      </w:r>
    </w:p>
    <w:p w:rsidR="00000000" w:rsidRDefault="00000000">
      <w:pPr>
        <w:numPr>
          <w:ilvl w:val="0"/>
          <w:numId w:val="14"/>
        </w:numPr>
        <w:tabs>
          <w:tab w:val="clear" w:pos="930"/>
          <w:tab w:val="num" w:pos="1080"/>
        </w:tabs>
        <w:spacing w:after="240"/>
        <w:ind w:left="1080" w:hanging="540"/>
        <w:rPr>
          <w:lang w:val="fr-FR"/>
        </w:rPr>
      </w:pPr>
      <w:r>
        <w:rPr>
          <w:lang w:val="fr-FR"/>
        </w:rPr>
        <w:t>Manque de possibilités de travail pour les personnes handicapées, avec formation ou spécialisation professionnelles;</w:t>
      </w:r>
    </w:p>
    <w:p w:rsidR="00000000" w:rsidRDefault="00000000">
      <w:pPr>
        <w:numPr>
          <w:ilvl w:val="0"/>
          <w:numId w:val="14"/>
        </w:numPr>
        <w:tabs>
          <w:tab w:val="clear" w:pos="930"/>
          <w:tab w:val="num" w:pos="1080"/>
        </w:tabs>
        <w:spacing w:after="240"/>
        <w:ind w:left="1080" w:hanging="540"/>
        <w:rPr>
          <w:lang w:val="fr-FR"/>
        </w:rPr>
      </w:pPr>
      <w:r>
        <w:rPr>
          <w:lang w:val="fr-FR"/>
        </w:rPr>
        <w:t>Non-application des dispositions légales en faveur des handicapés concernant la suppression des obstacles liés à l’urbanisme et à l’architecture et des obstacles à l’accès aux moyens de transport.</w:t>
      </w:r>
    </w:p>
    <w:p w:rsidR="00000000" w:rsidRDefault="00000000">
      <w:pPr>
        <w:pStyle w:val="BodyText"/>
        <w:spacing w:after="240"/>
        <w:jc w:val="left"/>
        <w:rPr>
          <w:u w:val="none"/>
          <w:lang w:val="fr-FR"/>
        </w:rPr>
      </w:pPr>
      <w:r>
        <w:rPr>
          <w:u w:val="none"/>
          <w:lang w:val="fr-FR"/>
        </w:rPr>
        <w:t>74.</w:t>
      </w:r>
      <w:r>
        <w:rPr>
          <w:u w:val="none"/>
          <w:lang w:val="fr-FR"/>
        </w:rPr>
        <w:tab/>
        <w:t xml:space="preserve">Il existe dans le pays une discrimination à l’égard des personnes handicapées, qui touche surtout la femme dans le domaine du travail, l’emploi des femmes handicapées étant considéré comme une source de problèmes, compte tenu des risques d'accidents pouvant aggraver leur état physique et des conséquences économiques auxquelles s’expose l'entreprise qui les recrute; il y a là une ignorance de la réalité et du potentiel de ces personnes.  Plus précisément, ce problème n’a pas été traité séparément, mais situé dans le contexte de la problématique des invalidités en Équateur; d’autant plus qu’existe aujourd'hui un organisme autonome chargé des politiques et mesures relatives à la protection de la femme, le CONAMU.  </w:t>
      </w:r>
    </w:p>
    <w:p w:rsidR="00000000" w:rsidRDefault="00000000">
      <w:pPr>
        <w:autoSpaceDE w:val="0"/>
        <w:autoSpaceDN w:val="0"/>
        <w:adjustRightInd w:val="0"/>
        <w:spacing w:after="240"/>
        <w:rPr>
          <w:color w:val="000000"/>
          <w:szCs w:val="22"/>
          <w:lang w:val="fr-FR"/>
        </w:rPr>
      </w:pPr>
      <w:r>
        <w:rPr>
          <w:color w:val="000000"/>
          <w:szCs w:val="22"/>
          <w:lang w:val="fr-FR"/>
        </w:rPr>
        <w:t>75.</w:t>
      </w:r>
      <w:r>
        <w:rPr>
          <w:color w:val="000000"/>
          <w:szCs w:val="22"/>
          <w:lang w:val="fr-FR"/>
        </w:rPr>
        <w:tab/>
        <w:t>la Loi relative à l’invalidité (</w:t>
      </w:r>
      <w:r>
        <w:rPr>
          <w:i/>
          <w:iCs/>
          <w:color w:val="000000"/>
          <w:szCs w:val="22"/>
          <w:lang w:val="fr-FR"/>
        </w:rPr>
        <w:t>Journal officiel</w:t>
      </w:r>
      <w:r>
        <w:rPr>
          <w:color w:val="000000"/>
          <w:szCs w:val="22"/>
          <w:lang w:val="fr-FR"/>
        </w:rPr>
        <w:t xml:space="preserve"> du 7 août 1982), en son article 7, traite de la création du CONADIS en tant qu’organisme chargé au niveau national de promouvoir des projets sociaux, d’effectuer des recherches et de coordonner l’action des divers secteurs et des institutions publiques et privées qui s’occupent des soins, de la prévention, de l’éducation et de l’intégration en faveur des handicapés.  Son autre fonction est d’élaborer la politique nationale en matière d’invalidité.</w:t>
      </w:r>
    </w:p>
    <w:p w:rsidR="00000000" w:rsidRDefault="00000000">
      <w:pPr>
        <w:autoSpaceDE w:val="0"/>
        <w:autoSpaceDN w:val="0"/>
        <w:adjustRightInd w:val="0"/>
        <w:spacing w:after="240"/>
        <w:rPr>
          <w:color w:val="000000"/>
          <w:szCs w:val="22"/>
          <w:lang w:val="fr-FR"/>
        </w:rPr>
      </w:pPr>
      <w:r>
        <w:rPr>
          <w:color w:val="000000"/>
          <w:szCs w:val="22"/>
          <w:lang w:val="fr-FR"/>
        </w:rPr>
        <w:t>76.</w:t>
      </w:r>
      <w:r>
        <w:rPr>
          <w:color w:val="000000"/>
          <w:szCs w:val="22"/>
          <w:lang w:val="fr-FR"/>
        </w:rPr>
        <w:tab/>
        <w:t xml:space="preserve">On ne peut affirmer que la Loi N° 180 relative à l’invalidité ait transformé la situation des personnes handicapées; mais il faut reconnaître qu'elle a aidé les diverses composantes de la société équatorienne à traiter de la question avec davantage de liberté et d’ouverture.  Il en est résulté une réponse positive aux actions programmées et exécutées par le CONADIS par le biais des organismes publics et privés chargés de la prévention, des soins et de l'intégration en faveur des handicapés.  Il convient de noter qu’il existe dans le pays un fondement légal à l’action visant à satisfaire les besoins dans ce secteur et à améliorer la situation des handicapés, mais que, dans la pratique, la coordination requise entre les divers secteurs fait défaut, que les soins et la qualité des services sont déficients et que les crédits alloués par le gouvernement sont insuffisants, ce qui explique la participation toujours plus grande des organisations non gouvernementales.  </w:t>
      </w:r>
    </w:p>
    <w:p w:rsidR="00000000" w:rsidRDefault="00000000">
      <w:pPr>
        <w:autoSpaceDE w:val="0"/>
        <w:autoSpaceDN w:val="0"/>
        <w:adjustRightInd w:val="0"/>
        <w:spacing w:after="240"/>
        <w:rPr>
          <w:color w:val="000000"/>
          <w:szCs w:val="22"/>
          <w:lang w:val="fr-FR"/>
        </w:rPr>
      </w:pPr>
      <w:r>
        <w:rPr>
          <w:color w:val="000000"/>
          <w:szCs w:val="22"/>
          <w:lang w:val="fr-FR"/>
        </w:rPr>
        <w:t>77.</w:t>
      </w:r>
      <w:r>
        <w:rPr>
          <w:color w:val="000000"/>
          <w:szCs w:val="22"/>
          <w:lang w:val="fr-FR"/>
        </w:rPr>
        <w:tab/>
        <w:t>En Équateur, il n'y a pas de plan national d’aide ou de formation à l’intention des personnes souffrant d’invalidité sous une forme ou une autre.  Dans aucun établissement éducatif traditionnel, il n’existe de programmes spéciaux concernant l’admission, la formation, le placement et le suivi de ces personnes.</w:t>
      </w:r>
    </w:p>
    <w:p w:rsidR="00000000" w:rsidRDefault="00000000">
      <w:pPr>
        <w:autoSpaceDE w:val="0"/>
        <w:autoSpaceDN w:val="0"/>
        <w:adjustRightInd w:val="0"/>
        <w:spacing w:after="240"/>
        <w:rPr>
          <w:color w:val="000000"/>
          <w:szCs w:val="22"/>
          <w:lang w:val="fr-FR"/>
        </w:rPr>
      </w:pPr>
      <w:r>
        <w:rPr>
          <w:color w:val="000000"/>
          <w:szCs w:val="22"/>
          <w:lang w:val="fr-FR"/>
        </w:rPr>
        <w:br w:type="page"/>
        <w:t>78.</w:t>
      </w:r>
      <w:r>
        <w:rPr>
          <w:color w:val="000000"/>
          <w:szCs w:val="22"/>
          <w:lang w:val="fr-FR"/>
        </w:rPr>
        <w:tab/>
        <w:t xml:space="preserve">Il ressort des politiques sectorielles en matière de travail que l'État équatorien, par le biais du Ministère du travail et des ressources humaines, s’engage à : </w:t>
      </w:r>
    </w:p>
    <w:p w:rsidR="00000000" w:rsidRDefault="00000000">
      <w:pPr>
        <w:numPr>
          <w:ilvl w:val="0"/>
          <w:numId w:val="120"/>
        </w:numPr>
        <w:spacing w:after="240"/>
        <w:rPr>
          <w:lang w:val="fr-FR"/>
        </w:rPr>
      </w:pPr>
      <w:r>
        <w:rPr>
          <w:color w:val="000000"/>
          <w:szCs w:val="22"/>
          <w:lang w:val="fr-FR"/>
        </w:rPr>
        <w:t>Assurer la</w:t>
      </w:r>
      <w:r>
        <w:rPr>
          <w:lang w:val="fr-FR"/>
        </w:rPr>
        <w:t xml:space="preserve"> coordination optimale des services d’éducation, de santé et de protection sociale avec la formation et la spécialisation professionnelles, afin de permettre une bonne insertion au travail;</w:t>
      </w:r>
    </w:p>
    <w:p w:rsidR="00000000" w:rsidRDefault="00000000">
      <w:pPr>
        <w:numPr>
          <w:ilvl w:val="0"/>
          <w:numId w:val="120"/>
        </w:numPr>
        <w:spacing w:after="240"/>
        <w:rPr>
          <w:lang w:val="fr-FR"/>
        </w:rPr>
      </w:pPr>
      <w:r>
        <w:rPr>
          <w:lang w:val="fr-FR"/>
        </w:rPr>
        <w:t>Établir des mécanismes appropriés de coordination entre les secteurs de la santé, de l’éducation et de l’emploi, avec la participation des institutions tant publiques que privées, en vue de la prévention des accidents de travail, ou comme moyen de  favoriser une intégration régulière et stable au travail;</w:t>
      </w:r>
    </w:p>
    <w:p w:rsidR="00000000" w:rsidRDefault="00000000">
      <w:pPr>
        <w:numPr>
          <w:ilvl w:val="0"/>
          <w:numId w:val="120"/>
        </w:numPr>
        <w:spacing w:after="240"/>
        <w:rPr>
          <w:lang w:val="fr-FR"/>
        </w:rPr>
      </w:pPr>
      <w:r>
        <w:rPr>
          <w:lang w:val="fr-FR"/>
        </w:rPr>
        <w:t>Promouvoir la création et le renforcement d'institutions de crédit et d'assistance financière à des conditions préférentielles, qui s’efforcent plus particulièrement d’aider à la formation d'unités productives pour personnes</w:t>
      </w:r>
      <w:r>
        <w:rPr>
          <w:color w:val="000000"/>
          <w:szCs w:val="22"/>
          <w:lang w:val="fr-FR"/>
        </w:rPr>
        <w:t xml:space="preserve"> handicapés;</w:t>
      </w:r>
    </w:p>
    <w:p w:rsidR="00000000" w:rsidRDefault="00000000">
      <w:pPr>
        <w:numPr>
          <w:ilvl w:val="0"/>
          <w:numId w:val="120"/>
        </w:numPr>
        <w:spacing w:after="240"/>
        <w:rPr>
          <w:lang w:val="fr-FR"/>
        </w:rPr>
      </w:pPr>
      <w:r>
        <w:rPr>
          <w:lang w:val="fr-FR"/>
        </w:rPr>
        <w:t xml:space="preserve">Établir un modèle de réadaptation intégrée comportant des phases d’évaluation, d’orientation, d’adaptation, de formation professionnelle, de placement professionnel et de suivi, et renforcer et réorienter les centres de formation et de réadaptation professionnelles du pays.  </w:t>
      </w:r>
    </w:p>
    <w:p w:rsidR="00000000" w:rsidRDefault="00000000">
      <w:pPr>
        <w:spacing w:after="240"/>
        <w:rPr>
          <w:lang w:val="fr-FR"/>
        </w:rPr>
      </w:pPr>
      <w:r>
        <w:rPr>
          <w:lang w:val="fr-FR"/>
        </w:rPr>
        <w:t>79.</w:t>
      </w:r>
      <w:r>
        <w:rPr>
          <w:lang w:val="fr-FR"/>
        </w:rPr>
        <w:tab/>
        <w:t>Les personnes handicapées ont été empêchées de participer activement à la vie sociale; les obstacles et préjugés auxquels elles se heurtent n’ont pu à ce jour être surmontés; elles sont désavantagées sur le marché du travail et tous les services en faveur des personnes handicapées sont concentrés dans les principales villes et provinces, marginalisant des milliers de personnes éloignées des centres de développement.</w:t>
      </w:r>
    </w:p>
    <w:p w:rsidR="00000000" w:rsidRDefault="00000000">
      <w:pPr>
        <w:pStyle w:val="BodyText"/>
        <w:spacing w:after="240"/>
        <w:jc w:val="left"/>
        <w:rPr>
          <w:i/>
          <w:iCs/>
          <w:u w:val="none"/>
          <w:lang w:val="fr-FR"/>
        </w:rPr>
      </w:pPr>
      <w:r>
        <w:rPr>
          <w:i/>
          <w:iCs/>
          <w:u w:val="none"/>
          <w:lang w:val="fr-FR"/>
        </w:rPr>
        <w:t>Dispositions en matière d’invalidité en Équateur : Constitution, Loi N° 180 relative aux handicapés, Règlement général relatif à la Loi N° 180, politiques générales et sectorielles relatives à l’invalidité</w:t>
      </w:r>
    </w:p>
    <w:p w:rsidR="00000000" w:rsidRDefault="00000000">
      <w:pPr>
        <w:pStyle w:val="BodyText"/>
        <w:spacing w:after="240"/>
        <w:jc w:val="left"/>
        <w:rPr>
          <w:u w:val="none"/>
          <w:lang w:val="fr-FR"/>
        </w:rPr>
      </w:pPr>
      <w:r>
        <w:rPr>
          <w:u w:val="none"/>
          <w:lang w:val="fr-FR"/>
        </w:rPr>
        <w:t>80.</w:t>
      </w:r>
      <w:r>
        <w:rPr>
          <w:u w:val="none"/>
          <w:lang w:val="fr-FR"/>
        </w:rPr>
        <w:tab/>
        <w:t>Une importante aide internationale est fournie par le Gouvernement espagnol par l’intermédiaire de l’Institut des migrations et services sociaux (IMSERSO), de l’Agence espagnole de coopération internationale (AECI), du Réseau ibéro-américain de coopération technique pour les handicaps (RICOOTEC) et de la Fondation royale pour les handicapés de la Reine Sofia d’Espagne.</w:t>
      </w:r>
    </w:p>
    <w:p w:rsidR="00000000" w:rsidRDefault="00000000">
      <w:pPr>
        <w:pStyle w:val="BodyText"/>
        <w:spacing w:after="240"/>
        <w:jc w:val="left"/>
        <w:rPr>
          <w:u w:val="none"/>
          <w:lang w:val="fr-FR"/>
        </w:rPr>
      </w:pPr>
      <w:r>
        <w:rPr>
          <w:u w:val="none"/>
          <w:lang w:val="fr-FR"/>
        </w:rPr>
        <w:t>81.</w:t>
      </w:r>
      <w:r>
        <w:rPr>
          <w:u w:val="none"/>
          <w:lang w:val="fr-FR"/>
        </w:rPr>
        <w:tab/>
        <w:t>Le CONADIS a distribué, au 14 décembre 1999, des cartes d’identification à un total de 30 000 handicapés dans le pays; pour faciliter l’accès aux prestations prévues, le gouvernement a jugé bon de faire bénéficier du Fonds de solidarité les personnes handicapées à faibles ressources et atteintes d’un taux d’invalidité d’au moins 60 %, dûment certifié par les services médicaux du Ministère de la santé, de la Sécurité sociale, des forces armées ou de la police nationale.  En décembre 1999, 4 500 handicapés étaient bénéficiaires du Fonds de solidarité au plan national; suivant ce que décidera le Conseil national de la modernisation (CONAM), un nombre beaucoup plus important de personnes pourraient en bénéficier.  Cela sera fonction de la capacité budgétaire de l’État.</w:t>
      </w:r>
    </w:p>
    <w:p w:rsidR="00000000" w:rsidRDefault="00000000">
      <w:pPr>
        <w:pStyle w:val="BodyText"/>
        <w:spacing w:after="240"/>
        <w:jc w:val="left"/>
        <w:rPr>
          <w:u w:val="none"/>
          <w:lang w:val="fr-FR"/>
        </w:rPr>
      </w:pPr>
      <w:r>
        <w:rPr>
          <w:u w:val="none"/>
          <w:lang w:val="fr-FR"/>
        </w:rPr>
        <w:t>82.</w:t>
      </w:r>
      <w:r>
        <w:rPr>
          <w:u w:val="none"/>
          <w:lang w:val="fr-FR"/>
        </w:rPr>
        <w:tab/>
        <w:t>Il importe de souligner le travail accompli dans le pays par les organisations non gouvernementales (ONG) à but non lucratif en faveur des personnes handicapées.  La Fondation générale équatorienne du Programme Ramón Arregui Monreal (PRAM) offre une formation professionnelle à des jeunes de 15 à 25 ans souffrant de déficience mentale, auxquels sont dispensés des cours de couture, d’artisanat, de céramique, de menuiserie, d’horticulture et dans le domaine des services généraux.</w:t>
      </w:r>
    </w:p>
    <w:p w:rsidR="00000000" w:rsidRDefault="00000000">
      <w:pPr>
        <w:pStyle w:val="BodyText"/>
        <w:spacing w:after="240"/>
        <w:jc w:val="left"/>
        <w:rPr>
          <w:u w:val="none"/>
          <w:lang w:val="fr-FR"/>
        </w:rPr>
      </w:pPr>
      <w:r>
        <w:rPr>
          <w:u w:val="none"/>
          <w:lang w:val="fr-FR"/>
        </w:rPr>
        <w:t>83.</w:t>
      </w:r>
      <w:r>
        <w:rPr>
          <w:u w:val="none"/>
          <w:lang w:val="fr-FR"/>
        </w:rPr>
        <w:tab/>
        <w:t>À ce jour, le programme a formé huit promotions, soit 182 élèves au total.  En fin de formation, une partie des jeunes sont placés dans des emplois pourvus selon des modalités concurrentielles – jusqu’à 60 % d’entre eux sont dans ce cas.  Les 40 % restants sont placés dans le groupe primaire (leur famille) ou dans des emplois protégés, ou bien s’acquittent de travaux au sein de leur communauté.  Le PRAM a assuré le suivi des 182 jeunes formés entre 1991 et 1998.  Des entretiens ont eu lieu avec 150 d’entre eux : 55 femmes et 95 hommes (il n’a pas été possible de localiser 32 des jeunes ayant accompli leur formation).  On a recueilli les informations suivantes : 82 étaient en activité (54,7 %); les hommes trouvent plus facilement du travail (64 sur 95) que les femmes (18 sur 55); 51,2 % ont obtenu un emploi par l’intermédiaire de la Fondation générale équatorienne (FGE) et dans presque tous les cas dans des entreprises privées; le reste a réintégré son groupe primaire (la famille) et aide aux travaux domestiques, mais ces travaux ne sont rémunérés que dans deux cas seulement.</w:t>
      </w:r>
    </w:p>
    <w:p w:rsidR="00000000" w:rsidRDefault="00000000">
      <w:pPr>
        <w:pStyle w:val="BodyText"/>
        <w:keepNext/>
        <w:spacing w:after="240"/>
        <w:jc w:val="left"/>
        <w:rPr>
          <w:b/>
          <w:bCs/>
          <w:u w:val="none"/>
          <w:lang w:val="fr-FR"/>
        </w:rPr>
      </w:pPr>
      <w:r>
        <w:rPr>
          <w:b/>
          <w:bCs/>
          <w:u w:val="none"/>
          <w:lang w:val="fr-FR"/>
        </w:rPr>
        <w:t>Article 7</w:t>
      </w:r>
    </w:p>
    <w:p w:rsidR="00000000" w:rsidRDefault="00000000">
      <w:pPr>
        <w:pStyle w:val="BodyText"/>
        <w:keepNext/>
        <w:spacing w:after="240"/>
        <w:jc w:val="left"/>
        <w:rPr>
          <w:u w:val="none"/>
          <w:lang w:val="fr-FR"/>
        </w:rPr>
      </w:pPr>
      <w:r>
        <w:rPr>
          <w:b/>
          <w:bCs/>
          <w:u w:val="none"/>
          <w:lang w:val="fr-FR"/>
        </w:rPr>
        <w:t>Droit au travail</w:t>
      </w:r>
    </w:p>
    <w:p w:rsidR="00000000" w:rsidRDefault="00000000">
      <w:pPr>
        <w:pStyle w:val="BodyText"/>
        <w:keepNext/>
        <w:spacing w:after="240"/>
        <w:jc w:val="left"/>
        <w:rPr>
          <w:u w:val="none"/>
          <w:lang w:val="fr-FR"/>
        </w:rPr>
      </w:pPr>
      <w:r>
        <w:rPr>
          <w:u w:val="none"/>
          <w:lang w:val="fr-FR"/>
        </w:rPr>
        <w:t>84.</w:t>
      </w:r>
      <w:r>
        <w:rPr>
          <w:u w:val="none"/>
          <w:lang w:val="fr-FR"/>
        </w:rPr>
        <w:tab/>
        <w:t>La Constitution proclame que l’État a pour devoir primordial d’éliminer la pauvreté et de promouvoir le progrès économique, social et culturel de ses habitants</w:t>
      </w:r>
      <w:r>
        <w:rPr>
          <w:rStyle w:val="FootnoteReference"/>
          <w:b/>
          <w:u w:val="none"/>
          <w:lang w:val="fr-FR"/>
        </w:rPr>
        <w:footnoteReference w:id="16"/>
      </w:r>
      <w:r>
        <w:rPr>
          <w:u w:val="none"/>
          <w:lang w:val="fr-FR"/>
        </w:rPr>
        <w:t>, et qu’à cette fin il reconnaît et garantit "la liberté de travail" et le "droit à une qualité de vie où sont assurés la santé, l’alimentation et la nutrition, l’eau potable, la salubrité de l’environnement, l’éducation, le travail, l’emploi, les loisirs, le logement, l’habillement et les autres services sociaux nécessaires"</w:t>
      </w:r>
      <w:r>
        <w:rPr>
          <w:rStyle w:val="FootnoteReference"/>
          <w:b/>
          <w:u w:val="none"/>
          <w:lang w:val="fr-FR"/>
        </w:rPr>
        <w:footnoteReference w:id="17"/>
      </w:r>
      <w:r>
        <w:rPr>
          <w:u w:val="none"/>
          <w:lang w:val="fr-FR"/>
        </w:rPr>
        <w:t>.</w:t>
      </w:r>
    </w:p>
    <w:p w:rsidR="00000000" w:rsidRDefault="00000000">
      <w:pPr>
        <w:pStyle w:val="BodyText"/>
        <w:spacing w:after="240"/>
        <w:jc w:val="left"/>
        <w:rPr>
          <w:u w:val="none"/>
          <w:lang w:val="fr-FR"/>
        </w:rPr>
      </w:pPr>
      <w:r>
        <w:rPr>
          <w:u w:val="none"/>
          <w:lang w:val="fr-FR"/>
        </w:rPr>
        <w:t>85.</w:t>
      </w:r>
      <w:r>
        <w:rPr>
          <w:u w:val="none"/>
          <w:lang w:val="fr-FR"/>
        </w:rPr>
        <w:tab/>
        <w:t>La Constitution dispose : "Le travail est un droit et un devoir social.  Celui qui assure au travailleur le respect de sa dignité, une existence digne et une rémunération juste et qui permet de satisfaire ses besoins et ceux de sa famille bénéficie de la protection de l’État".  Suivant les dispositions fondamentales de l'article pertinent : "Les droits du travailleur sont inaliénables.  Toute clause stipulant leur renoncement, restriction ou altération est nulle"</w:t>
      </w:r>
      <w:r>
        <w:rPr>
          <w:rStyle w:val="FootnoteReference"/>
          <w:b/>
          <w:u w:val="none"/>
          <w:lang w:val="fr-FR"/>
        </w:rPr>
        <w:footnoteReference w:id="18"/>
      </w:r>
      <w:r>
        <w:rPr>
          <w:u w:val="none"/>
          <w:lang w:val="fr-FR"/>
        </w:rPr>
        <w:t>.</w:t>
      </w:r>
    </w:p>
    <w:p w:rsidR="00000000" w:rsidRDefault="00000000">
      <w:pPr>
        <w:pStyle w:val="BodyText"/>
        <w:spacing w:after="240"/>
        <w:jc w:val="left"/>
        <w:rPr>
          <w:u w:val="none"/>
          <w:lang w:val="fr-FR"/>
        </w:rPr>
      </w:pPr>
      <w:r>
        <w:rPr>
          <w:u w:val="none"/>
          <w:lang w:val="fr-FR"/>
        </w:rPr>
        <w:t>86.</w:t>
      </w:r>
      <w:r>
        <w:rPr>
          <w:u w:val="none"/>
          <w:lang w:val="fr-FR"/>
        </w:rPr>
        <w:tab/>
        <w:t>Constitutionnellement, d’importants changements ont été apporté en ce qui concerne la reconnaissance des droits, comme l’" accès des femmes au travail rémunéré, sur la base de l’égalité des droits et des chances, avec la garantie d’une rémunération égale pour un travail égal".  En outre, il est prévu de veiller tout particulièrement au respect des droits de la femme en matière de travail et de procréation en vue d’améliorer ses conditions de travail et l’accès aux systèmes de sécurité sociale, notamment dans le cas de la mère enceinte et en période d’allaitement, de la femme employée, de celle qui travaille dans le secteur informel ou artisanal, de la femme chef de foyer et de la veuve.  Toute forme de discrimination au travail à l’encontre de la femme est interdite.  Le travail du conjoint ou du concubin au foyer sera pris en considération afin de lui offrir une compensation équitable dans les situations spéciales où il se trouve économiquement défavorisé.  Le travail ménager non rémunéré est reconnu comme travail productif</w:t>
      </w:r>
      <w:r>
        <w:rPr>
          <w:rStyle w:val="FootnoteReference"/>
          <w:b/>
          <w:u w:val="none"/>
          <w:lang w:val="fr-FR"/>
        </w:rPr>
        <w:footnoteReference w:id="19"/>
      </w:r>
      <w:r>
        <w:rPr>
          <w:u w:val="none"/>
          <w:lang w:val="fr-FR"/>
        </w:rPr>
        <w:t>.</w:t>
      </w:r>
    </w:p>
    <w:p w:rsidR="00000000" w:rsidRDefault="00000000">
      <w:pPr>
        <w:pStyle w:val="BodyText"/>
        <w:spacing w:after="240"/>
        <w:jc w:val="left"/>
        <w:rPr>
          <w:u w:val="none"/>
          <w:lang w:val="fr-FR"/>
        </w:rPr>
      </w:pPr>
      <w:r>
        <w:rPr>
          <w:u w:val="none"/>
          <w:lang w:val="fr-FR"/>
        </w:rPr>
        <w:t>87.</w:t>
      </w:r>
      <w:r>
        <w:rPr>
          <w:u w:val="none"/>
          <w:lang w:val="fr-FR"/>
        </w:rPr>
        <w:tab/>
        <w:t>Le Code du travail reconnaît la liberté de choix du travail dans des conditions légales : "Il est interdit d’exiger de quiconque des services gratuits ou rémunérés qui ne soient pas autorisés par la loi, sauf dans les cas d’urgence exceptionnelle ou de besoin d’aide immédiate.  En dehors de ces cas, nul n’est obligé de travailler sans un contrat et la rémunération correspondante.  En règle générale, tout travail doit être rémunéré"</w:t>
      </w:r>
      <w:r>
        <w:rPr>
          <w:rStyle w:val="FootnoteReference"/>
          <w:b/>
          <w:u w:val="none"/>
          <w:lang w:val="fr-FR"/>
        </w:rPr>
        <w:footnoteReference w:id="20"/>
      </w:r>
      <w:r>
        <w:rPr>
          <w:u w:val="none"/>
          <w:lang w:val="fr-FR"/>
        </w:rPr>
        <w:t>.</w:t>
      </w:r>
    </w:p>
    <w:p w:rsidR="00000000" w:rsidRDefault="00000000">
      <w:pPr>
        <w:pStyle w:val="BodyText"/>
        <w:spacing w:after="240"/>
        <w:jc w:val="left"/>
        <w:rPr>
          <w:i/>
          <w:iCs/>
          <w:u w:val="none"/>
          <w:lang w:val="fr-FR"/>
        </w:rPr>
      </w:pPr>
      <w:r>
        <w:rPr>
          <w:i/>
          <w:iCs/>
          <w:u w:val="none"/>
          <w:lang w:val="fr-FR"/>
        </w:rPr>
        <w:t>Système de fixation des salaires</w:t>
      </w:r>
    </w:p>
    <w:p w:rsidR="00000000" w:rsidRDefault="00000000">
      <w:pPr>
        <w:pStyle w:val="BodyText"/>
        <w:spacing w:after="240"/>
        <w:jc w:val="left"/>
        <w:rPr>
          <w:u w:val="none"/>
          <w:lang w:val="fr-FR"/>
        </w:rPr>
      </w:pPr>
      <w:r>
        <w:rPr>
          <w:u w:val="none"/>
          <w:lang w:val="fr-FR"/>
        </w:rPr>
        <w:t>88.</w:t>
      </w:r>
      <w:r>
        <w:rPr>
          <w:u w:val="none"/>
          <w:lang w:val="fr-FR"/>
        </w:rPr>
        <w:tab/>
        <w:t>La Constitution, en son article 118, définit les entités qui composent le secteur public.  Le paragraphe 9 de l'article 35 distingue deux grandes catégories : les agents assujettis aux lois qui régissent l’administration publique et les ouvriers et travailleurs dont la situation est régie par Code du travail.</w:t>
      </w:r>
    </w:p>
    <w:p w:rsidR="00000000" w:rsidRDefault="00000000">
      <w:pPr>
        <w:pStyle w:val="BodyText"/>
        <w:spacing w:after="240"/>
        <w:jc w:val="left"/>
        <w:rPr>
          <w:u w:val="none"/>
          <w:lang w:val="fr-FR"/>
        </w:rPr>
      </w:pPr>
      <w:r>
        <w:rPr>
          <w:u w:val="none"/>
          <w:lang w:val="fr-FR"/>
        </w:rPr>
        <w:t>89.</w:t>
      </w:r>
      <w:r>
        <w:rPr>
          <w:u w:val="none"/>
          <w:lang w:val="fr-FR"/>
        </w:rPr>
        <w:tab/>
        <w:t>Conformément aux principes reconnus dans la Constitution et aux dispositions du Code du travail, la fixation des salaires relève de trois types de mécanisme :</w:t>
      </w:r>
    </w:p>
    <w:p w:rsidR="00000000" w:rsidRDefault="00000000">
      <w:pPr>
        <w:pStyle w:val="BodyText"/>
        <w:numPr>
          <w:ilvl w:val="0"/>
          <w:numId w:val="19"/>
        </w:numPr>
        <w:spacing w:after="240"/>
        <w:jc w:val="left"/>
        <w:rPr>
          <w:u w:val="none"/>
          <w:lang w:val="fr-FR"/>
        </w:rPr>
      </w:pPr>
      <w:r>
        <w:rPr>
          <w:u w:val="none"/>
          <w:lang w:val="fr-FR"/>
        </w:rPr>
        <w:t>Le pouvoir de fixer les salaires a été exercé par le Congrès national, avant d'être confié à l'exécutif, et incombe actuellement au Conseil national des salaires (CONADES).  Le salaire minimum vital général est fixé semestriellement par décision du CONADES.  De même, et avec la même périodicité, le CONADES détermine les augmentations générales des rémunérations.  Le Président de la République fixe par décret le salaire de base du corps enseignant du secteur public, sous réserve des dispositions de la loi pertinente et du salaire minimum fixé par le CONADES.</w:t>
      </w:r>
    </w:p>
    <w:p w:rsidR="00000000" w:rsidRDefault="00000000">
      <w:pPr>
        <w:pStyle w:val="BodyText"/>
        <w:numPr>
          <w:ilvl w:val="0"/>
          <w:numId w:val="19"/>
        </w:numPr>
        <w:spacing w:after="240"/>
        <w:jc w:val="left"/>
        <w:rPr>
          <w:u w:val="none"/>
          <w:lang w:val="fr-FR"/>
        </w:rPr>
      </w:pPr>
      <w:r>
        <w:rPr>
          <w:u w:val="none"/>
          <w:lang w:val="fr-FR"/>
        </w:rPr>
        <w:t>Les Commissions sectorielles du salaire minimum sont des organismes tripartites composés de représentants des travailleurs, des employeurs et de l'État et chargés de fixer annuellement, avec l'aide du CONADES, les traitements, salaires et tarifs minimums sectoriels applicables, dans les différentes branches d'activité, aux travailleurs assujettis au Code du travail.</w:t>
      </w:r>
    </w:p>
    <w:p w:rsidR="00000000" w:rsidRDefault="00000000">
      <w:pPr>
        <w:pStyle w:val="BodyText"/>
        <w:numPr>
          <w:ilvl w:val="0"/>
          <w:numId w:val="19"/>
        </w:numPr>
        <w:spacing w:after="240"/>
        <w:jc w:val="left"/>
        <w:rPr>
          <w:u w:val="none"/>
          <w:lang w:val="fr-FR"/>
        </w:rPr>
      </w:pPr>
      <w:r>
        <w:rPr>
          <w:u w:val="none"/>
          <w:lang w:val="fr-FR"/>
        </w:rPr>
        <w:t>Il existe un troisième mécanisme de fixation des salaires : la négociation de contrats collectifs, dans le cadre de laquelle les travailleurs syndiqués négocient directement avec leur employeur, et avec l'intervention du Ministère du travail et des ressources humaines, les conditions de travail applicables, notamment en ce qui concerne la fixation du salaire de base, ainsi que certains avantages sociaux, en fonction des possibilités de l'entreprise.</w:t>
      </w:r>
    </w:p>
    <w:p w:rsidR="00000000" w:rsidRDefault="00000000">
      <w:pPr>
        <w:pStyle w:val="BodyText"/>
        <w:spacing w:after="240"/>
        <w:jc w:val="left"/>
        <w:rPr>
          <w:u w:val="none"/>
          <w:lang w:val="fr-FR"/>
        </w:rPr>
      </w:pPr>
      <w:r>
        <w:rPr>
          <w:u w:val="none"/>
          <w:lang w:val="fr-FR"/>
        </w:rPr>
        <w:t>90.</w:t>
      </w:r>
      <w:r>
        <w:rPr>
          <w:u w:val="none"/>
          <w:lang w:val="fr-FR"/>
        </w:rPr>
        <w:tab/>
        <w:t>Le salaire minimum vital général s'applique à ceux dont l'activité ne peut être assimilée à l'une des professions permanentes figurant dans les tableaux sectoriels par branche d'activité économique.</w:t>
      </w:r>
    </w:p>
    <w:p w:rsidR="00000000" w:rsidRDefault="00000000">
      <w:pPr>
        <w:pStyle w:val="BodyText"/>
        <w:spacing w:after="240"/>
        <w:jc w:val="left"/>
        <w:rPr>
          <w:u w:val="none"/>
          <w:lang w:val="fr-FR"/>
        </w:rPr>
      </w:pPr>
      <w:r>
        <w:rPr>
          <w:u w:val="none"/>
          <w:lang w:val="fr-FR"/>
        </w:rPr>
        <w:t>91.</w:t>
      </w:r>
      <w:r>
        <w:rPr>
          <w:u w:val="none"/>
          <w:lang w:val="fr-FR"/>
        </w:rPr>
        <w:tab/>
        <w:t>La Division du salaire minimum du Ministère du travail et des ressources humaines a fait savoir que le pays ne disposait pas de statistiques sur le nombre de personnes faisant partie de ce groupe.</w:t>
      </w:r>
    </w:p>
    <w:p w:rsidR="00000000" w:rsidRDefault="00000000">
      <w:pPr>
        <w:pStyle w:val="BodyText"/>
        <w:spacing w:after="240"/>
        <w:jc w:val="left"/>
        <w:rPr>
          <w:u w:val="none"/>
          <w:lang w:val="fr-FR"/>
        </w:rPr>
      </w:pPr>
      <w:r>
        <w:rPr>
          <w:u w:val="none"/>
          <w:lang w:val="fr-FR"/>
        </w:rPr>
        <w:t>92.</w:t>
      </w:r>
      <w:r>
        <w:rPr>
          <w:u w:val="none"/>
          <w:lang w:val="fr-FR"/>
        </w:rPr>
        <w:tab/>
        <w:t>L’INEC est l'organisme chargé de réaliser des enquêtes sur les conditions de vie et sur l'emploi, le chômage et le sous-emploi et de rassembler des données sur les revenus des travailleurs.  On a constaté que, sur les formulaires utilisés par cet organisme, aucune variable ne permettait d’analyse spécifique distincte du salaire de base, et que l'on ne pouvait saisir que le montant total des revenus, dans lequel étaient en outre inclus les gains additionnels.  À cet inconvénient s'ajoute le fait que les enquêtes de l'INEC se limitent aux zones urbaines.</w:t>
      </w:r>
    </w:p>
    <w:p w:rsidR="00000000" w:rsidRDefault="00000000">
      <w:pPr>
        <w:pStyle w:val="BodyText"/>
        <w:spacing w:after="240"/>
        <w:jc w:val="left"/>
        <w:rPr>
          <w:u w:val="none"/>
          <w:lang w:val="fr-FR"/>
        </w:rPr>
      </w:pPr>
      <w:r>
        <w:rPr>
          <w:u w:val="none"/>
          <w:lang w:val="fr-FR"/>
        </w:rPr>
        <w:t>93.</w:t>
      </w:r>
      <w:r>
        <w:rPr>
          <w:u w:val="none"/>
          <w:lang w:val="fr-FR"/>
        </w:rPr>
        <w:tab/>
        <w:t>Les salaires minimums fixés sont toujours juridiquement obligatoires et leur application est garantie par l’Office de contrôle du Ministère du travail et des ressources humaines; cette application, qu'il s'agisse du salaire minimum vital ou des traitements, salaires et tarifs minimums sectoriels, est contrôlée par l'intermédiaire de la Direction générale du travail dans la province du Pichincha et des divers bureaux régionaux correspondants dans le reste du pays, c'est-à-dire les Sous-directions du travail des provinces du Littoral, de l'Austro et du Centro, ainsi que des Inspections du travail dans les autres provinces.  Les travailleurs et les employeurs s'adressent aux services de ces divers organismes pour solliciter des avis sur les dispositions de la loi en vigueur en matière de salaires et pour exiger leur application.</w:t>
      </w:r>
    </w:p>
    <w:p w:rsidR="00000000" w:rsidRDefault="00000000">
      <w:pPr>
        <w:pStyle w:val="BodyText"/>
        <w:spacing w:after="240"/>
        <w:jc w:val="left"/>
        <w:rPr>
          <w:u w:val="none"/>
          <w:lang w:val="fr-FR"/>
        </w:rPr>
      </w:pPr>
      <w:r>
        <w:rPr>
          <w:u w:val="none"/>
          <w:lang w:val="fr-FR"/>
        </w:rPr>
        <w:t>94.</w:t>
      </w:r>
      <w:r>
        <w:rPr>
          <w:u w:val="none"/>
          <w:lang w:val="fr-FR"/>
        </w:rPr>
        <w:tab/>
        <w:t>L'Institut équatorien de la sécurité sociale (IESS), qui cherche à élargir la capitalisation de la sécurité sociale en exigeant des employeurs que la contribution patronale et personnelle à l’IESS soit assise sur les salaires déterminés par la loi, contribue à l'application des salaires en vigueur depuis 1997.</w:t>
      </w:r>
    </w:p>
    <w:p w:rsidR="00000000" w:rsidRDefault="00000000">
      <w:pPr>
        <w:pStyle w:val="BodyText"/>
        <w:spacing w:after="240"/>
        <w:jc w:val="left"/>
        <w:rPr>
          <w:u w:val="none"/>
          <w:lang w:val="fr-FR"/>
        </w:rPr>
      </w:pPr>
      <w:r>
        <w:rPr>
          <w:b/>
          <w:u w:val="none"/>
          <w:lang w:val="fr-FR"/>
        </w:rPr>
        <w:t>Fixation du salaire minimum</w:t>
      </w:r>
    </w:p>
    <w:p w:rsidR="00000000" w:rsidRDefault="00000000">
      <w:pPr>
        <w:pStyle w:val="BodyText"/>
        <w:spacing w:after="240"/>
        <w:jc w:val="left"/>
        <w:rPr>
          <w:u w:val="none"/>
          <w:lang w:val="fr-FR"/>
        </w:rPr>
      </w:pPr>
      <w:r>
        <w:rPr>
          <w:u w:val="none"/>
          <w:lang w:val="fr-FR"/>
        </w:rPr>
        <w:t>95.</w:t>
      </w:r>
      <w:r>
        <w:rPr>
          <w:u w:val="none"/>
          <w:lang w:val="fr-FR"/>
        </w:rPr>
        <w:tab/>
        <w:t>Pour la fixation du salaire minimum vital général, le Département du salaire minimum qui fait office de secrétariat technique du CONADES établit un rapport technique dans lequel est analysée la situation économique et sociale du pays et des catégories de travailleurs visés par les mécanismes de fixation du salaire minimum vital et du salaire sectoriel.</w:t>
      </w:r>
    </w:p>
    <w:p w:rsidR="00000000" w:rsidRDefault="00000000">
      <w:pPr>
        <w:pStyle w:val="BodyText"/>
        <w:spacing w:after="240"/>
        <w:jc w:val="left"/>
        <w:rPr>
          <w:u w:val="none"/>
          <w:lang w:val="fr-FR"/>
        </w:rPr>
      </w:pPr>
      <w:r>
        <w:rPr>
          <w:u w:val="none"/>
          <w:lang w:val="fr-FR"/>
        </w:rPr>
        <w:t>96.</w:t>
      </w:r>
      <w:r>
        <w:rPr>
          <w:u w:val="none"/>
          <w:lang w:val="fr-FR"/>
        </w:rPr>
        <w:tab/>
        <w:t>Le rapport du secrétariat technique du CONADES, ainsi que les contributions et propositions des représentants siégeant à cet organisme, servent de base à la fixation du salaire minimum vital.  Pour la détermination du salaire sectoriel par les commissions sectorielles, il est procédé à une enquête et à la réalisation d’études pertinentes; quant à la négociation des contrats collectifs, c'est la volonté des parties, ainsi que la conjoncture économique et les perspectives de chaque entreprise, qui sont les facteurs déterminants.</w:t>
      </w:r>
    </w:p>
    <w:p w:rsidR="00000000" w:rsidRDefault="00000000">
      <w:pPr>
        <w:pStyle w:val="BodyText"/>
        <w:spacing w:after="240"/>
        <w:jc w:val="left"/>
        <w:rPr>
          <w:u w:val="none"/>
          <w:lang w:val="fr-FR"/>
        </w:rPr>
      </w:pPr>
      <w:r>
        <w:rPr>
          <w:u w:val="none"/>
          <w:lang w:val="fr-FR"/>
        </w:rPr>
        <w:t>97.</w:t>
      </w:r>
      <w:r>
        <w:rPr>
          <w:u w:val="none"/>
          <w:lang w:val="fr-FR"/>
        </w:rPr>
        <w:tab/>
        <w:t>En Équateur, plusieurs lois régissent l'administration des ressources humaines.  Dans le cas de la fonction publique, il existe deux lois fondamentales : la Loi relative à la fonction publique et aux carrières administratives et la Loi relative à la rémunération des fonctionnaires.  Dans le cas du secteur privé, c'est le Code du travail et la Constitution nationale qui s'appliquent.</w:t>
      </w:r>
    </w:p>
    <w:p w:rsidR="00000000" w:rsidRDefault="00000000">
      <w:pPr>
        <w:pStyle w:val="BodyText"/>
        <w:spacing w:after="240"/>
        <w:jc w:val="left"/>
        <w:rPr>
          <w:u w:val="none"/>
          <w:lang w:val="fr-FR"/>
        </w:rPr>
      </w:pPr>
      <w:r>
        <w:rPr>
          <w:u w:val="none"/>
          <w:lang w:val="fr-FR"/>
        </w:rPr>
        <w:t>98.</w:t>
      </w:r>
      <w:r>
        <w:rPr>
          <w:u w:val="none"/>
          <w:lang w:val="fr-FR"/>
        </w:rPr>
        <w:tab/>
        <w:t>La Loi relative à la rémunération des fonctionnaires a été adoptée en 1975 pour réglementer le système des rémunérations dans la fonction publique.  Les lois relatives au barème des traitements, ayant pour effet principal de régler les salaires de base officiels, ont été adoptées dans les années 1990.</w:t>
      </w:r>
    </w:p>
    <w:p w:rsidR="00000000" w:rsidRDefault="00000000">
      <w:pPr>
        <w:pStyle w:val="BodyText"/>
        <w:spacing w:after="240"/>
        <w:jc w:val="left"/>
        <w:rPr>
          <w:u w:val="none"/>
          <w:lang w:val="fr-FR"/>
        </w:rPr>
      </w:pPr>
      <w:r>
        <w:rPr>
          <w:u w:val="none"/>
          <w:lang w:val="fr-FR"/>
        </w:rPr>
        <w:t>99.</w:t>
      </w:r>
      <w:r>
        <w:rPr>
          <w:u w:val="none"/>
          <w:lang w:val="fr-FR"/>
        </w:rPr>
        <w:tab/>
        <w:t>La Loi de réforme des finances publiques (</w:t>
      </w:r>
      <w:r>
        <w:rPr>
          <w:i/>
          <w:iCs/>
          <w:u w:val="none"/>
          <w:lang w:val="fr-FR"/>
        </w:rPr>
        <w:t>Journal officiel</w:t>
      </w:r>
      <w:r>
        <w:rPr>
          <w:u w:val="none"/>
          <w:lang w:val="fr-FR"/>
        </w:rPr>
        <w:t xml:space="preserve"> N° 181 du 30 avril 1999) crée, par son article 51, le Conseil national des rémunérations du secteur public (CONAREM), organisme qui a pour fonction de "déterminer les politiques salariales applicables dans les institutions de l'État, que les relations de ces institutions avec leurs fonctionnaires, employés ou travailleurs soient régis par la Loi relative à la fonction publique et aux carrières administratives, par d'autres lois spéciales régulant la relation de services ou par le Code du travail".</w:t>
      </w:r>
    </w:p>
    <w:p w:rsidR="00000000" w:rsidRDefault="00000000">
      <w:pPr>
        <w:pStyle w:val="BodyText"/>
        <w:spacing w:after="240"/>
        <w:jc w:val="left"/>
        <w:rPr>
          <w:u w:val="none"/>
          <w:lang w:val="fr-FR"/>
        </w:rPr>
      </w:pPr>
      <w:r>
        <w:rPr>
          <w:u w:val="none"/>
          <w:lang w:val="fr-FR"/>
        </w:rPr>
        <w:t>100.</w:t>
      </w:r>
      <w:r>
        <w:rPr>
          <w:u w:val="none"/>
          <w:lang w:val="fr-FR"/>
        </w:rPr>
        <w:tab/>
        <w:t>Le rapport technique établi par le CONADES est considéré comme l'instrument de travail de base pour l'analyse et les discussions en matière de salaires; toutefois, les incidences sur le Trésor constituent un facteur prédominant, étant donné que le salaire minimum vital, dans la mesure où il sert de base d’indexation pour de multiples avantages obtenus par les travailleurs dont les conditions sont régies par des contrats collectifs et par le barème des traitements du corps enseignant, a un impact considérable sur les finances publiques.  Depuis 1994, on a adopté comme politique d'augmenter les autres postes de la rémunération des travailleurs, tels que l'indemnité du coût de la vie ou l'allocation complémentaire, qui ont moins de répercussions économiques pour l'État.</w:t>
      </w:r>
    </w:p>
    <w:p w:rsidR="00000000" w:rsidRDefault="00000000">
      <w:pPr>
        <w:pStyle w:val="BodyText"/>
        <w:spacing w:after="240"/>
        <w:jc w:val="left"/>
        <w:rPr>
          <w:u w:val="none"/>
          <w:lang w:val="fr-FR"/>
        </w:rPr>
      </w:pPr>
      <w:r>
        <w:rPr>
          <w:u w:val="none"/>
          <w:lang w:val="fr-FR"/>
        </w:rPr>
        <w:t>101.</w:t>
      </w:r>
      <w:r>
        <w:rPr>
          <w:u w:val="none"/>
          <w:lang w:val="fr-FR"/>
        </w:rPr>
        <w:tab/>
        <w:t>Les mécanismes mis en place pour la fixation, la surveillance et l'ajustement des salaires du secteur public sont régis par les dispositions de l'article 53 de la Loi de réforme des finances publiques, aux termes duquel : "la détermination et la fixation des politiques et des critères de rémunération des fonctionnaires et employés des institutions de l'État sont de la compétence exclusive du Conseil national des rémunérations du secteur public; par conséquent, le Conseil, en veillant à préserver le pouvoir d'achat du salarié, détermine, compte tenu des ressources disponibles, les barèmes de salaires applicables à ces fonctionnaires, cette application étant de portée générale".</w:t>
      </w:r>
    </w:p>
    <w:p w:rsidR="00000000" w:rsidRDefault="00000000">
      <w:pPr>
        <w:pStyle w:val="BodyText"/>
        <w:spacing w:after="240"/>
        <w:jc w:val="left"/>
        <w:rPr>
          <w:u w:val="none"/>
          <w:lang w:val="fr-FR"/>
        </w:rPr>
      </w:pPr>
      <w:r>
        <w:rPr>
          <w:u w:val="none"/>
          <w:lang w:val="fr-FR"/>
        </w:rPr>
        <w:t>102.</w:t>
      </w:r>
      <w:r>
        <w:rPr>
          <w:u w:val="none"/>
          <w:lang w:val="fr-FR"/>
        </w:rPr>
        <w:tab/>
        <w:t>Le système de fixation des salaires de base dans le secteur public est fondé sur certains critères : disponibilité de ressources budgétaires, taux d'inflation (inflation passée) et niveaux de responsabilité.</w:t>
      </w:r>
    </w:p>
    <w:p w:rsidR="00000000" w:rsidRDefault="00000000">
      <w:pPr>
        <w:pStyle w:val="BodyText"/>
        <w:spacing w:after="360"/>
        <w:jc w:val="left"/>
        <w:rPr>
          <w:sz w:val="22"/>
          <w:u w:val="none"/>
          <w:lang w:val="fr-FR"/>
        </w:rPr>
      </w:pPr>
      <w:r>
        <w:rPr>
          <w:u w:val="none"/>
          <w:lang w:val="fr-FR"/>
        </w:rPr>
        <w:t>103.</w:t>
      </w:r>
      <w:r>
        <w:rPr>
          <w:u w:val="none"/>
          <w:lang w:val="fr-FR"/>
        </w:rPr>
        <w:tab/>
        <w:t>Dans le cas du secteur privé aussi, c'est le Conseil national des rémunérations qui déterminent les politiques salariales, le salaire minimum et les augmentations générales de salaires.</w:t>
      </w:r>
    </w:p>
    <w:p w:rsidR="00000000" w:rsidRDefault="00000000">
      <w:pPr>
        <w:autoSpaceDE w:val="0"/>
        <w:autoSpaceDN w:val="0"/>
        <w:adjustRightInd w:val="0"/>
        <w:jc w:val="center"/>
        <w:rPr>
          <w:b/>
          <w:bCs/>
          <w:color w:val="000000"/>
          <w:sz w:val="20"/>
          <w:szCs w:val="20"/>
          <w:lang w:val="fr-FR"/>
        </w:rPr>
      </w:pPr>
      <w:r>
        <w:rPr>
          <w:b/>
          <w:bCs/>
          <w:color w:val="000000"/>
          <w:sz w:val="20"/>
          <w:szCs w:val="20"/>
          <w:lang w:val="fr-FR"/>
        </w:rPr>
        <w:br w:type="page"/>
        <w:t>Revenu total du travailleur en général</w:t>
      </w:r>
    </w:p>
    <w:p w:rsidR="00000000" w:rsidRDefault="00000000">
      <w:pPr>
        <w:autoSpaceDE w:val="0"/>
        <w:autoSpaceDN w:val="0"/>
        <w:adjustRightInd w:val="0"/>
        <w:jc w:val="center"/>
        <w:rPr>
          <w:b/>
          <w:bCs/>
          <w:i/>
          <w:iCs/>
          <w:color w:val="000000"/>
          <w:sz w:val="20"/>
          <w:szCs w:val="20"/>
          <w:lang w:val="fr-FR"/>
        </w:rPr>
      </w:pPr>
      <w:r>
        <w:rPr>
          <w:b/>
          <w:bCs/>
          <w:i/>
          <w:iCs/>
          <w:color w:val="000000"/>
          <w:sz w:val="20"/>
          <w:szCs w:val="20"/>
          <w:lang w:val="fr-FR"/>
        </w:rPr>
        <w:t>Borja-Parodi (août 1988-août 1992)</w:t>
      </w:r>
    </w:p>
    <w:p w:rsidR="00000000" w:rsidRDefault="00000000">
      <w:pPr>
        <w:autoSpaceDE w:val="0"/>
        <w:autoSpaceDN w:val="0"/>
        <w:adjustRightInd w:val="0"/>
        <w:spacing w:after="120"/>
        <w:jc w:val="center"/>
        <w:rPr>
          <w:i/>
          <w:iCs/>
          <w:color w:val="000000"/>
          <w:sz w:val="20"/>
          <w:szCs w:val="20"/>
          <w:lang w:val="fr-FR"/>
        </w:rPr>
      </w:pPr>
      <w:r>
        <w:rPr>
          <w:b/>
          <w:bCs/>
          <w:i/>
          <w:iCs/>
          <w:color w:val="000000"/>
          <w:sz w:val="20"/>
          <w:szCs w:val="20"/>
          <w:lang w:val="fr-FR"/>
        </w:rPr>
        <w:t>(En sucres)</w:t>
      </w:r>
    </w:p>
    <w:tbl>
      <w:tblPr>
        <w:tblW w:w="9242" w:type="dxa"/>
        <w:jc w:val="center"/>
        <w:tblBorders>
          <w:top w:val="single" w:sz="4" w:space="0" w:color="auto"/>
        </w:tblBorders>
        <w:tblLayout w:type="fixed"/>
        <w:tblCellMar>
          <w:left w:w="70" w:type="dxa"/>
          <w:right w:w="70" w:type="dxa"/>
        </w:tblCellMar>
        <w:tblLook w:val="0000" w:firstRow="0" w:lastRow="0" w:firstColumn="0" w:lastColumn="0" w:noHBand="0" w:noVBand="0"/>
      </w:tblPr>
      <w:tblGrid>
        <w:gridCol w:w="2435"/>
        <w:gridCol w:w="1080"/>
        <w:gridCol w:w="900"/>
        <w:gridCol w:w="1080"/>
        <w:gridCol w:w="1080"/>
        <w:gridCol w:w="1558"/>
        <w:gridCol w:w="1109"/>
      </w:tblGrid>
      <w:tr w:rsidR="00000000">
        <w:tblPrEx>
          <w:tblCellMar>
            <w:top w:w="0" w:type="dxa"/>
            <w:bottom w:w="0" w:type="dxa"/>
          </w:tblCellMar>
        </w:tblPrEx>
        <w:trPr>
          <w:cantSplit/>
          <w:jc w:val="center"/>
        </w:trPr>
        <w:tc>
          <w:tcPr>
            <w:tcW w:w="2435" w:type="dxa"/>
            <w:vMerge w:val="restart"/>
            <w:tcBorders>
              <w:top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0"/>
                <w:lang w:val="fr-FR"/>
              </w:rPr>
            </w:pPr>
            <w:r>
              <w:rPr>
                <w:b/>
                <w:bCs/>
                <w:i/>
                <w:iCs/>
                <w:color w:val="000000"/>
                <w:sz w:val="20"/>
                <w:szCs w:val="20"/>
                <w:lang w:val="fr-FR"/>
              </w:rPr>
              <w:t>Poste\Année</w:t>
            </w:r>
          </w:p>
        </w:tc>
        <w:tc>
          <w:tcPr>
            <w:tcW w:w="1980" w:type="dxa"/>
            <w:gridSpan w:val="2"/>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0"/>
                <w:lang w:val="fr-FR"/>
              </w:rPr>
            </w:pPr>
            <w:r>
              <w:rPr>
                <w:b/>
                <w:bCs/>
                <w:i/>
                <w:iCs/>
                <w:color w:val="000000"/>
                <w:sz w:val="20"/>
                <w:szCs w:val="20"/>
                <w:lang w:val="fr-FR"/>
              </w:rPr>
              <w:t>1990</w:t>
            </w:r>
          </w:p>
        </w:tc>
        <w:tc>
          <w:tcPr>
            <w:tcW w:w="2160" w:type="dxa"/>
            <w:gridSpan w:val="2"/>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0"/>
                <w:lang w:val="fr-FR"/>
              </w:rPr>
            </w:pPr>
            <w:r>
              <w:rPr>
                <w:b/>
                <w:bCs/>
                <w:i/>
                <w:iCs/>
                <w:color w:val="000000"/>
                <w:sz w:val="20"/>
                <w:szCs w:val="20"/>
                <w:lang w:val="fr-FR"/>
              </w:rPr>
              <w:t>1992</w:t>
            </w:r>
          </w:p>
        </w:tc>
        <w:tc>
          <w:tcPr>
            <w:tcW w:w="2667" w:type="dxa"/>
            <w:gridSpan w:val="2"/>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0"/>
                <w:lang w:val="fr-FR"/>
              </w:rPr>
            </w:pPr>
            <w:r>
              <w:rPr>
                <w:b/>
                <w:bCs/>
                <w:i/>
                <w:iCs/>
                <w:color w:val="000000"/>
                <w:sz w:val="20"/>
                <w:szCs w:val="20"/>
                <w:lang w:val="fr-FR"/>
              </w:rPr>
              <w:t xml:space="preserve">Accroissement au cours </w:t>
            </w:r>
            <w:r>
              <w:rPr>
                <w:b/>
                <w:bCs/>
                <w:i/>
                <w:iCs/>
                <w:color w:val="000000"/>
                <w:sz w:val="20"/>
                <w:szCs w:val="20"/>
                <w:lang w:val="fr-FR"/>
              </w:rPr>
              <w:br/>
              <w:t>de la période</w:t>
            </w:r>
          </w:p>
        </w:tc>
      </w:tr>
      <w:tr w:rsidR="00000000">
        <w:tblPrEx>
          <w:tblCellMar>
            <w:top w:w="0" w:type="dxa"/>
            <w:bottom w:w="0" w:type="dxa"/>
          </w:tblCellMar>
        </w:tblPrEx>
        <w:trPr>
          <w:cantSplit/>
          <w:jc w:val="center"/>
        </w:trPr>
        <w:tc>
          <w:tcPr>
            <w:tcW w:w="2435" w:type="dxa"/>
            <w:vMerge/>
            <w:tcBorders>
              <w:top w:val="nil"/>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0"/>
                <w:lang w:val="fr-FR"/>
              </w:rPr>
            </w:pPr>
          </w:p>
        </w:tc>
        <w:tc>
          <w:tcPr>
            <w:tcW w:w="108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0"/>
                <w:lang w:val="fr-FR"/>
              </w:rPr>
            </w:pPr>
            <w:r>
              <w:rPr>
                <w:b/>
                <w:bCs/>
                <w:i/>
                <w:iCs/>
                <w:color w:val="000000"/>
                <w:sz w:val="20"/>
                <w:szCs w:val="20"/>
                <w:lang w:val="fr-FR"/>
              </w:rPr>
              <w:t>1er janvier</w:t>
            </w:r>
          </w:p>
        </w:tc>
        <w:tc>
          <w:tcPr>
            <w:tcW w:w="90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0"/>
                <w:lang w:val="fr-FR"/>
              </w:rPr>
            </w:pPr>
            <w:r>
              <w:rPr>
                <w:b/>
                <w:bCs/>
                <w:i/>
                <w:iCs/>
                <w:color w:val="000000"/>
                <w:sz w:val="20"/>
                <w:szCs w:val="20"/>
                <w:lang w:val="fr-FR"/>
              </w:rPr>
              <w:t>22 juillet</w:t>
            </w:r>
          </w:p>
        </w:tc>
        <w:tc>
          <w:tcPr>
            <w:tcW w:w="108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0"/>
                <w:lang w:val="fr-FR"/>
              </w:rPr>
            </w:pPr>
            <w:r>
              <w:rPr>
                <w:b/>
                <w:bCs/>
                <w:i/>
                <w:iCs/>
                <w:color w:val="000000"/>
                <w:sz w:val="20"/>
                <w:szCs w:val="20"/>
                <w:lang w:val="fr-FR"/>
              </w:rPr>
              <w:t>1</w:t>
            </w:r>
            <w:r>
              <w:rPr>
                <w:b/>
                <w:bCs/>
                <w:i/>
                <w:iCs/>
                <w:color w:val="000000"/>
                <w:sz w:val="20"/>
                <w:szCs w:val="20"/>
                <w:vertAlign w:val="superscript"/>
                <w:lang w:val="fr-FR"/>
              </w:rPr>
              <w:t>er</w:t>
            </w:r>
            <w:r>
              <w:rPr>
                <w:b/>
                <w:bCs/>
                <w:i/>
                <w:iCs/>
                <w:color w:val="000000"/>
                <w:sz w:val="20"/>
                <w:szCs w:val="20"/>
                <w:lang w:val="fr-FR"/>
              </w:rPr>
              <w:t xml:space="preserve"> janvier</w:t>
            </w:r>
          </w:p>
        </w:tc>
        <w:tc>
          <w:tcPr>
            <w:tcW w:w="108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0"/>
                <w:lang w:val="fr-FR"/>
              </w:rPr>
            </w:pPr>
            <w:r>
              <w:rPr>
                <w:b/>
                <w:bCs/>
                <w:i/>
                <w:iCs/>
                <w:color w:val="000000"/>
                <w:sz w:val="20"/>
                <w:szCs w:val="20"/>
                <w:lang w:val="fr-FR"/>
              </w:rPr>
              <w:t>10 août</w:t>
            </w:r>
          </w:p>
        </w:tc>
        <w:tc>
          <w:tcPr>
            <w:tcW w:w="1558"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0"/>
                <w:lang w:val="fr-FR"/>
              </w:rPr>
            </w:pPr>
            <w:r>
              <w:rPr>
                <w:b/>
                <w:bCs/>
                <w:i/>
                <w:iCs/>
                <w:color w:val="000000"/>
                <w:sz w:val="20"/>
                <w:szCs w:val="20"/>
                <w:lang w:val="fr-FR"/>
              </w:rPr>
              <w:t>En pourcentage</w:t>
            </w:r>
          </w:p>
        </w:tc>
        <w:tc>
          <w:tcPr>
            <w:tcW w:w="1109"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0"/>
                <w:lang w:val="fr-FR"/>
              </w:rPr>
            </w:pPr>
            <w:r>
              <w:rPr>
                <w:b/>
                <w:bCs/>
                <w:i/>
                <w:iCs/>
                <w:color w:val="000000"/>
                <w:sz w:val="20"/>
                <w:szCs w:val="20"/>
                <w:lang w:val="fr-FR"/>
              </w:rPr>
              <w:t>En valeur absolue</w:t>
            </w:r>
          </w:p>
        </w:tc>
      </w:tr>
      <w:tr w:rsidR="00000000">
        <w:tblPrEx>
          <w:tblCellMar>
            <w:top w:w="0" w:type="dxa"/>
            <w:bottom w:w="0" w:type="dxa"/>
          </w:tblCellMar>
        </w:tblPrEx>
        <w:trPr>
          <w:jc w:val="center"/>
        </w:trPr>
        <w:tc>
          <w:tcPr>
            <w:tcW w:w="2435" w:type="dxa"/>
            <w:tcBorders>
              <w:top w:val="single" w:sz="4" w:space="0" w:color="auto"/>
            </w:tcBorders>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Salaire minimal vital </w:t>
            </w:r>
          </w:p>
        </w:tc>
        <w:tc>
          <w:tcPr>
            <w:tcW w:w="1080" w:type="dxa"/>
            <w:tcBorders>
              <w:top w:val="single" w:sz="4" w:space="0" w:color="auto"/>
            </w:tcBorders>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32 000 </w:t>
            </w:r>
          </w:p>
        </w:tc>
        <w:tc>
          <w:tcPr>
            <w:tcW w:w="900" w:type="dxa"/>
            <w:tcBorders>
              <w:top w:val="single" w:sz="4" w:space="0" w:color="auto"/>
            </w:tcBorders>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32 000 </w:t>
            </w:r>
          </w:p>
        </w:tc>
        <w:tc>
          <w:tcPr>
            <w:tcW w:w="1080" w:type="dxa"/>
            <w:tcBorders>
              <w:top w:val="single" w:sz="4" w:space="0" w:color="auto"/>
            </w:tcBorders>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40 000 </w:t>
            </w:r>
          </w:p>
        </w:tc>
        <w:tc>
          <w:tcPr>
            <w:tcW w:w="1080" w:type="dxa"/>
            <w:tcBorders>
              <w:top w:val="single" w:sz="4" w:space="0" w:color="auto"/>
            </w:tcBorders>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60 000 </w:t>
            </w:r>
          </w:p>
        </w:tc>
        <w:tc>
          <w:tcPr>
            <w:tcW w:w="1558" w:type="dxa"/>
            <w:tcBorders>
              <w:top w:val="single" w:sz="4" w:space="0" w:color="auto"/>
            </w:tcBorders>
          </w:tcPr>
          <w:p w:rsidR="00000000" w:rsidRDefault="00000000">
            <w:pPr>
              <w:tabs>
                <w:tab w:val="decimal" w:pos="650"/>
              </w:tabs>
              <w:autoSpaceDE w:val="0"/>
              <w:autoSpaceDN w:val="0"/>
              <w:adjustRightInd w:val="0"/>
              <w:spacing w:before="60" w:after="60"/>
              <w:rPr>
                <w:color w:val="000000"/>
                <w:sz w:val="20"/>
                <w:szCs w:val="20"/>
                <w:lang w:val="fr-FR"/>
              </w:rPr>
            </w:pPr>
            <w:r>
              <w:rPr>
                <w:color w:val="000000"/>
                <w:sz w:val="20"/>
                <w:szCs w:val="20"/>
                <w:lang w:val="fr-FR"/>
              </w:rPr>
              <w:t xml:space="preserve">87,50 </w:t>
            </w:r>
          </w:p>
        </w:tc>
        <w:tc>
          <w:tcPr>
            <w:tcW w:w="1109" w:type="dxa"/>
            <w:tcBorders>
              <w:top w:val="single" w:sz="4" w:space="0" w:color="auto"/>
            </w:tcBorders>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28 000  </w:t>
            </w:r>
          </w:p>
        </w:tc>
      </w:tr>
      <w:tr w:rsidR="00000000">
        <w:tblPrEx>
          <w:tblCellMar>
            <w:top w:w="0" w:type="dxa"/>
            <w:bottom w:w="0" w:type="dxa"/>
          </w:tblCellMar>
        </w:tblPrEx>
        <w:trPr>
          <w:jc w:val="center"/>
        </w:trPr>
        <w:tc>
          <w:tcPr>
            <w:tcW w:w="2435" w:type="dxa"/>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Indemnité du coût de la vie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2 500 </w:t>
            </w:r>
          </w:p>
        </w:tc>
        <w:tc>
          <w:tcPr>
            <w:tcW w:w="90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2 500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20 000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20 000 </w:t>
            </w:r>
          </w:p>
        </w:tc>
        <w:tc>
          <w:tcPr>
            <w:tcW w:w="1558" w:type="dxa"/>
          </w:tcPr>
          <w:p w:rsidR="00000000" w:rsidRDefault="00000000">
            <w:pPr>
              <w:tabs>
                <w:tab w:val="decimal" w:pos="650"/>
              </w:tabs>
              <w:autoSpaceDE w:val="0"/>
              <w:autoSpaceDN w:val="0"/>
              <w:adjustRightInd w:val="0"/>
              <w:spacing w:before="60" w:after="60"/>
              <w:rPr>
                <w:color w:val="000000"/>
                <w:sz w:val="20"/>
                <w:szCs w:val="20"/>
                <w:lang w:val="fr-FR"/>
              </w:rPr>
            </w:pPr>
            <w:r>
              <w:rPr>
                <w:color w:val="000000"/>
                <w:sz w:val="20"/>
                <w:szCs w:val="20"/>
                <w:lang w:val="fr-FR"/>
              </w:rPr>
              <w:t xml:space="preserve">1233,33 </w:t>
            </w:r>
          </w:p>
        </w:tc>
        <w:tc>
          <w:tcPr>
            <w:tcW w:w="1109"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17 500  </w:t>
            </w:r>
          </w:p>
        </w:tc>
      </w:tr>
      <w:tr w:rsidR="00000000">
        <w:tblPrEx>
          <w:tblCellMar>
            <w:top w:w="0" w:type="dxa"/>
            <w:bottom w:w="0" w:type="dxa"/>
          </w:tblCellMar>
        </w:tblPrEx>
        <w:trPr>
          <w:jc w:val="center"/>
        </w:trPr>
        <w:tc>
          <w:tcPr>
            <w:tcW w:w="2435" w:type="dxa"/>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Allocation  complémentaire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1 000 </w:t>
            </w:r>
          </w:p>
        </w:tc>
        <w:tc>
          <w:tcPr>
            <w:tcW w:w="90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1 000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1 000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1 000 </w:t>
            </w:r>
          </w:p>
        </w:tc>
        <w:tc>
          <w:tcPr>
            <w:tcW w:w="1558" w:type="dxa"/>
          </w:tcPr>
          <w:p w:rsidR="00000000" w:rsidRDefault="00000000">
            <w:pPr>
              <w:tabs>
                <w:tab w:val="decimal" w:pos="650"/>
              </w:tabs>
              <w:autoSpaceDE w:val="0"/>
              <w:autoSpaceDN w:val="0"/>
              <w:adjustRightInd w:val="0"/>
              <w:spacing w:before="60" w:after="60"/>
              <w:rPr>
                <w:color w:val="000000"/>
                <w:sz w:val="20"/>
                <w:szCs w:val="20"/>
                <w:lang w:val="fr-FR"/>
              </w:rPr>
            </w:pPr>
            <w:r>
              <w:rPr>
                <w:color w:val="000000"/>
                <w:sz w:val="20"/>
                <w:szCs w:val="20"/>
                <w:lang w:val="fr-FR"/>
              </w:rPr>
              <w:t xml:space="preserve">100,00 </w:t>
            </w:r>
          </w:p>
        </w:tc>
        <w:tc>
          <w:tcPr>
            <w:tcW w:w="1109"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0  </w:t>
            </w:r>
          </w:p>
        </w:tc>
      </w:tr>
      <w:tr w:rsidR="00000000">
        <w:tblPrEx>
          <w:tblCellMar>
            <w:top w:w="0" w:type="dxa"/>
            <w:bottom w:w="0" w:type="dxa"/>
          </w:tblCellMar>
        </w:tblPrEx>
        <w:trPr>
          <w:jc w:val="center"/>
        </w:trPr>
        <w:tc>
          <w:tcPr>
            <w:tcW w:w="2435" w:type="dxa"/>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Indemnité de transport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2 400 </w:t>
            </w:r>
          </w:p>
        </w:tc>
        <w:tc>
          <w:tcPr>
            <w:tcW w:w="90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3 200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4 000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7 200 </w:t>
            </w:r>
          </w:p>
        </w:tc>
        <w:tc>
          <w:tcPr>
            <w:tcW w:w="1558" w:type="dxa"/>
          </w:tcPr>
          <w:p w:rsidR="00000000" w:rsidRDefault="00000000">
            <w:pPr>
              <w:tabs>
                <w:tab w:val="decimal" w:pos="650"/>
              </w:tabs>
              <w:autoSpaceDE w:val="0"/>
              <w:autoSpaceDN w:val="0"/>
              <w:adjustRightInd w:val="0"/>
              <w:spacing w:before="60" w:after="60"/>
              <w:rPr>
                <w:color w:val="000000"/>
                <w:sz w:val="20"/>
                <w:szCs w:val="20"/>
                <w:lang w:val="fr-FR"/>
              </w:rPr>
            </w:pPr>
            <w:r>
              <w:rPr>
                <w:color w:val="000000"/>
                <w:sz w:val="20"/>
                <w:szCs w:val="20"/>
                <w:lang w:val="fr-FR"/>
              </w:rPr>
              <w:t xml:space="preserve">260,00 </w:t>
            </w:r>
          </w:p>
        </w:tc>
        <w:tc>
          <w:tcPr>
            <w:tcW w:w="1109"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4 800  </w:t>
            </w:r>
          </w:p>
        </w:tc>
      </w:tr>
      <w:tr w:rsidR="00000000">
        <w:tblPrEx>
          <w:tblCellMar>
            <w:top w:w="0" w:type="dxa"/>
            <w:bottom w:w="0" w:type="dxa"/>
          </w:tblCellMar>
        </w:tblPrEx>
        <w:trPr>
          <w:jc w:val="center"/>
        </w:trPr>
        <w:tc>
          <w:tcPr>
            <w:tcW w:w="2435" w:type="dxa"/>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Salaire mensuel nominal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37 900 </w:t>
            </w:r>
          </w:p>
        </w:tc>
        <w:tc>
          <w:tcPr>
            <w:tcW w:w="90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38 700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65 000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88 200 </w:t>
            </w:r>
          </w:p>
        </w:tc>
        <w:tc>
          <w:tcPr>
            <w:tcW w:w="1558" w:type="dxa"/>
          </w:tcPr>
          <w:p w:rsidR="00000000" w:rsidRDefault="00000000">
            <w:pPr>
              <w:tabs>
                <w:tab w:val="decimal" w:pos="650"/>
              </w:tabs>
              <w:autoSpaceDE w:val="0"/>
              <w:autoSpaceDN w:val="0"/>
              <w:adjustRightInd w:val="0"/>
              <w:spacing w:before="60" w:after="60"/>
              <w:rPr>
                <w:color w:val="000000"/>
                <w:sz w:val="20"/>
                <w:szCs w:val="20"/>
                <w:lang w:val="fr-FR"/>
              </w:rPr>
            </w:pPr>
            <w:r>
              <w:rPr>
                <w:color w:val="000000"/>
                <w:sz w:val="20"/>
                <w:szCs w:val="20"/>
                <w:lang w:val="fr-FR"/>
              </w:rPr>
              <w:t xml:space="preserve">132,72 </w:t>
            </w:r>
          </w:p>
        </w:tc>
        <w:tc>
          <w:tcPr>
            <w:tcW w:w="1109"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50 300  </w:t>
            </w:r>
          </w:p>
        </w:tc>
      </w:tr>
      <w:tr w:rsidR="00000000">
        <w:tblPrEx>
          <w:tblCellMar>
            <w:top w:w="0" w:type="dxa"/>
            <w:bottom w:w="0" w:type="dxa"/>
          </w:tblCellMar>
        </w:tblPrEx>
        <w:trPr>
          <w:jc w:val="center"/>
        </w:trPr>
        <w:tc>
          <w:tcPr>
            <w:tcW w:w="2435" w:type="dxa"/>
          </w:tcPr>
          <w:p w:rsidR="00000000" w:rsidRDefault="00000000">
            <w:pPr>
              <w:autoSpaceDE w:val="0"/>
              <w:autoSpaceDN w:val="0"/>
              <w:adjustRightInd w:val="0"/>
              <w:spacing w:before="60" w:after="60"/>
              <w:rPr>
                <w:color w:val="000000"/>
                <w:sz w:val="20"/>
                <w:szCs w:val="20"/>
                <w:lang w:val="fr-FR"/>
              </w:rPr>
            </w:pP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p>
        </w:tc>
        <w:tc>
          <w:tcPr>
            <w:tcW w:w="900" w:type="dxa"/>
          </w:tcPr>
          <w:p w:rsidR="00000000" w:rsidRDefault="00000000">
            <w:pPr>
              <w:autoSpaceDE w:val="0"/>
              <w:autoSpaceDN w:val="0"/>
              <w:adjustRightInd w:val="0"/>
              <w:spacing w:before="60" w:after="60"/>
              <w:ind w:right="113"/>
              <w:jc w:val="right"/>
              <w:rPr>
                <w:color w:val="000000"/>
                <w:sz w:val="20"/>
                <w:szCs w:val="20"/>
                <w:lang w:val="fr-FR"/>
              </w:rPr>
            </w:pP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p>
        </w:tc>
        <w:tc>
          <w:tcPr>
            <w:tcW w:w="1558" w:type="dxa"/>
          </w:tcPr>
          <w:p w:rsidR="00000000" w:rsidRDefault="00000000">
            <w:pPr>
              <w:tabs>
                <w:tab w:val="decimal" w:pos="650"/>
              </w:tabs>
              <w:autoSpaceDE w:val="0"/>
              <w:autoSpaceDN w:val="0"/>
              <w:adjustRightInd w:val="0"/>
              <w:spacing w:before="60" w:after="60"/>
              <w:rPr>
                <w:color w:val="000000"/>
                <w:sz w:val="20"/>
                <w:szCs w:val="20"/>
                <w:lang w:val="fr-FR"/>
              </w:rPr>
            </w:pPr>
          </w:p>
        </w:tc>
        <w:tc>
          <w:tcPr>
            <w:tcW w:w="1109" w:type="dxa"/>
          </w:tcPr>
          <w:p w:rsidR="00000000" w:rsidRDefault="00000000">
            <w:pPr>
              <w:autoSpaceDE w:val="0"/>
              <w:autoSpaceDN w:val="0"/>
              <w:adjustRightInd w:val="0"/>
              <w:spacing w:before="60" w:after="60"/>
              <w:ind w:right="113"/>
              <w:jc w:val="right"/>
              <w:rPr>
                <w:color w:val="000000"/>
                <w:sz w:val="20"/>
                <w:szCs w:val="20"/>
                <w:lang w:val="fr-FR"/>
              </w:rPr>
            </w:pPr>
          </w:p>
        </w:tc>
      </w:tr>
      <w:tr w:rsidR="00000000">
        <w:tblPrEx>
          <w:tblCellMar>
            <w:top w:w="0" w:type="dxa"/>
            <w:bottom w:w="0" w:type="dxa"/>
          </w:tblCellMar>
        </w:tblPrEx>
        <w:trPr>
          <w:jc w:val="center"/>
        </w:trPr>
        <w:tc>
          <w:tcPr>
            <w:tcW w:w="2435" w:type="dxa"/>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Treizième salaire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2 667 </w:t>
            </w:r>
          </w:p>
        </w:tc>
        <w:tc>
          <w:tcPr>
            <w:tcW w:w="90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2 667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3 333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5 000 </w:t>
            </w:r>
          </w:p>
        </w:tc>
        <w:tc>
          <w:tcPr>
            <w:tcW w:w="1558" w:type="dxa"/>
          </w:tcPr>
          <w:p w:rsidR="00000000" w:rsidRDefault="00000000">
            <w:pPr>
              <w:tabs>
                <w:tab w:val="decimal" w:pos="650"/>
              </w:tabs>
              <w:autoSpaceDE w:val="0"/>
              <w:autoSpaceDN w:val="0"/>
              <w:adjustRightInd w:val="0"/>
              <w:spacing w:before="60" w:after="60"/>
              <w:rPr>
                <w:color w:val="000000"/>
                <w:sz w:val="20"/>
                <w:szCs w:val="20"/>
                <w:lang w:val="fr-FR"/>
              </w:rPr>
            </w:pPr>
            <w:r>
              <w:rPr>
                <w:color w:val="000000"/>
                <w:sz w:val="20"/>
                <w:szCs w:val="20"/>
                <w:lang w:val="fr-FR"/>
              </w:rPr>
              <w:t xml:space="preserve">122,22 </w:t>
            </w:r>
          </w:p>
        </w:tc>
        <w:tc>
          <w:tcPr>
            <w:tcW w:w="1109"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2 333  </w:t>
            </w:r>
          </w:p>
        </w:tc>
      </w:tr>
      <w:tr w:rsidR="00000000">
        <w:tblPrEx>
          <w:tblCellMar>
            <w:top w:w="0" w:type="dxa"/>
            <w:bottom w:w="0" w:type="dxa"/>
          </w:tblCellMar>
        </w:tblPrEx>
        <w:trPr>
          <w:jc w:val="center"/>
        </w:trPr>
        <w:tc>
          <w:tcPr>
            <w:tcW w:w="2435" w:type="dxa"/>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Quatorzième salaire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5 333 </w:t>
            </w:r>
          </w:p>
        </w:tc>
        <w:tc>
          <w:tcPr>
            <w:tcW w:w="90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5 333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6 667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10 000 </w:t>
            </w:r>
          </w:p>
        </w:tc>
        <w:tc>
          <w:tcPr>
            <w:tcW w:w="1558" w:type="dxa"/>
          </w:tcPr>
          <w:p w:rsidR="00000000" w:rsidRDefault="00000000">
            <w:pPr>
              <w:tabs>
                <w:tab w:val="decimal" w:pos="650"/>
              </w:tabs>
              <w:autoSpaceDE w:val="0"/>
              <w:autoSpaceDN w:val="0"/>
              <w:adjustRightInd w:val="0"/>
              <w:spacing w:before="60" w:after="60"/>
              <w:rPr>
                <w:color w:val="000000"/>
                <w:sz w:val="20"/>
                <w:szCs w:val="20"/>
                <w:lang w:val="fr-FR"/>
              </w:rPr>
            </w:pPr>
            <w:r>
              <w:rPr>
                <w:color w:val="000000"/>
                <w:sz w:val="20"/>
                <w:szCs w:val="20"/>
                <w:lang w:val="fr-FR"/>
              </w:rPr>
              <w:t xml:space="preserve">122,22 </w:t>
            </w:r>
          </w:p>
        </w:tc>
        <w:tc>
          <w:tcPr>
            <w:tcW w:w="1109"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4 667  </w:t>
            </w:r>
          </w:p>
        </w:tc>
      </w:tr>
      <w:tr w:rsidR="00000000">
        <w:tblPrEx>
          <w:tblCellMar>
            <w:top w:w="0" w:type="dxa"/>
            <w:bottom w:w="0" w:type="dxa"/>
          </w:tblCellMar>
        </w:tblPrEx>
        <w:trPr>
          <w:jc w:val="center"/>
        </w:trPr>
        <w:tc>
          <w:tcPr>
            <w:tcW w:w="2435" w:type="dxa"/>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Quinzième salaire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833 </w:t>
            </w:r>
          </w:p>
        </w:tc>
        <w:tc>
          <w:tcPr>
            <w:tcW w:w="90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4 167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4 167 </w:t>
            </w:r>
          </w:p>
        </w:tc>
        <w:tc>
          <w:tcPr>
            <w:tcW w:w="1080"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4 167 </w:t>
            </w:r>
          </w:p>
        </w:tc>
        <w:tc>
          <w:tcPr>
            <w:tcW w:w="1558" w:type="dxa"/>
          </w:tcPr>
          <w:p w:rsidR="00000000" w:rsidRDefault="00000000">
            <w:pPr>
              <w:tabs>
                <w:tab w:val="decimal" w:pos="650"/>
              </w:tabs>
              <w:autoSpaceDE w:val="0"/>
              <w:autoSpaceDN w:val="0"/>
              <w:adjustRightInd w:val="0"/>
              <w:spacing w:before="60" w:after="60"/>
              <w:rPr>
                <w:color w:val="000000"/>
                <w:sz w:val="20"/>
                <w:szCs w:val="20"/>
                <w:lang w:val="fr-FR"/>
              </w:rPr>
            </w:pPr>
            <w:r>
              <w:rPr>
                <w:color w:val="000000"/>
                <w:sz w:val="20"/>
                <w:szCs w:val="20"/>
                <w:lang w:val="fr-FR"/>
              </w:rPr>
              <w:t xml:space="preserve">400,00 </w:t>
            </w:r>
          </w:p>
        </w:tc>
        <w:tc>
          <w:tcPr>
            <w:tcW w:w="1109" w:type="dxa"/>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3 333  </w:t>
            </w:r>
          </w:p>
        </w:tc>
      </w:tr>
      <w:tr w:rsidR="00000000">
        <w:tblPrEx>
          <w:tblCellMar>
            <w:top w:w="0" w:type="dxa"/>
            <w:bottom w:w="0" w:type="dxa"/>
          </w:tblCellMar>
        </w:tblPrEx>
        <w:trPr>
          <w:jc w:val="center"/>
        </w:trPr>
        <w:tc>
          <w:tcPr>
            <w:tcW w:w="2435" w:type="dxa"/>
            <w:tcBorders>
              <w:bottom w:val="nil"/>
            </w:tcBorders>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Fonds de réserve </w:t>
            </w:r>
          </w:p>
        </w:tc>
        <w:tc>
          <w:tcPr>
            <w:tcW w:w="1080" w:type="dxa"/>
            <w:tcBorders>
              <w:bottom w:val="nil"/>
            </w:tcBorders>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2 667 </w:t>
            </w:r>
          </w:p>
        </w:tc>
        <w:tc>
          <w:tcPr>
            <w:tcW w:w="900" w:type="dxa"/>
            <w:tcBorders>
              <w:bottom w:val="nil"/>
            </w:tcBorders>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2 667 </w:t>
            </w:r>
          </w:p>
        </w:tc>
        <w:tc>
          <w:tcPr>
            <w:tcW w:w="1080" w:type="dxa"/>
            <w:tcBorders>
              <w:bottom w:val="nil"/>
            </w:tcBorders>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3 333 </w:t>
            </w:r>
          </w:p>
        </w:tc>
        <w:tc>
          <w:tcPr>
            <w:tcW w:w="1080" w:type="dxa"/>
            <w:tcBorders>
              <w:bottom w:val="nil"/>
            </w:tcBorders>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5 000 </w:t>
            </w:r>
          </w:p>
        </w:tc>
        <w:tc>
          <w:tcPr>
            <w:tcW w:w="1558" w:type="dxa"/>
            <w:tcBorders>
              <w:bottom w:val="nil"/>
            </w:tcBorders>
          </w:tcPr>
          <w:p w:rsidR="00000000" w:rsidRDefault="00000000">
            <w:pPr>
              <w:tabs>
                <w:tab w:val="decimal" w:pos="650"/>
              </w:tabs>
              <w:autoSpaceDE w:val="0"/>
              <w:autoSpaceDN w:val="0"/>
              <w:adjustRightInd w:val="0"/>
              <w:spacing w:before="60" w:after="60"/>
              <w:rPr>
                <w:color w:val="000000"/>
                <w:sz w:val="20"/>
                <w:szCs w:val="20"/>
                <w:lang w:val="fr-FR"/>
              </w:rPr>
            </w:pPr>
            <w:r>
              <w:rPr>
                <w:color w:val="000000"/>
                <w:sz w:val="20"/>
                <w:szCs w:val="20"/>
                <w:lang w:val="fr-FR"/>
              </w:rPr>
              <w:t xml:space="preserve">122,22 </w:t>
            </w:r>
          </w:p>
        </w:tc>
        <w:tc>
          <w:tcPr>
            <w:tcW w:w="1109" w:type="dxa"/>
            <w:tcBorders>
              <w:bottom w:val="nil"/>
            </w:tcBorders>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2 333  </w:t>
            </w:r>
          </w:p>
        </w:tc>
      </w:tr>
      <w:tr w:rsidR="00000000">
        <w:tblPrEx>
          <w:tblCellMar>
            <w:top w:w="0" w:type="dxa"/>
            <w:bottom w:w="0" w:type="dxa"/>
          </w:tblCellMar>
        </w:tblPrEx>
        <w:trPr>
          <w:jc w:val="center"/>
        </w:trPr>
        <w:tc>
          <w:tcPr>
            <w:tcW w:w="2435" w:type="dxa"/>
            <w:tcBorders>
              <w:top w:val="nil"/>
              <w:bottom w:val="single" w:sz="4" w:space="0" w:color="auto"/>
            </w:tcBorders>
          </w:tcPr>
          <w:p w:rsidR="00000000" w:rsidRDefault="00000000">
            <w:pPr>
              <w:tabs>
                <w:tab w:val="left" w:pos="205"/>
              </w:tabs>
              <w:autoSpaceDE w:val="0"/>
              <w:autoSpaceDN w:val="0"/>
              <w:adjustRightInd w:val="0"/>
              <w:spacing w:before="60" w:after="60"/>
              <w:rPr>
                <w:color w:val="000000"/>
                <w:sz w:val="20"/>
                <w:szCs w:val="20"/>
                <w:lang w:val="fr-FR"/>
              </w:rPr>
            </w:pPr>
            <w:r>
              <w:rPr>
                <w:color w:val="000000"/>
                <w:sz w:val="20"/>
                <w:szCs w:val="20"/>
                <w:lang w:val="fr-FR"/>
              </w:rPr>
              <w:tab/>
              <w:t xml:space="preserve">Revenu total </w:t>
            </w:r>
          </w:p>
        </w:tc>
        <w:tc>
          <w:tcPr>
            <w:tcW w:w="1080" w:type="dxa"/>
            <w:tcBorders>
              <w:top w:val="nil"/>
              <w:bottom w:val="single" w:sz="4" w:space="0" w:color="auto"/>
            </w:tcBorders>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49 400 </w:t>
            </w:r>
          </w:p>
        </w:tc>
        <w:tc>
          <w:tcPr>
            <w:tcW w:w="900" w:type="dxa"/>
            <w:tcBorders>
              <w:top w:val="nil"/>
              <w:bottom w:val="single" w:sz="4" w:space="0" w:color="auto"/>
            </w:tcBorders>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53 533 </w:t>
            </w:r>
          </w:p>
        </w:tc>
        <w:tc>
          <w:tcPr>
            <w:tcW w:w="1080" w:type="dxa"/>
            <w:tcBorders>
              <w:top w:val="nil"/>
              <w:bottom w:val="single" w:sz="4" w:space="0" w:color="auto"/>
            </w:tcBorders>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82 500 </w:t>
            </w:r>
          </w:p>
        </w:tc>
        <w:tc>
          <w:tcPr>
            <w:tcW w:w="1080" w:type="dxa"/>
            <w:tcBorders>
              <w:top w:val="nil"/>
              <w:bottom w:val="single" w:sz="4" w:space="0" w:color="auto"/>
            </w:tcBorders>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112 367 </w:t>
            </w:r>
          </w:p>
        </w:tc>
        <w:tc>
          <w:tcPr>
            <w:tcW w:w="1558" w:type="dxa"/>
            <w:tcBorders>
              <w:top w:val="nil"/>
              <w:bottom w:val="single" w:sz="4" w:space="0" w:color="auto"/>
            </w:tcBorders>
          </w:tcPr>
          <w:p w:rsidR="00000000" w:rsidRDefault="00000000">
            <w:pPr>
              <w:tabs>
                <w:tab w:val="decimal" w:pos="650"/>
              </w:tabs>
              <w:autoSpaceDE w:val="0"/>
              <w:autoSpaceDN w:val="0"/>
              <w:adjustRightInd w:val="0"/>
              <w:spacing w:before="60" w:after="60"/>
              <w:rPr>
                <w:color w:val="000000"/>
                <w:sz w:val="20"/>
                <w:szCs w:val="20"/>
                <w:lang w:val="fr-FR"/>
              </w:rPr>
            </w:pPr>
            <w:r>
              <w:rPr>
                <w:color w:val="000000"/>
                <w:sz w:val="20"/>
                <w:szCs w:val="20"/>
                <w:lang w:val="fr-FR"/>
              </w:rPr>
              <w:t xml:space="preserve">175,18 </w:t>
            </w:r>
          </w:p>
        </w:tc>
        <w:tc>
          <w:tcPr>
            <w:tcW w:w="1109" w:type="dxa"/>
            <w:tcBorders>
              <w:top w:val="nil"/>
              <w:bottom w:val="single" w:sz="4" w:space="0" w:color="auto"/>
            </w:tcBorders>
          </w:tcPr>
          <w:p w:rsidR="00000000" w:rsidRDefault="00000000">
            <w:pPr>
              <w:autoSpaceDE w:val="0"/>
              <w:autoSpaceDN w:val="0"/>
              <w:adjustRightInd w:val="0"/>
              <w:spacing w:before="60" w:after="60"/>
              <w:ind w:right="113"/>
              <w:jc w:val="right"/>
              <w:rPr>
                <w:color w:val="000000"/>
                <w:sz w:val="20"/>
                <w:szCs w:val="20"/>
                <w:lang w:val="fr-FR"/>
              </w:rPr>
            </w:pPr>
            <w:r>
              <w:rPr>
                <w:color w:val="000000"/>
                <w:sz w:val="20"/>
                <w:szCs w:val="20"/>
                <w:lang w:val="fr-FR"/>
              </w:rPr>
              <w:t xml:space="preserve">62 967  </w:t>
            </w:r>
          </w:p>
        </w:tc>
      </w:tr>
    </w:tbl>
    <w:p w:rsidR="00000000" w:rsidRDefault="00000000">
      <w:pPr>
        <w:autoSpaceDE w:val="0"/>
        <w:autoSpaceDN w:val="0"/>
        <w:adjustRightInd w:val="0"/>
        <w:spacing w:after="240"/>
        <w:rPr>
          <w:b/>
          <w:bCs/>
          <w:color w:val="000000"/>
          <w:szCs w:val="20"/>
          <w:lang w:val="fr-FR"/>
        </w:rPr>
      </w:pPr>
    </w:p>
    <w:p w:rsidR="00000000" w:rsidRDefault="00000000">
      <w:pPr>
        <w:autoSpaceDE w:val="0"/>
        <w:autoSpaceDN w:val="0"/>
        <w:adjustRightInd w:val="0"/>
        <w:jc w:val="center"/>
        <w:rPr>
          <w:b/>
          <w:bCs/>
          <w:color w:val="000000"/>
          <w:sz w:val="20"/>
          <w:szCs w:val="20"/>
          <w:lang w:val="fr-FR"/>
        </w:rPr>
      </w:pPr>
      <w:r>
        <w:rPr>
          <w:b/>
          <w:bCs/>
          <w:color w:val="000000"/>
          <w:sz w:val="20"/>
          <w:szCs w:val="20"/>
          <w:lang w:val="fr-FR"/>
        </w:rPr>
        <w:t>Revenu total du travailleur en général</w:t>
      </w:r>
    </w:p>
    <w:p w:rsidR="00000000" w:rsidRDefault="00000000">
      <w:pPr>
        <w:autoSpaceDE w:val="0"/>
        <w:autoSpaceDN w:val="0"/>
        <w:adjustRightInd w:val="0"/>
        <w:jc w:val="center"/>
        <w:rPr>
          <w:b/>
          <w:bCs/>
          <w:color w:val="000000"/>
          <w:sz w:val="20"/>
          <w:szCs w:val="20"/>
          <w:lang w:val="fr-FR"/>
        </w:rPr>
      </w:pPr>
      <w:r>
        <w:rPr>
          <w:b/>
          <w:bCs/>
          <w:color w:val="000000"/>
          <w:sz w:val="20"/>
          <w:szCs w:val="20"/>
          <w:lang w:val="fr-FR"/>
        </w:rPr>
        <w:t>Durent Ballen-Dahik-Peña Triviño  (août 1992-août 1996)</w:t>
      </w:r>
    </w:p>
    <w:p w:rsidR="00000000" w:rsidRDefault="00000000">
      <w:pPr>
        <w:autoSpaceDE w:val="0"/>
        <w:autoSpaceDN w:val="0"/>
        <w:adjustRightInd w:val="0"/>
        <w:spacing w:after="120"/>
        <w:jc w:val="center"/>
        <w:rPr>
          <w:b/>
          <w:bCs/>
          <w:i/>
          <w:iCs/>
          <w:color w:val="000000"/>
          <w:sz w:val="20"/>
          <w:szCs w:val="20"/>
          <w:lang w:val="fr-FR"/>
        </w:rPr>
      </w:pPr>
      <w:r>
        <w:rPr>
          <w:b/>
          <w:bCs/>
          <w:i/>
          <w:iCs/>
          <w:color w:val="000000"/>
          <w:sz w:val="20"/>
          <w:szCs w:val="20"/>
          <w:lang w:val="fr-FR"/>
        </w:rPr>
        <w:t>(En sucres)</w:t>
      </w:r>
    </w:p>
    <w:tbl>
      <w:tblPr>
        <w:tblW w:w="9299" w:type="dxa"/>
        <w:jc w:val="center"/>
        <w:tblBorders>
          <w:top w:val="single" w:sz="4" w:space="0" w:color="auto"/>
        </w:tblBorders>
        <w:tblLayout w:type="fixed"/>
        <w:tblCellMar>
          <w:left w:w="40" w:type="dxa"/>
          <w:right w:w="40" w:type="dxa"/>
        </w:tblCellMar>
        <w:tblLook w:val="0000" w:firstRow="0" w:lastRow="0" w:firstColumn="0" w:lastColumn="0" w:noHBand="0" w:noVBand="0"/>
      </w:tblPr>
      <w:tblGrid>
        <w:gridCol w:w="1899"/>
        <w:gridCol w:w="744"/>
        <w:gridCol w:w="1080"/>
        <w:gridCol w:w="1080"/>
        <w:gridCol w:w="1080"/>
        <w:gridCol w:w="900"/>
        <w:gridCol w:w="1463"/>
        <w:gridCol w:w="1053"/>
      </w:tblGrid>
      <w:tr w:rsidR="00000000">
        <w:tblPrEx>
          <w:tblCellMar>
            <w:top w:w="0" w:type="dxa"/>
            <w:bottom w:w="0" w:type="dxa"/>
          </w:tblCellMar>
        </w:tblPrEx>
        <w:trPr>
          <w:cantSplit/>
          <w:jc w:val="center"/>
        </w:trPr>
        <w:tc>
          <w:tcPr>
            <w:tcW w:w="1899" w:type="dxa"/>
            <w:vMerge w:val="restart"/>
            <w:vAlign w:val="center"/>
          </w:tcPr>
          <w:p w:rsidR="00000000" w:rsidRDefault="00000000">
            <w:pPr>
              <w:autoSpaceDE w:val="0"/>
              <w:autoSpaceDN w:val="0"/>
              <w:adjustRightInd w:val="0"/>
              <w:spacing w:before="60" w:after="60"/>
              <w:jc w:val="center"/>
              <w:rPr>
                <w:b/>
                <w:bCs/>
                <w:i/>
                <w:iCs/>
                <w:color w:val="000000"/>
                <w:sz w:val="20"/>
                <w:szCs w:val="20"/>
                <w:lang w:val="fr-FR"/>
              </w:rPr>
            </w:pPr>
            <w:r>
              <w:rPr>
                <w:b/>
                <w:bCs/>
                <w:i/>
                <w:iCs/>
                <w:color w:val="000000"/>
                <w:sz w:val="20"/>
                <w:szCs w:val="20"/>
                <w:lang w:val="fr-FR"/>
              </w:rPr>
              <w:t>Poste\Année</w:t>
            </w:r>
          </w:p>
        </w:tc>
        <w:tc>
          <w:tcPr>
            <w:tcW w:w="744"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0"/>
                <w:lang w:val="fr-FR"/>
              </w:rPr>
            </w:pPr>
            <w:r>
              <w:rPr>
                <w:b/>
                <w:bCs/>
                <w:i/>
                <w:iCs/>
                <w:color w:val="000000"/>
                <w:sz w:val="20"/>
                <w:szCs w:val="20"/>
                <w:lang w:val="fr-FR"/>
              </w:rPr>
              <w:t>1992</w:t>
            </w:r>
          </w:p>
        </w:tc>
        <w:tc>
          <w:tcPr>
            <w:tcW w:w="108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0"/>
                <w:lang w:val="fr-FR"/>
              </w:rPr>
            </w:pPr>
            <w:r>
              <w:rPr>
                <w:b/>
                <w:bCs/>
                <w:i/>
                <w:iCs/>
                <w:color w:val="000000"/>
                <w:sz w:val="20"/>
                <w:szCs w:val="20"/>
                <w:lang w:val="fr-FR"/>
              </w:rPr>
              <w:t>1994</w:t>
            </w:r>
          </w:p>
        </w:tc>
        <w:tc>
          <w:tcPr>
            <w:tcW w:w="108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0"/>
                <w:lang w:val="fr-FR"/>
              </w:rPr>
            </w:pPr>
            <w:r>
              <w:rPr>
                <w:b/>
                <w:bCs/>
                <w:i/>
                <w:iCs/>
                <w:color w:val="000000"/>
                <w:sz w:val="20"/>
                <w:szCs w:val="20"/>
                <w:lang w:val="fr-FR"/>
              </w:rPr>
              <w:t>1995</w:t>
            </w:r>
          </w:p>
        </w:tc>
        <w:tc>
          <w:tcPr>
            <w:tcW w:w="1980" w:type="dxa"/>
            <w:gridSpan w:val="2"/>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0"/>
                <w:lang w:val="fr-FR"/>
              </w:rPr>
            </w:pPr>
            <w:r>
              <w:rPr>
                <w:b/>
                <w:bCs/>
                <w:i/>
                <w:iCs/>
                <w:color w:val="000000"/>
                <w:sz w:val="20"/>
                <w:szCs w:val="20"/>
                <w:lang w:val="fr-FR"/>
              </w:rPr>
              <w:t>1996</w:t>
            </w:r>
          </w:p>
        </w:tc>
        <w:tc>
          <w:tcPr>
            <w:tcW w:w="2516" w:type="dxa"/>
            <w:gridSpan w:val="2"/>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0"/>
                <w:lang w:val="fr-FR"/>
              </w:rPr>
            </w:pPr>
            <w:r>
              <w:rPr>
                <w:b/>
                <w:bCs/>
                <w:i/>
                <w:iCs/>
                <w:color w:val="000000"/>
                <w:sz w:val="20"/>
                <w:szCs w:val="20"/>
                <w:lang w:val="fr-FR"/>
              </w:rPr>
              <w:t xml:space="preserve">Accroissement au cours </w:t>
            </w:r>
            <w:r>
              <w:rPr>
                <w:b/>
                <w:bCs/>
                <w:i/>
                <w:iCs/>
                <w:color w:val="000000"/>
                <w:sz w:val="20"/>
                <w:szCs w:val="20"/>
                <w:lang w:val="fr-FR"/>
              </w:rPr>
              <w:br/>
              <w:t>de la période</w:t>
            </w:r>
          </w:p>
        </w:tc>
      </w:tr>
      <w:tr w:rsidR="00000000">
        <w:tblPrEx>
          <w:tblCellMar>
            <w:top w:w="0" w:type="dxa"/>
            <w:bottom w:w="0" w:type="dxa"/>
          </w:tblCellMar>
        </w:tblPrEx>
        <w:trPr>
          <w:cantSplit/>
          <w:jc w:val="center"/>
        </w:trPr>
        <w:tc>
          <w:tcPr>
            <w:tcW w:w="1899" w:type="dxa"/>
            <w:vMerge/>
            <w:tcBorders>
              <w:bottom w:val="single" w:sz="4" w:space="0" w:color="auto"/>
            </w:tcBorders>
            <w:vAlign w:val="center"/>
          </w:tcPr>
          <w:p w:rsidR="00000000" w:rsidRDefault="00000000">
            <w:pPr>
              <w:autoSpaceDE w:val="0"/>
              <w:autoSpaceDN w:val="0"/>
              <w:adjustRightInd w:val="0"/>
              <w:spacing w:before="60" w:after="60"/>
              <w:jc w:val="center"/>
              <w:rPr>
                <w:i/>
                <w:iCs/>
                <w:color w:val="000000"/>
                <w:sz w:val="20"/>
                <w:szCs w:val="20"/>
                <w:lang w:val="fr-FR"/>
              </w:rPr>
            </w:pPr>
          </w:p>
        </w:tc>
        <w:tc>
          <w:tcPr>
            <w:tcW w:w="744"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i/>
                <w:iCs/>
                <w:color w:val="000000"/>
                <w:sz w:val="20"/>
                <w:szCs w:val="20"/>
                <w:lang w:val="fr-FR"/>
              </w:rPr>
            </w:pPr>
            <w:r>
              <w:rPr>
                <w:i/>
                <w:iCs/>
                <w:color w:val="000000"/>
                <w:sz w:val="20"/>
                <w:szCs w:val="20"/>
                <w:lang w:val="fr-FR"/>
              </w:rPr>
              <w:t>10 août</w:t>
            </w:r>
          </w:p>
        </w:tc>
        <w:tc>
          <w:tcPr>
            <w:tcW w:w="108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i/>
                <w:iCs/>
                <w:color w:val="000000"/>
                <w:sz w:val="20"/>
                <w:szCs w:val="20"/>
                <w:lang w:val="fr-FR"/>
              </w:rPr>
            </w:pPr>
            <w:r>
              <w:rPr>
                <w:i/>
                <w:iCs/>
                <w:color w:val="000000"/>
                <w:sz w:val="20"/>
                <w:szCs w:val="20"/>
                <w:lang w:val="fr-FR"/>
              </w:rPr>
              <w:t>1er janvier</w:t>
            </w:r>
          </w:p>
        </w:tc>
        <w:tc>
          <w:tcPr>
            <w:tcW w:w="108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i/>
                <w:iCs/>
                <w:color w:val="000000"/>
                <w:sz w:val="20"/>
                <w:szCs w:val="20"/>
                <w:lang w:val="fr-FR"/>
              </w:rPr>
            </w:pPr>
            <w:r>
              <w:rPr>
                <w:i/>
                <w:iCs/>
                <w:color w:val="000000"/>
                <w:sz w:val="20"/>
                <w:szCs w:val="20"/>
                <w:lang w:val="fr-FR"/>
              </w:rPr>
              <w:t>1</w:t>
            </w:r>
            <w:r>
              <w:rPr>
                <w:i/>
                <w:iCs/>
                <w:color w:val="000000"/>
                <w:sz w:val="20"/>
                <w:szCs w:val="20"/>
                <w:vertAlign w:val="superscript"/>
                <w:lang w:val="fr-FR"/>
              </w:rPr>
              <w:t>er</w:t>
            </w:r>
            <w:r>
              <w:rPr>
                <w:i/>
                <w:iCs/>
                <w:color w:val="000000"/>
                <w:sz w:val="20"/>
                <w:szCs w:val="20"/>
                <w:lang w:val="fr-FR"/>
              </w:rPr>
              <w:t xml:space="preserve"> janvier</w:t>
            </w:r>
          </w:p>
        </w:tc>
        <w:tc>
          <w:tcPr>
            <w:tcW w:w="108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i/>
                <w:iCs/>
                <w:color w:val="000000"/>
                <w:sz w:val="20"/>
                <w:szCs w:val="20"/>
                <w:lang w:val="fr-FR"/>
              </w:rPr>
            </w:pPr>
            <w:r>
              <w:rPr>
                <w:i/>
                <w:iCs/>
                <w:color w:val="000000"/>
                <w:sz w:val="20"/>
                <w:szCs w:val="20"/>
                <w:lang w:val="fr-FR"/>
              </w:rPr>
              <w:t>1</w:t>
            </w:r>
            <w:r>
              <w:rPr>
                <w:i/>
                <w:iCs/>
                <w:color w:val="000000"/>
                <w:sz w:val="20"/>
                <w:szCs w:val="20"/>
                <w:vertAlign w:val="superscript"/>
                <w:lang w:val="fr-FR"/>
              </w:rPr>
              <w:t>er</w:t>
            </w:r>
            <w:r>
              <w:rPr>
                <w:i/>
                <w:iCs/>
                <w:color w:val="000000"/>
                <w:sz w:val="20"/>
                <w:szCs w:val="20"/>
                <w:lang w:val="fr-FR"/>
              </w:rPr>
              <w:t xml:space="preserve"> janvier</w:t>
            </w:r>
          </w:p>
        </w:tc>
        <w:tc>
          <w:tcPr>
            <w:tcW w:w="90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i/>
                <w:iCs/>
                <w:color w:val="000000"/>
                <w:sz w:val="20"/>
                <w:szCs w:val="20"/>
                <w:lang w:val="fr-FR"/>
              </w:rPr>
            </w:pPr>
            <w:r>
              <w:rPr>
                <w:i/>
                <w:iCs/>
                <w:color w:val="000000"/>
                <w:sz w:val="20"/>
                <w:szCs w:val="20"/>
                <w:lang w:val="fr-FR"/>
              </w:rPr>
              <w:t>1er juillet</w:t>
            </w:r>
          </w:p>
        </w:tc>
        <w:tc>
          <w:tcPr>
            <w:tcW w:w="1463"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i/>
                <w:iCs/>
                <w:color w:val="000000"/>
                <w:sz w:val="20"/>
                <w:szCs w:val="20"/>
                <w:lang w:val="fr-FR"/>
              </w:rPr>
            </w:pPr>
            <w:r>
              <w:rPr>
                <w:i/>
                <w:iCs/>
                <w:color w:val="000000"/>
                <w:sz w:val="20"/>
                <w:szCs w:val="20"/>
                <w:lang w:val="fr-FR"/>
              </w:rPr>
              <w:t>En pourcentage</w:t>
            </w:r>
          </w:p>
        </w:tc>
        <w:tc>
          <w:tcPr>
            <w:tcW w:w="1053"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i/>
                <w:iCs/>
                <w:color w:val="000000"/>
                <w:sz w:val="20"/>
                <w:szCs w:val="20"/>
                <w:lang w:val="fr-FR"/>
              </w:rPr>
            </w:pPr>
            <w:r>
              <w:rPr>
                <w:i/>
                <w:iCs/>
                <w:color w:val="000000"/>
                <w:sz w:val="20"/>
                <w:szCs w:val="20"/>
                <w:lang w:val="fr-FR"/>
              </w:rPr>
              <w:t>En valeur absolue</w:t>
            </w:r>
          </w:p>
        </w:tc>
      </w:tr>
      <w:tr w:rsidR="00000000">
        <w:tblPrEx>
          <w:tblCellMar>
            <w:top w:w="0" w:type="dxa"/>
            <w:bottom w:w="0" w:type="dxa"/>
          </w:tblCellMar>
        </w:tblPrEx>
        <w:trPr>
          <w:jc w:val="center"/>
        </w:trPr>
        <w:tc>
          <w:tcPr>
            <w:tcW w:w="1899" w:type="dxa"/>
            <w:tcBorders>
              <w:top w:val="single" w:sz="4" w:space="0" w:color="auto"/>
            </w:tcBorders>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Salaire minimal vital </w:t>
            </w:r>
          </w:p>
        </w:tc>
        <w:tc>
          <w:tcPr>
            <w:tcW w:w="744" w:type="dxa"/>
            <w:tcBorders>
              <w:top w:val="single" w:sz="4" w:space="0" w:color="auto"/>
            </w:tcBorders>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60 000 </w:t>
            </w:r>
          </w:p>
        </w:tc>
        <w:tc>
          <w:tcPr>
            <w:tcW w:w="1080" w:type="dxa"/>
            <w:tcBorders>
              <w:top w:val="single" w:sz="4" w:space="0" w:color="auto"/>
            </w:tcBorders>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66 000  </w:t>
            </w:r>
          </w:p>
        </w:tc>
        <w:tc>
          <w:tcPr>
            <w:tcW w:w="1080" w:type="dxa"/>
            <w:tcBorders>
              <w:top w:val="single" w:sz="4" w:space="0" w:color="auto"/>
            </w:tcBorders>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75 000  </w:t>
            </w:r>
          </w:p>
        </w:tc>
        <w:tc>
          <w:tcPr>
            <w:tcW w:w="1080" w:type="dxa"/>
            <w:tcBorders>
              <w:top w:val="single" w:sz="4" w:space="0" w:color="auto"/>
            </w:tcBorders>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95 000 </w:t>
            </w:r>
          </w:p>
        </w:tc>
        <w:tc>
          <w:tcPr>
            <w:tcW w:w="900" w:type="dxa"/>
            <w:tcBorders>
              <w:top w:val="single" w:sz="4" w:space="0" w:color="auto"/>
            </w:tcBorders>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95 000 </w:t>
            </w:r>
          </w:p>
        </w:tc>
        <w:tc>
          <w:tcPr>
            <w:tcW w:w="1463" w:type="dxa"/>
            <w:tcBorders>
              <w:top w:val="single" w:sz="4" w:space="0" w:color="auto"/>
            </w:tcBorders>
          </w:tcPr>
          <w:p w:rsidR="00000000" w:rsidRDefault="00000000">
            <w:pPr>
              <w:tabs>
                <w:tab w:val="decimal" w:pos="680"/>
              </w:tabs>
              <w:autoSpaceDE w:val="0"/>
              <w:autoSpaceDN w:val="0"/>
              <w:adjustRightInd w:val="0"/>
              <w:spacing w:before="60" w:after="60"/>
              <w:rPr>
                <w:color w:val="000000"/>
                <w:sz w:val="20"/>
                <w:szCs w:val="20"/>
                <w:lang w:val="fr-FR"/>
              </w:rPr>
            </w:pPr>
            <w:r>
              <w:rPr>
                <w:color w:val="000000"/>
                <w:sz w:val="20"/>
                <w:szCs w:val="20"/>
                <w:lang w:val="fr-FR"/>
              </w:rPr>
              <w:t xml:space="preserve">58,33 </w:t>
            </w:r>
          </w:p>
        </w:tc>
        <w:tc>
          <w:tcPr>
            <w:tcW w:w="1053" w:type="dxa"/>
            <w:tcBorders>
              <w:top w:val="single" w:sz="4" w:space="0" w:color="auto"/>
            </w:tcBorders>
          </w:tcPr>
          <w:p w:rsidR="00000000" w:rsidRDefault="00000000">
            <w:pPr>
              <w:autoSpaceDE w:val="0"/>
              <w:autoSpaceDN w:val="0"/>
              <w:adjustRightInd w:val="0"/>
              <w:spacing w:before="60" w:after="60"/>
              <w:ind w:right="170"/>
              <w:jc w:val="right"/>
              <w:rPr>
                <w:color w:val="000000"/>
                <w:sz w:val="20"/>
                <w:szCs w:val="20"/>
                <w:lang w:val="fr-FR"/>
              </w:rPr>
            </w:pPr>
            <w:r>
              <w:rPr>
                <w:color w:val="000000"/>
                <w:sz w:val="20"/>
                <w:szCs w:val="20"/>
                <w:lang w:val="fr-FR"/>
              </w:rPr>
              <w:t xml:space="preserve">35 000  </w:t>
            </w:r>
          </w:p>
        </w:tc>
      </w:tr>
      <w:tr w:rsidR="00000000">
        <w:tblPrEx>
          <w:tblCellMar>
            <w:top w:w="0" w:type="dxa"/>
            <w:bottom w:w="0" w:type="dxa"/>
          </w:tblCellMar>
        </w:tblPrEx>
        <w:trPr>
          <w:jc w:val="center"/>
        </w:trPr>
        <w:tc>
          <w:tcPr>
            <w:tcW w:w="1899" w:type="dxa"/>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Indemnité du coût de la vie </w:t>
            </w:r>
          </w:p>
        </w:tc>
        <w:tc>
          <w:tcPr>
            <w:tcW w:w="744"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20 000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100 000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125 000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145 000 </w:t>
            </w:r>
          </w:p>
        </w:tc>
        <w:tc>
          <w:tcPr>
            <w:tcW w:w="90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155 000 </w:t>
            </w:r>
          </w:p>
        </w:tc>
        <w:tc>
          <w:tcPr>
            <w:tcW w:w="1463" w:type="dxa"/>
          </w:tcPr>
          <w:p w:rsidR="00000000" w:rsidRDefault="00000000">
            <w:pPr>
              <w:tabs>
                <w:tab w:val="decimal" w:pos="680"/>
              </w:tabs>
              <w:autoSpaceDE w:val="0"/>
              <w:autoSpaceDN w:val="0"/>
              <w:adjustRightInd w:val="0"/>
              <w:spacing w:before="60" w:after="60"/>
              <w:rPr>
                <w:color w:val="000000"/>
                <w:sz w:val="20"/>
                <w:szCs w:val="20"/>
                <w:lang w:val="fr-FR"/>
              </w:rPr>
            </w:pPr>
            <w:r>
              <w:rPr>
                <w:color w:val="000000"/>
                <w:sz w:val="20"/>
                <w:szCs w:val="20"/>
                <w:lang w:val="fr-FR"/>
              </w:rPr>
              <w:t xml:space="preserve">675,00  </w:t>
            </w:r>
          </w:p>
        </w:tc>
        <w:tc>
          <w:tcPr>
            <w:tcW w:w="1053" w:type="dxa"/>
          </w:tcPr>
          <w:p w:rsidR="00000000" w:rsidRDefault="00000000">
            <w:pPr>
              <w:autoSpaceDE w:val="0"/>
              <w:autoSpaceDN w:val="0"/>
              <w:adjustRightInd w:val="0"/>
              <w:spacing w:before="60" w:after="60"/>
              <w:ind w:right="170"/>
              <w:jc w:val="right"/>
              <w:rPr>
                <w:color w:val="000000"/>
                <w:sz w:val="20"/>
                <w:szCs w:val="20"/>
                <w:lang w:val="fr-FR"/>
              </w:rPr>
            </w:pPr>
            <w:r>
              <w:rPr>
                <w:color w:val="000000"/>
                <w:sz w:val="20"/>
                <w:szCs w:val="20"/>
                <w:lang w:val="fr-FR"/>
              </w:rPr>
              <w:t xml:space="preserve">135 000  </w:t>
            </w:r>
          </w:p>
        </w:tc>
      </w:tr>
      <w:tr w:rsidR="00000000">
        <w:tblPrEx>
          <w:tblCellMar>
            <w:top w:w="0" w:type="dxa"/>
            <w:bottom w:w="0" w:type="dxa"/>
          </w:tblCellMar>
        </w:tblPrEx>
        <w:trPr>
          <w:jc w:val="center"/>
        </w:trPr>
        <w:tc>
          <w:tcPr>
            <w:tcW w:w="1899" w:type="dxa"/>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Allocation complémentaire </w:t>
            </w:r>
          </w:p>
        </w:tc>
        <w:tc>
          <w:tcPr>
            <w:tcW w:w="744"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1 000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1 000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96 000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180 000 </w:t>
            </w:r>
          </w:p>
        </w:tc>
        <w:tc>
          <w:tcPr>
            <w:tcW w:w="90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240 000 </w:t>
            </w:r>
          </w:p>
        </w:tc>
        <w:tc>
          <w:tcPr>
            <w:tcW w:w="1463" w:type="dxa"/>
          </w:tcPr>
          <w:p w:rsidR="00000000" w:rsidRDefault="00000000">
            <w:pPr>
              <w:tabs>
                <w:tab w:val="decimal" w:pos="680"/>
              </w:tabs>
              <w:autoSpaceDE w:val="0"/>
              <w:autoSpaceDN w:val="0"/>
              <w:adjustRightInd w:val="0"/>
              <w:spacing w:before="60" w:after="60"/>
              <w:rPr>
                <w:color w:val="000000"/>
                <w:sz w:val="20"/>
                <w:szCs w:val="20"/>
                <w:lang w:val="fr-FR"/>
              </w:rPr>
            </w:pPr>
            <w:r>
              <w:rPr>
                <w:color w:val="000000"/>
                <w:sz w:val="20"/>
                <w:szCs w:val="20"/>
                <w:lang w:val="fr-FR"/>
              </w:rPr>
              <w:t xml:space="preserve">23 900,00  </w:t>
            </w:r>
          </w:p>
        </w:tc>
        <w:tc>
          <w:tcPr>
            <w:tcW w:w="1053" w:type="dxa"/>
          </w:tcPr>
          <w:p w:rsidR="00000000" w:rsidRDefault="00000000">
            <w:pPr>
              <w:autoSpaceDE w:val="0"/>
              <w:autoSpaceDN w:val="0"/>
              <w:adjustRightInd w:val="0"/>
              <w:spacing w:before="60" w:after="60"/>
              <w:ind w:right="170"/>
              <w:jc w:val="right"/>
              <w:rPr>
                <w:color w:val="000000"/>
                <w:sz w:val="20"/>
                <w:szCs w:val="20"/>
                <w:lang w:val="fr-FR"/>
              </w:rPr>
            </w:pPr>
            <w:r>
              <w:rPr>
                <w:color w:val="000000"/>
                <w:sz w:val="20"/>
                <w:szCs w:val="20"/>
                <w:lang w:val="fr-FR"/>
              </w:rPr>
              <w:t xml:space="preserve">239 000  </w:t>
            </w:r>
          </w:p>
        </w:tc>
      </w:tr>
      <w:tr w:rsidR="00000000">
        <w:tblPrEx>
          <w:tblCellMar>
            <w:top w:w="0" w:type="dxa"/>
            <w:bottom w:w="0" w:type="dxa"/>
          </w:tblCellMar>
        </w:tblPrEx>
        <w:trPr>
          <w:jc w:val="center"/>
        </w:trPr>
        <w:tc>
          <w:tcPr>
            <w:tcW w:w="1899" w:type="dxa"/>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Indemnité de transport </w:t>
            </w:r>
          </w:p>
        </w:tc>
        <w:tc>
          <w:tcPr>
            <w:tcW w:w="744"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7 200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12 000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16 000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20 000 </w:t>
            </w:r>
          </w:p>
        </w:tc>
        <w:tc>
          <w:tcPr>
            <w:tcW w:w="90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20 000 </w:t>
            </w:r>
          </w:p>
        </w:tc>
        <w:tc>
          <w:tcPr>
            <w:tcW w:w="1463" w:type="dxa"/>
          </w:tcPr>
          <w:p w:rsidR="00000000" w:rsidRDefault="00000000">
            <w:pPr>
              <w:tabs>
                <w:tab w:val="decimal" w:pos="680"/>
              </w:tabs>
              <w:autoSpaceDE w:val="0"/>
              <w:autoSpaceDN w:val="0"/>
              <w:adjustRightInd w:val="0"/>
              <w:spacing w:before="60" w:after="60"/>
              <w:rPr>
                <w:color w:val="000000"/>
                <w:sz w:val="20"/>
                <w:szCs w:val="20"/>
                <w:lang w:val="fr-FR"/>
              </w:rPr>
            </w:pPr>
            <w:r>
              <w:rPr>
                <w:color w:val="000000"/>
                <w:sz w:val="20"/>
                <w:szCs w:val="20"/>
                <w:lang w:val="fr-FR"/>
              </w:rPr>
              <w:t xml:space="preserve">177,78  </w:t>
            </w:r>
          </w:p>
        </w:tc>
        <w:tc>
          <w:tcPr>
            <w:tcW w:w="1053" w:type="dxa"/>
          </w:tcPr>
          <w:p w:rsidR="00000000" w:rsidRDefault="00000000">
            <w:pPr>
              <w:autoSpaceDE w:val="0"/>
              <w:autoSpaceDN w:val="0"/>
              <w:adjustRightInd w:val="0"/>
              <w:spacing w:before="60" w:after="60"/>
              <w:ind w:right="170"/>
              <w:jc w:val="right"/>
              <w:rPr>
                <w:color w:val="000000"/>
                <w:sz w:val="20"/>
                <w:szCs w:val="20"/>
                <w:lang w:val="fr-FR"/>
              </w:rPr>
            </w:pPr>
            <w:r>
              <w:rPr>
                <w:color w:val="000000"/>
                <w:sz w:val="20"/>
                <w:szCs w:val="20"/>
                <w:lang w:val="fr-FR"/>
              </w:rPr>
              <w:t xml:space="preserve">12 800  </w:t>
            </w:r>
          </w:p>
        </w:tc>
      </w:tr>
      <w:tr w:rsidR="00000000">
        <w:tblPrEx>
          <w:tblCellMar>
            <w:top w:w="0" w:type="dxa"/>
            <w:bottom w:w="0" w:type="dxa"/>
          </w:tblCellMar>
        </w:tblPrEx>
        <w:trPr>
          <w:jc w:val="center"/>
        </w:trPr>
        <w:tc>
          <w:tcPr>
            <w:tcW w:w="1899" w:type="dxa"/>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Seizième salaire </w:t>
            </w:r>
          </w:p>
        </w:tc>
        <w:tc>
          <w:tcPr>
            <w:tcW w:w="744"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11 000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12 500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15 833 </w:t>
            </w:r>
          </w:p>
        </w:tc>
        <w:tc>
          <w:tcPr>
            <w:tcW w:w="90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15 833 </w:t>
            </w:r>
          </w:p>
        </w:tc>
        <w:tc>
          <w:tcPr>
            <w:tcW w:w="1463" w:type="dxa"/>
          </w:tcPr>
          <w:p w:rsidR="00000000" w:rsidRDefault="00000000">
            <w:pPr>
              <w:tabs>
                <w:tab w:val="decimal" w:pos="680"/>
              </w:tabs>
              <w:autoSpaceDE w:val="0"/>
              <w:autoSpaceDN w:val="0"/>
              <w:adjustRightInd w:val="0"/>
              <w:spacing w:before="60" w:after="60"/>
              <w:rPr>
                <w:color w:val="000000"/>
                <w:sz w:val="20"/>
                <w:szCs w:val="20"/>
                <w:lang w:val="fr-FR"/>
              </w:rPr>
            </w:pPr>
            <w:r>
              <w:rPr>
                <w:color w:val="000000"/>
                <w:sz w:val="20"/>
                <w:szCs w:val="20"/>
                <w:lang w:val="fr-FR"/>
              </w:rPr>
              <w:t xml:space="preserve">58,33  </w:t>
            </w:r>
          </w:p>
        </w:tc>
        <w:tc>
          <w:tcPr>
            <w:tcW w:w="1053" w:type="dxa"/>
          </w:tcPr>
          <w:p w:rsidR="00000000" w:rsidRDefault="00000000">
            <w:pPr>
              <w:autoSpaceDE w:val="0"/>
              <w:autoSpaceDN w:val="0"/>
              <w:adjustRightInd w:val="0"/>
              <w:spacing w:before="60" w:after="60"/>
              <w:ind w:right="170"/>
              <w:jc w:val="right"/>
              <w:rPr>
                <w:color w:val="000000"/>
                <w:sz w:val="20"/>
                <w:szCs w:val="20"/>
                <w:lang w:val="fr-FR"/>
              </w:rPr>
            </w:pPr>
            <w:r>
              <w:rPr>
                <w:color w:val="000000"/>
                <w:sz w:val="20"/>
                <w:szCs w:val="20"/>
                <w:lang w:val="fr-FR"/>
              </w:rPr>
              <w:t xml:space="preserve">15 833  </w:t>
            </w:r>
          </w:p>
        </w:tc>
      </w:tr>
      <w:tr w:rsidR="00000000">
        <w:tblPrEx>
          <w:tblCellMar>
            <w:top w:w="0" w:type="dxa"/>
            <w:bottom w:w="0" w:type="dxa"/>
          </w:tblCellMar>
        </w:tblPrEx>
        <w:trPr>
          <w:jc w:val="center"/>
        </w:trPr>
        <w:tc>
          <w:tcPr>
            <w:tcW w:w="1899" w:type="dxa"/>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Salaire mensuel nominal</w:t>
            </w:r>
          </w:p>
        </w:tc>
        <w:tc>
          <w:tcPr>
            <w:tcW w:w="744"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88 200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190 000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324 500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455 833 </w:t>
            </w:r>
          </w:p>
        </w:tc>
        <w:tc>
          <w:tcPr>
            <w:tcW w:w="90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485 833 </w:t>
            </w:r>
          </w:p>
        </w:tc>
        <w:tc>
          <w:tcPr>
            <w:tcW w:w="1463" w:type="dxa"/>
          </w:tcPr>
          <w:p w:rsidR="00000000" w:rsidRDefault="00000000">
            <w:pPr>
              <w:tabs>
                <w:tab w:val="decimal" w:pos="680"/>
              </w:tabs>
              <w:autoSpaceDE w:val="0"/>
              <w:autoSpaceDN w:val="0"/>
              <w:adjustRightInd w:val="0"/>
              <w:spacing w:before="60" w:after="60"/>
              <w:rPr>
                <w:color w:val="000000"/>
                <w:sz w:val="20"/>
                <w:szCs w:val="20"/>
                <w:lang w:val="fr-FR"/>
              </w:rPr>
            </w:pPr>
            <w:r>
              <w:rPr>
                <w:color w:val="000000"/>
                <w:sz w:val="20"/>
                <w:szCs w:val="20"/>
                <w:lang w:val="fr-FR"/>
              </w:rPr>
              <w:t xml:space="preserve">450,83  </w:t>
            </w:r>
          </w:p>
        </w:tc>
        <w:tc>
          <w:tcPr>
            <w:tcW w:w="1053" w:type="dxa"/>
          </w:tcPr>
          <w:p w:rsidR="00000000" w:rsidRDefault="00000000">
            <w:pPr>
              <w:autoSpaceDE w:val="0"/>
              <w:autoSpaceDN w:val="0"/>
              <w:adjustRightInd w:val="0"/>
              <w:spacing w:before="60" w:after="60"/>
              <w:ind w:right="170"/>
              <w:jc w:val="right"/>
              <w:rPr>
                <w:color w:val="000000"/>
                <w:sz w:val="20"/>
                <w:szCs w:val="20"/>
                <w:lang w:val="fr-FR"/>
              </w:rPr>
            </w:pPr>
            <w:r>
              <w:rPr>
                <w:color w:val="000000"/>
                <w:sz w:val="20"/>
                <w:szCs w:val="20"/>
                <w:lang w:val="fr-FR"/>
              </w:rPr>
              <w:t xml:space="preserve">397 633  </w:t>
            </w:r>
          </w:p>
        </w:tc>
      </w:tr>
      <w:tr w:rsidR="00000000">
        <w:tblPrEx>
          <w:tblCellMar>
            <w:top w:w="0" w:type="dxa"/>
            <w:bottom w:w="0" w:type="dxa"/>
          </w:tblCellMar>
        </w:tblPrEx>
        <w:trPr>
          <w:jc w:val="center"/>
        </w:trPr>
        <w:tc>
          <w:tcPr>
            <w:tcW w:w="1899" w:type="dxa"/>
          </w:tcPr>
          <w:p w:rsidR="00000000" w:rsidRDefault="00000000">
            <w:pPr>
              <w:autoSpaceDE w:val="0"/>
              <w:autoSpaceDN w:val="0"/>
              <w:adjustRightInd w:val="0"/>
              <w:spacing w:before="60" w:after="60"/>
              <w:rPr>
                <w:color w:val="000000"/>
                <w:sz w:val="20"/>
                <w:szCs w:val="20"/>
                <w:lang w:val="fr-FR"/>
              </w:rPr>
            </w:pPr>
          </w:p>
        </w:tc>
        <w:tc>
          <w:tcPr>
            <w:tcW w:w="744" w:type="dxa"/>
          </w:tcPr>
          <w:p w:rsidR="00000000" w:rsidRDefault="00000000">
            <w:pPr>
              <w:autoSpaceDE w:val="0"/>
              <w:autoSpaceDN w:val="0"/>
              <w:adjustRightInd w:val="0"/>
              <w:spacing w:before="60" w:after="60"/>
              <w:jc w:val="right"/>
              <w:rPr>
                <w:color w:val="000000"/>
                <w:sz w:val="20"/>
                <w:szCs w:val="20"/>
                <w:lang w:val="fr-FR"/>
              </w:rPr>
            </w:pPr>
          </w:p>
        </w:tc>
        <w:tc>
          <w:tcPr>
            <w:tcW w:w="1080" w:type="dxa"/>
          </w:tcPr>
          <w:p w:rsidR="00000000" w:rsidRDefault="00000000">
            <w:pPr>
              <w:autoSpaceDE w:val="0"/>
              <w:autoSpaceDN w:val="0"/>
              <w:adjustRightInd w:val="0"/>
              <w:spacing w:before="60" w:after="60"/>
              <w:jc w:val="right"/>
              <w:rPr>
                <w:color w:val="000000"/>
                <w:sz w:val="20"/>
                <w:szCs w:val="20"/>
                <w:lang w:val="fr-FR"/>
              </w:rPr>
            </w:pPr>
          </w:p>
        </w:tc>
        <w:tc>
          <w:tcPr>
            <w:tcW w:w="1080" w:type="dxa"/>
          </w:tcPr>
          <w:p w:rsidR="00000000" w:rsidRDefault="00000000">
            <w:pPr>
              <w:autoSpaceDE w:val="0"/>
              <w:autoSpaceDN w:val="0"/>
              <w:adjustRightInd w:val="0"/>
              <w:spacing w:before="60" w:after="60"/>
              <w:jc w:val="right"/>
              <w:rPr>
                <w:color w:val="000000"/>
                <w:sz w:val="20"/>
                <w:szCs w:val="20"/>
                <w:lang w:val="fr-FR"/>
              </w:rPr>
            </w:pPr>
          </w:p>
        </w:tc>
        <w:tc>
          <w:tcPr>
            <w:tcW w:w="1080" w:type="dxa"/>
          </w:tcPr>
          <w:p w:rsidR="00000000" w:rsidRDefault="00000000">
            <w:pPr>
              <w:autoSpaceDE w:val="0"/>
              <w:autoSpaceDN w:val="0"/>
              <w:adjustRightInd w:val="0"/>
              <w:spacing w:before="60" w:after="60"/>
              <w:jc w:val="right"/>
              <w:rPr>
                <w:color w:val="000000"/>
                <w:sz w:val="20"/>
                <w:szCs w:val="20"/>
                <w:lang w:val="fr-FR"/>
              </w:rPr>
            </w:pPr>
          </w:p>
        </w:tc>
        <w:tc>
          <w:tcPr>
            <w:tcW w:w="900" w:type="dxa"/>
          </w:tcPr>
          <w:p w:rsidR="00000000" w:rsidRDefault="00000000">
            <w:pPr>
              <w:autoSpaceDE w:val="0"/>
              <w:autoSpaceDN w:val="0"/>
              <w:adjustRightInd w:val="0"/>
              <w:spacing w:before="60" w:after="60"/>
              <w:jc w:val="right"/>
              <w:rPr>
                <w:color w:val="000000"/>
                <w:sz w:val="20"/>
                <w:szCs w:val="20"/>
                <w:lang w:val="fr-FR"/>
              </w:rPr>
            </w:pPr>
          </w:p>
        </w:tc>
        <w:tc>
          <w:tcPr>
            <w:tcW w:w="1463" w:type="dxa"/>
          </w:tcPr>
          <w:p w:rsidR="00000000" w:rsidRDefault="00000000">
            <w:pPr>
              <w:tabs>
                <w:tab w:val="decimal" w:pos="680"/>
              </w:tabs>
              <w:autoSpaceDE w:val="0"/>
              <w:autoSpaceDN w:val="0"/>
              <w:adjustRightInd w:val="0"/>
              <w:spacing w:before="60" w:after="60"/>
              <w:rPr>
                <w:color w:val="000000"/>
                <w:sz w:val="20"/>
                <w:szCs w:val="20"/>
                <w:lang w:val="fr-FR"/>
              </w:rPr>
            </w:pPr>
          </w:p>
        </w:tc>
        <w:tc>
          <w:tcPr>
            <w:tcW w:w="1053" w:type="dxa"/>
          </w:tcPr>
          <w:p w:rsidR="00000000" w:rsidRDefault="00000000">
            <w:pPr>
              <w:autoSpaceDE w:val="0"/>
              <w:autoSpaceDN w:val="0"/>
              <w:adjustRightInd w:val="0"/>
              <w:spacing w:before="60" w:after="60"/>
              <w:ind w:right="170"/>
              <w:jc w:val="right"/>
              <w:rPr>
                <w:color w:val="000000"/>
                <w:sz w:val="20"/>
                <w:szCs w:val="20"/>
                <w:lang w:val="fr-FR"/>
              </w:rPr>
            </w:pPr>
          </w:p>
        </w:tc>
      </w:tr>
      <w:tr w:rsidR="00000000">
        <w:tblPrEx>
          <w:tblCellMar>
            <w:top w:w="0" w:type="dxa"/>
            <w:bottom w:w="0" w:type="dxa"/>
          </w:tblCellMar>
        </w:tblPrEx>
        <w:trPr>
          <w:jc w:val="center"/>
        </w:trPr>
        <w:tc>
          <w:tcPr>
            <w:tcW w:w="1899" w:type="dxa"/>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Treizième salaire </w:t>
            </w:r>
          </w:p>
        </w:tc>
        <w:tc>
          <w:tcPr>
            <w:tcW w:w="744"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5 000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5 500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6 250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7 917 </w:t>
            </w:r>
          </w:p>
        </w:tc>
        <w:tc>
          <w:tcPr>
            <w:tcW w:w="90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7 917 </w:t>
            </w:r>
          </w:p>
        </w:tc>
        <w:tc>
          <w:tcPr>
            <w:tcW w:w="1463" w:type="dxa"/>
          </w:tcPr>
          <w:p w:rsidR="00000000" w:rsidRDefault="00000000">
            <w:pPr>
              <w:tabs>
                <w:tab w:val="decimal" w:pos="680"/>
              </w:tabs>
              <w:autoSpaceDE w:val="0"/>
              <w:autoSpaceDN w:val="0"/>
              <w:adjustRightInd w:val="0"/>
              <w:spacing w:before="60" w:after="60"/>
              <w:rPr>
                <w:color w:val="000000"/>
                <w:sz w:val="20"/>
                <w:szCs w:val="20"/>
                <w:lang w:val="fr-FR"/>
              </w:rPr>
            </w:pPr>
            <w:r>
              <w:rPr>
                <w:color w:val="000000"/>
                <w:sz w:val="20"/>
                <w:szCs w:val="20"/>
                <w:lang w:val="fr-FR"/>
              </w:rPr>
              <w:t xml:space="preserve">58,33  </w:t>
            </w:r>
          </w:p>
        </w:tc>
        <w:tc>
          <w:tcPr>
            <w:tcW w:w="1053" w:type="dxa"/>
          </w:tcPr>
          <w:p w:rsidR="00000000" w:rsidRDefault="00000000">
            <w:pPr>
              <w:autoSpaceDE w:val="0"/>
              <w:autoSpaceDN w:val="0"/>
              <w:adjustRightInd w:val="0"/>
              <w:spacing w:before="60" w:after="60"/>
              <w:ind w:right="170"/>
              <w:jc w:val="right"/>
              <w:rPr>
                <w:color w:val="000000"/>
                <w:sz w:val="20"/>
                <w:szCs w:val="20"/>
                <w:lang w:val="fr-FR"/>
              </w:rPr>
            </w:pPr>
            <w:r>
              <w:rPr>
                <w:color w:val="000000"/>
                <w:sz w:val="20"/>
                <w:szCs w:val="20"/>
                <w:lang w:val="fr-FR"/>
              </w:rPr>
              <w:t xml:space="preserve">2 917  </w:t>
            </w:r>
          </w:p>
        </w:tc>
      </w:tr>
      <w:tr w:rsidR="00000000">
        <w:tblPrEx>
          <w:tblCellMar>
            <w:top w:w="0" w:type="dxa"/>
            <w:bottom w:w="0" w:type="dxa"/>
          </w:tblCellMar>
        </w:tblPrEx>
        <w:trPr>
          <w:jc w:val="center"/>
        </w:trPr>
        <w:tc>
          <w:tcPr>
            <w:tcW w:w="1899" w:type="dxa"/>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Quatorzième salaire </w:t>
            </w:r>
          </w:p>
        </w:tc>
        <w:tc>
          <w:tcPr>
            <w:tcW w:w="744"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10 000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11 000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12 500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15 833 </w:t>
            </w:r>
          </w:p>
        </w:tc>
        <w:tc>
          <w:tcPr>
            <w:tcW w:w="90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15 833 </w:t>
            </w:r>
          </w:p>
        </w:tc>
        <w:tc>
          <w:tcPr>
            <w:tcW w:w="1463" w:type="dxa"/>
          </w:tcPr>
          <w:p w:rsidR="00000000" w:rsidRDefault="00000000">
            <w:pPr>
              <w:tabs>
                <w:tab w:val="decimal" w:pos="680"/>
              </w:tabs>
              <w:autoSpaceDE w:val="0"/>
              <w:autoSpaceDN w:val="0"/>
              <w:adjustRightInd w:val="0"/>
              <w:spacing w:before="60" w:after="60"/>
              <w:rPr>
                <w:color w:val="000000"/>
                <w:sz w:val="20"/>
                <w:szCs w:val="20"/>
                <w:lang w:val="fr-FR"/>
              </w:rPr>
            </w:pPr>
            <w:r>
              <w:rPr>
                <w:color w:val="000000"/>
                <w:sz w:val="20"/>
                <w:szCs w:val="20"/>
                <w:lang w:val="fr-FR"/>
              </w:rPr>
              <w:t xml:space="preserve">58,33  </w:t>
            </w:r>
          </w:p>
        </w:tc>
        <w:tc>
          <w:tcPr>
            <w:tcW w:w="1053" w:type="dxa"/>
          </w:tcPr>
          <w:p w:rsidR="00000000" w:rsidRDefault="00000000">
            <w:pPr>
              <w:autoSpaceDE w:val="0"/>
              <w:autoSpaceDN w:val="0"/>
              <w:adjustRightInd w:val="0"/>
              <w:spacing w:before="60" w:after="60"/>
              <w:ind w:right="170"/>
              <w:jc w:val="right"/>
              <w:rPr>
                <w:color w:val="000000"/>
                <w:sz w:val="20"/>
                <w:szCs w:val="20"/>
                <w:lang w:val="fr-FR"/>
              </w:rPr>
            </w:pPr>
            <w:r>
              <w:rPr>
                <w:color w:val="000000"/>
                <w:sz w:val="20"/>
                <w:szCs w:val="20"/>
                <w:lang w:val="fr-FR"/>
              </w:rPr>
              <w:t xml:space="preserve">5 833  </w:t>
            </w:r>
          </w:p>
        </w:tc>
      </w:tr>
      <w:tr w:rsidR="00000000">
        <w:tblPrEx>
          <w:tblCellMar>
            <w:top w:w="0" w:type="dxa"/>
            <w:bottom w:w="0" w:type="dxa"/>
          </w:tblCellMar>
        </w:tblPrEx>
        <w:trPr>
          <w:jc w:val="center"/>
        </w:trPr>
        <w:tc>
          <w:tcPr>
            <w:tcW w:w="1899" w:type="dxa"/>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Quinzième salaire </w:t>
            </w:r>
          </w:p>
        </w:tc>
        <w:tc>
          <w:tcPr>
            <w:tcW w:w="744"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4 167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4 167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4 167  </w:t>
            </w:r>
          </w:p>
        </w:tc>
        <w:tc>
          <w:tcPr>
            <w:tcW w:w="108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4 167 </w:t>
            </w:r>
          </w:p>
        </w:tc>
        <w:tc>
          <w:tcPr>
            <w:tcW w:w="900" w:type="dxa"/>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4 167 </w:t>
            </w:r>
          </w:p>
        </w:tc>
        <w:tc>
          <w:tcPr>
            <w:tcW w:w="1463" w:type="dxa"/>
          </w:tcPr>
          <w:p w:rsidR="00000000" w:rsidRDefault="00000000">
            <w:pPr>
              <w:tabs>
                <w:tab w:val="decimal" w:pos="680"/>
              </w:tabs>
              <w:autoSpaceDE w:val="0"/>
              <w:autoSpaceDN w:val="0"/>
              <w:adjustRightInd w:val="0"/>
              <w:spacing w:before="60" w:after="60"/>
              <w:rPr>
                <w:color w:val="000000"/>
                <w:sz w:val="20"/>
                <w:szCs w:val="20"/>
                <w:lang w:val="fr-FR"/>
              </w:rPr>
            </w:pPr>
            <w:r>
              <w:rPr>
                <w:color w:val="000000"/>
                <w:sz w:val="20"/>
                <w:szCs w:val="20"/>
                <w:lang w:val="fr-FR"/>
              </w:rPr>
              <w:t xml:space="preserve">0,00  </w:t>
            </w:r>
          </w:p>
        </w:tc>
        <w:tc>
          <w:tcPr>
            <w:tcW w:w="1053" w:type="dxa"/>
          </w:tcPr>
          <w:p w:rsidR="00000000" w:rsidRDefault="00000000">
            <w:pPr>
              <w:autoSpaceDE w:val="0"/>
              <w:autoSpaceDN w:val="0"/>
              <w:adjustRightInd w:val="0"/>
              <w:spacing w:before="60" w:after="60"/>
              <w:ind w:right="170"/>
              <w:jc w:val="right"/>
              <w:rPr>
                <w:color w:val="000000"/>
                <w:sz w:val="20"/>
                <w:szCs w:val="20"/>
                <w:lang w:val="fr-FR"/>
              </w:rPr>
            </w:pPr>
            <w:r>
              <w:rPr>
                <w:color w:val="000000"/>
                <w:sz w:val="20"/>
                <w:szCs w:val="20"/>
                <w:lang w:val="fr-FR"/>
              </w:rPr>
              <w:t xml:space="preserve">0  </w:t>
            </w:r>
          </w:p>
        </w:tc>
      </w:tr>
      <w:tr w:rsidR="00000000">
        <w:tblPrEx>
          <w:tblCellMar>
            <w:top w:w="0" w:type="dxa"/>
            <w:bottom w:w="0" w:type="dxa"/>
          </w:tblCellMar>
        </w:tblPrEx>
        <w:trPr>
          <w:jc w:val="center"/>
        </w:trPr>
        <w:tc>
          <w:tcPr>
            <w:tcW w:w="1899" w:type="dxa"/>
            <w:tcBorders>
              <w:bottom w:val="nil"/>
            </w:tcBorders>
          </w:tcPr>
          <w:p w:rsidR="00000000" w:rsidRDefault="00000000">
            <w:pPr>
              <w:autoSpaceDE w:val="0"/>
              <w:autoSpaceDN w:val="0"/>
              <w:adjustRightInd w:val="0"/>
              <w:spacing w:before="60" w:after="60"/>
              <w:rPr>
                <w:color w:val="000000"/>
                <w:sz w:val="20"/>
                <w:szCs w:val="20"/>
                <w:lang w:val="fr-FR"/>
              </w:rPr>
            </w:pPr>
            <w:r>
              <w:rPr>
                <w:color w:val="000000"/>
                <w:sz w:val="20"/>
                <w:szCs w:val="20"/>
                <w:lang w:val="fr-FR"/>
              </w:rPr>
              <w:t xml:space="preserve">Fonds de réserve </w:t>
            </w:r>
          </w:p>
        </w:tc>
        <w:tc>
          <w:tcPr>
            <w:tcW w:w="744" w:type="dxa"/>
            <w:tcBorders>
              <w:bottom w:val="nil"/>
            </w:tcBorders>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5 000  </w:t>
            </w:r>
          </w:p>
        </w:tc>
        <w:tc>
          <w:tcPr>
            <w:tcW w:w="1080" w:type="dxa"/>
            <w:tcBorders>
              <w:bottom w:val="nil"/>
            </w:tcBorders>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5 500  </w:t>
            </w:r>
          </w:p>
        </w:tc>
        <w:tc>
          <w:tcPr>
            <w:tcW w:w="1080" w:type="dxa"/>
            <w:tcBorders>
              <w:bottom w:val="nil"/>
            </w:tcBorders>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6 250  </w:t>
            </w:r>
          </w:p>
        </w:tc>
        <w:tc>
          <w:tcPr>
            <w:tcW w:w="1080" w:type="dxa"/>
            <w:tcBorders>
              <w:bottom w:val="nil"/>
            </w:tcBorders>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7 917 </w:t>
            </w:r>
          </w:p>
        </w:tc>
        <w:tc>
          <w:tcPr>
            <w:tcW w:w="900" w:type="dxa"/>
            <w:tcBorders>
              <w:bottom w:val="nil"/>
            </w:tcBorders>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7 917 </w:t>
            </w:r>
          </w:p>
        </w:tc>
        <w:tc>
          <w:tcPr>
            <w:tcW w:w="1463" w:type="dxa"/>
            <w:tcBorders>
              <w:bottom w:val="nil"/>
            </w:tcBorders>
          </w:tcPr>
          <w:p w:rsidR="00000000" w:rsidRDefault="00000000">
            <w:pPr>
              <w:tabs>
                <w:tab w:val="decimal" w:pos="680"/>
              </w:tabs>
              <w:autoSpaceDE w:val="0"/>
              <w:autoSpaceDN w:val="0"/>
              <w:adjustRightInd w:val="0"/>
              <w:spacing w:before="60" w:after="60"/>
              <w:rPr>
                <w:color w:val="000000"/>
                <w:sz w:val="20"/>
                <w:szCs w:val="20"/>
                <w:lang w:val="fr-FR"/>
              </w:rPr>
            </w:pPr>
            <w:r>
              <w:rPr>
                <w:color w:val="000000"/>
                <w:sz w:val="20"/>
                <w:szCs w:val="20"/>
                <w:lang w:val="fr-FR"/>
              </w:rPr>
              <w:t xml:space="preserve">58,33  </w:t>
            </w:r>
          </w:p>
        </w:tc>
        <w:tc>
          <w:tcPr>
            <w:tcW w:w="1053" w:type="dxa"/>
            <w:tcBorders>
              <w:bottom w:val="nil"/>
            </w:tcBorders>
          </w:tcPr>
          <w:p w:rsidR="00000000" w:rsidRDefault="00000000">
            <w:pPr>
              <w:autoSpaceDE w:val="0"/>
              <w:autoSpaceDN w:val="0"/>
              <w:adjustRightInd w:val="0"/>
              <w:spacing w:before="60" w:after="60"/>
              <w:ind w:right="170"/>
              <w:jc w:val="right"/>
              <w:rPr>
                <w:color w:val="000000"/>
                <w:sz w:val="20"/>
                <w:szCs w:val="20"/>
                <w:lang w:val="fr-FR"/>
              </w:rPr>
            </w:pPr>
            <w:r>
              <w:rPr>
                <w:color w:val="000000"/>
                <w:sz w:val="20"/>
                <w:szCs w:val="20"/>
                <w:lang w:val="fr-FR"/>
              </w:rPr>
              <w:t xml:space="preserve">2 917  </w:t>
            </w:r>
          </w:p>
        </w:tc>
      </w:tr>
      <w:tr w:rsidR="00000000">
        <w:tblPrEx>
          <w:tblCellMar>
            <w:top w:w="0" w:type="dxa"/>
            <w:bottom w:w="0" w:type="dxa"/>
          </w:tblCellMar>
        </w:tblPrEx>
        <w:trPr>
          <w:jc w:val="center"/>
        </w:trPr>
        <w:tc>
          <w:tcPr>
            <w:tcW w:w="1899" w:type="dxa"/>
            <w:tcBorders>
              <w:top w:val="nil"/>
              <w:bottom w:val="single" w:sz="4" w:space="0" w:color="auto"/>
            </w:tcBorders>
          </w:tcPr>
          <w:p w:rsidR="00000000" w:rsidRDefault="00000000">
            <w:pPr>
              <w:tabs>
                <w:tab w:val="left" w:pos="263"/>
              </w:tabs>
              <w:autoSpaceDE w:val="0"/>
              <w:autoSpaceDN w:val="0"/>
              <w:adjustRightInd w:val="0"/>
              <w:spacing w:before="60" w:after="60"/>
              <w:rPr>
                <w:color w:val="000000"/>
                <w:sz w:val="20"/>
                <w:szCs w:val="20"/>
                <w:lang w:val="fr-FR"/>
              </w:rPr>
            </w:pPr>
            <w:r>
              <w:rPr>
                <w:color w:val="000000"/>
                <w:sz w:val="20"/>
                <w:szCs w:val="20"/>
                <w:lang w:val="fr-FR"/>
              </w:rPr>
              <w:tab/>
              <w:t xml:space="preserve">Revenu total </w:t>
            </w:r>
          </w:p>
        </w:tc>
        <w:tc>
          <w:tcPr>
            <w:tcW w:w="744" w:type="dxa"/>
            <w:tcBorders>
              <w:top w:val="nil"/>
              <w:bottom w:val="single" w:sz="4" w:space="0" w:color="auto"/>
            </w:tcBorders>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112 367  </w:t>
            </w:r>
          </w:p>
        </w:tc>
        <w:tc>
          <w:tcPr>
            <w:tcW w:w="1080" w:type="dxa"/>
            <w:tcBorders>
              <w:top w:val="nil"/>
              <w:bottom w:val="single" w:sz="4" w:space="0" w:color="auto"/>
            </w:tcBorders>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216 167  </w:t>
            </w:r>
          </w:p>
        </w:tc>
        <w:tc>
          <w:tcPr>
            <w:tcW w:w="1080" w:type="dxa"/>
            <w:tcBorders>
              <w:top w:val="nil"/>
              <w:bottom w:val="single" w:sz="4" w:space="0" w:color="auto"/>
            </w:tcBorders>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353 667  </w:t>
            </w:r>
          </w:p>
        </w:tc>
        <w:tc>
          <w:tcPr>
            <w:tcW w:w="1080" w:type="dxa"/>
            <w:tcBorders>
              <w:top w:val="nil"/>
              <w:bottom w:val="single" w:sz="4" w:space="0" w:color="auto"/>
            </w:tcBorders>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491 667 </w:t>
            </w:r>
          </w:p>
        </w:tc>
        <w:tc>
          <w:tcPr>
            <w:tcW w:w="900" w:type="dxa"/>
            <w:tcBorders>
              <w:top w:val="nil"/>
              <w:bottom w:val="single" w:sz="4" w:space="0" w:color="auto"/>
            </w:tcBorders>
          </w:tcPr>
          <w:p w:rsidR="00000000" w:rsidRDefault="00000000">
            <w:pPr>
              <w:autoSpaceDE w:val="0"/>
              <w:autoSpaceDN w:val="0"/>
              <w:adjustRightInd w:val="0"/>
              <w:spacing w:before="60" w:after="60"/>
              <w:jc w:val="right"/>
              <w:rPr>
                <w:color w:val="000000"/>
                <w:sz w:val="20"/>
                <w:szCs w:val="20"/>
                <w:lang w:val="fr-FR"/>
              </w:rPr>
            </w:pPr>
            <w:r>
              <w:rPr>
                <w:color w:val="000000"/>
                <w:sz w:val="20"/>
                <w:szCs w:val="20"/>
                <w:lang w:val="fr-FR"/>
              </w:rPr>
              <w:t xml:space="preserve">521 667 </w:t>
            </w:r>
          </w:p>
        </w:tc>
        <w:tc>
          <w:tcPr>
            <w:tcW w:w="1463" w:type="dxa"/>
            <w:tcBorders>
              <w:top w:val="nil"/>
              <w:bottom w:val="single" w:sz="4" w:space="0" w:color="auto"/>
            </w:tcBorders>
          </w:tcPr>
          <w:p w:rsidR="00000000" w:rsidRDefault="00000000">
            <w:pPr>
              <w:tabs>
                <w:tab w:val="decimal" w:pos="680"/>
              </w:tabs>
              <w:autoSpaceDE w:val="0"/>
              <w:autoSpaceDN w:val="0"/>
              <w:adjustRightInd w:val="0"/>
              <w:spacing w:before="60" w:after="60"/>
              <w:rPr>
                <w:color w:val="000000"/>
                <w:sz w:val="20"/>
                <w:szCs w:val="20"/>
                <w:lang w:val="fr-FR"/>
              </w:rPr>
            </w:pPr>
            <w:r>
              <w:rPr>
                <w:color w:val="000000"/>
                <w:sz w:val="20"/>
                <w:szCs w:val="20"/>
                <w:lang w:val="fr-FR"/>
              </w:rPr>
              <w:t xml:space="preserve">364,25  </w:t>
            </w:r>
          </w:p>
        </w:tc>
        <w:tc>
          <w:tcPr>
            <w:tcW w:w="1053" w:type="dxa"/>
            <w:tcBorders>
              <w:top w:val="nil"/>
              <w:bottom w:val="single" w:sz="4" w:space="0" w:color="auto"/>
            </w:tcBorders>
          </w:tcPr>
          <w:p w:rsidR="00000000" w:rsidRDefault="00000000">
            <w:pPr>
              <w:autoSpaceDE w:val="0"/>
              <w:autoSpaceDN w:val="0"/>
              <w:adjustRightInd w:val="0"/>
              <w:spacing w:before="60" w:after="60"/>
              <w:ind w:right="170"/>
              <w:jc w:val="right"/>
              <w:rPr>
                <w:color w:val="000000"/>
                <w:sz w:val="20"/>
                <w:szCs w:val="20"/>
                <w:lang w:val="fr-FR"/>
              </w:rPr>
            </w:pPr>
            <w:r>
              <w:rPr>
                <w:color w:val="000000"/>
                <w:sz w:val="20"/>
                <w:szCs w:val="20"/>
                <w:lang w:val="fr-FR"/>
              </w:rPr>
              <w:t xml:space="preserve">409 300  </w:t>
            </w:r>
          </w:p>
        </w:tc>
      </w:tr>
    </w:tbl>
    <w:p w:rsidR="00000000" w:rsidRDefault="00000000">
      <w:pPr>
        <w:autoSpaceDE w:val="0"/>
        <w:autoSpaceDN w:val="0"/>
        <w:adjustRightInd w:val="0"/>
        <w:jc w:val="center"/>
        <w:rPr>
          <w:b/>
          <w:bCs/>
          <w:color w:val="000000"/>
          <w:sz w:val="20"/>
          <w:szCs w:val="20"/>
          <w:lang w:val="fr-FR"/>
        </w:rPr>
      </w:pPr>
      <w:r>
        <w:rPr>
          <w:b/>
          <w:bCs/>
          <w:color w:val="000000"/>
          <w:sz w:val="20"/>
          <w:szCs w:val="20"/>
          <w:lang w:val="fr-FR"/>
        </w:rPr>
        <w:t>Revenu totale du travailleur en général</w:t>
      </w:r>
    </w:p>
    <w:p w:rsidR="00000000" w:rsidRDefault="00000000">
      <w:pPr>
        <w:autoSpaceDE w:val="0"/>
        <w:autoSpaceDN w:val="0"/>
        <w:adjustRightInd w:val="0"/>
        <w:jc w:val="center"/>
        <w:rPr>
          <w:b/>
          <w:bCs/>
          <w:color w:val="000000"/>
          <w:sz w:val="20"/>
          <w:szCs w:val="20"/>
          <w:lang w:val="fr-FR"/>
        </w:rPr>
      </w:pPr>
      <w:r>
        <w:rPr>
          <w:b/>
          <w:bCs/>
          <w:color w:val="000000"/>
          <w:sz w:val="20"/>
          <w:szCs w:val="20"/>
          <w:lang w:val="fr-FR"/>
        </w:rPr>
        <w:t>Abdala Bucaram-Rosalía Arteaga  (août 1996-février 1997)</w:t>
      </w:r>
    </w:p>
    <w:p w:rsidR="00000000" w:rsidRDefault="00000000">
      <w:pPr>
        <w:autoSpaceDE w:val="0"/>
        <w:autoSpaceDN w:val="0"/>
        <w:adjustRightInd w:val="0"/>
        <w:jc w:val="center"/>
        <w:rPr>
          <w:b/>
          <w:bCs/>
          <w:color w:val="000000"/>
          <w:sz w:val="20"/>
          <w:szCs w:val="20"/>
          <w:lang w:val="fr-FR"/>
        </w:rPr>
      </w:pPr>
      <w:r>
        <w:rPr>
          <w:b/>
          <w:bCs/>
          <w:color w:val="000000"/>
          <w:sz w:val="20"/>
          <w:szCs w:val="20"/>
          <w:lang w:val="fr-FR"/>
        </w:rPr>
        <w:t>Fabian Alarcón (février 1997-août 1998)</w:t>
      </w:r>
    </w:p>
    <w:p w:rsidR="00000000" w:rsidRDefault="00000000">
      <w:pPr>
        <w:autoSpaceDE w:val="0"/>
        <w:autoSpaceDN w:val="0"/>
        <w:adjustRightInd w:val="0"/>
        <w:jc w:val="center"/>
        <w:rPr>
          <w:b/>
          <w:bCs/>
          <w:color w:val="000000"/>
          <w:sz w:val="20"/>
          <w:szCs w:val="20"/>
          <w:lang w:val="fr-FR"/>
        </w:rPr>
      </w:pPr>
      <w:r>
        <w:rPr>
          <w:b/>
          <w:bCs/>
          <w:color w:val="000000"/>
          <w:sz w:val="20"/>
          <w:szCs w:val="20"/>
          <w:lang w:val="fr-FR"/>
        </w:rPr>
        <w:t>Jamil  Mahuad-Gustavo Noboa  (depuis août 1998)</w:t>
      </w:r>
    </w:p>
    <w:p w:rsidR="00000000" w:rsidRDefault="00000000">
      <w:pPr>
        <w:autoSpaceDE w:val="0"/>
        <w:autoSpaceDN w:val="0"/>
        <w:adjustRightInd w:val="0"/>
        <w:spacing w:after="120"/>
        <w:jc w:val="center"/>
        <w:rPr>
          <w:i/>
          <w:iCs/>
          <w:color w:val="000000"/>
          <w:sz w:val="20"/>
          <w:szCs w:val="20"/>
          <w:lang w:val="fr-FR"/>
        </w:rPr>
      </w:pPr>
      <w:r>
        <w:rPr>
          <w:i/>
          <w:iCs/>
          <w:color w:val="000000"/>
          <w:sz w:val="20"/>
          <w:szCs w:val="20"/>
          <w:lang w:val="fr-FR"/>
        </w:rPr>
        <w:t>(En sucres)</w:t>
      </w:r>
    </w:p>
    <w:tbl>
      <w:tblPr>
        <w:tblW w:w="9299" w:type="dxa"/>
        <w:jc w:val="center"/>
        <w:tblBorders>
          <w:top w:val="single" w:sz="4" w:space="0" w:color="auto"/>
        </w:tblBorders>
        <w:tblLayout w:type="fixed"/>
        <w:tblCellMar>
          <w:left w:w="40" w:type="dxa"/>
          <w:right w:w="40" w:type="dxa"/>
        </w:tblCellMar>
        <w:tblLook w:val="0000" w:firstRow="0" w:lastRow="0" w:firstColumn="0" w:lastColumn="0" w:noHBand="0" w:noVBand="0"/>
      </w:tblPr>
      <w:tblGrid>
        <w:gridCol w:w="1743"/>
        <w:gridCol w:w="900"/>
        <w:gridCol w:w="1203"/>
        <w:gridCol w:w="1317"/>
        <w:gridCol w:w="1080"/>
        <w:gridCol w:w="1080"/>
        <w:gridCol w:w="1260"/>
        <w:gridCol w:w="716"/>
      </w:tblGrid>
      <w:tr w:rsidR="00000000">
        <w:tblPrEx>
          <w:tblCellMar>
            <w:top w:w="0" w:type="dxa"/>
            <w:bottom w:w="0" w:type="dxa"/>
          </w:tblCellMar>
        </w:tblPrEx>
        <w:trPr>
          <w:cantSplit/>
          <w:jc w:val="center"/>
        </w:trPr>
        <w:tc>
          <w:tcPr>
            <w:tcW w:w="1743"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40" w:after="20"/>
              <w:jc w:val="center"/>
              <w:rPr>
                <w:b/>
                <w:bCs/>
                <w:i/>
                <w:iCs/>
                <w:color w:val="000000"/>
                <w:sz w:val="18"/>
                <w:szCs w:val="20"/>
                <w:lang w:val="fr-FR"/>
              </w:rPr>
            </w:pPr>
            <w:r>
              <w:rPr>
                <w:b/>
                <w:bCs/>
                <w:i/>
                <w:iCs/>
                <w:color w:val="000000"/>
                <w:sz w:val="18"/>
                <w:szCs w:val="20"/>
                <w:lang w:val="fr-FR"/>
              </w:rPr>
              <w:t>Poste\Année</w:t>
            </w:r>
          </w:p>
        </w:tc>
        <w:tc>
          <w:tcPr>
            <w:tcW w:w="900" w:type="dxa"/>
            <w:tcBorders>
              <w:top w:val="single" w:sz="4" w:space="0" w:color="auto"/>
              <w:bottom w:val="single" w:sz="4" w:space="0" w:color="auto"/>
            </w:tcBorders>
            <w:vAlign w:val="center"/>
          </w:tcPr>
          <w:p w:rsidR="00000000" w:rsidRDefault="00000000">
            <w:pPr>
              <w:autoSpaceDE w:val="0"/>
              <w:autoSpaceDN w:val="0"/>
              <w:adjustRightInd w:val="0"/>
              <w:spacing w:before="40" w:after="20"/>
              <w:jc w:val="center"/>
              <w:rPr>
                <w:b/>
                <w:bCs/>
                <w:i/>
                <w:iCs/>
                <w:color w:val="000000"/>
                <w:sz w:val="18"/>
                <w:szCs w:val="20"/>
                <w:lang w:val="fr-FR"/>
              </w:rPr>
            </w:pPr>
            <w:r>
              <w:rPr>
                <w:b/>
                <w:bCs/>
                <w:i/>
                <w:iCs/>
                <w:color w:val="000000"/>
                <w:sz w:val="18"/>
                <w:szCs w:val="20"/>
                <w:lang w:val="fr-FR"/>
              </w:rPr>
              <w:t>1996</w:t>
            </w:r>
          </w:p>
        </w:tc>
        <w:tc>
          <w:tcPr>
            <w:tcW w:w="1203" w:type="dxa"/>
            <w:tcBorders>
              <w:top w:val="single" w:sz="4" w:space="0" w:color="auto"/>
              <w:bottom w:val="single" w:sz="4" w:space="0" w:color="auto"/>
            </w:tcBorders>
            <w:vAlign w:val="center"/>
          </w:tcPr>
          <w:p w:rsidR="00000000" w:rsidRDefault="00000000">
            <w:pPr>
              <w:autoSpaceDE w:val="0"/>
              <w:autoSpaceDN w:val="0"/>
              <w:adjustRightInd w:val="0"/>
              <w:spacing w:before="40" w:after="20"/>
              <w:jc w:val="center"/>
              <w:rPr>
                <w:b/>
                <w:bCs/>
                <w:i/>
                <w:iCs/>
                <w:color w:val="000000"/>
                <w:sz w:val="18"/>
                <w:szCs w:val="20"/>
                <w:lang w:val="fr-FR"/>
              </w:rPr>
            </w:pPr>
            <w:r>
              <w:rPr>
                <w:b/>
                <w:bCs/>
                <w:i/>
                <w:iCs/>
                <w:color w:val="000000"/>
                <w:sz w:val="18"/>
                <w:szCs w:val="20"/>
                <w:lang w:val="fr-FR"/>
              </w:rPr>
              <w:t>1997</w:t>
            </w:r>
          </w:p>
        </w:tc>
        <w:tc>
          <w:tcPr>
            <w:tcW w:w="1317" w:type="dxa"/>
            <w:tcBorders>
              <w:top w:val="single" w:sz="4" w:space="0" w:color="auto"/>
              <w:bottom w:val="single" w:sz="4" w:space="0" w:color="auto"/>
            </w:tcBorders>
            <w:vAlign w:val="center"/>
          </w:tcPr>
          <w:p w:rsidR="00000000" w:rsidRDefault="00000000">
            <w:pPr>
              <w:autoSpaceDE w:val="0"/>
              <w:autoSpaceDN w:val="0"/>
              <w:adjustRightInd w:val="0"/>
              <w:spacing w:before="40" w:after="20"/>
              <w:jc w:val="center"/>
              <w:rPr>
                <w:b/>
                <w:bCs/>
                <w:i/>
                <w:iCs/>
                <w:color w:val="000000"/>
                <w:sz w:val="18"/>
                <w:szCs w:val="20"/>
                <w:lang w:val="fr-FR"/>
              </w:rPr>
            </w:pPr>
            <w:r>
              <w:rPr>
                <w:b/>
                <w:bCs/>
                <w:i/>
                <w:iCs/>
                <w:color w:val="000000"/>
                <w:sz w:val="18"/>
                <w:szCs w:val="20"/>
                <w:lang w:val="fr-FR"/>
              </w:rPr>
              <w:t>1998</w:t>
            </w:r>
          </w:p>
        </w:tc>
        <w:tc>
          <w:tcPr>
            <w:tcW w:w="2160" w:type="dxa"/>
            <w:gridSpan w:val="2"/>
            <w:tcBorders>
              <w:top w:val="single" w:sz="4" w:space="0" w:color="auto"/>
              <w:bottom w:val="single" w:sz="4" w:space="0" w:color="auto"/>
            </w:tcBorders>
            <w:vAlign w:val="center"/>
          </w:tcPr>
          <w:p w:rsidR="00000000" w:rsidRDefault="00000000">
            <w:pPr>
              <w:autoSpaceDE w:val="0"/>
              <w:autoSpaceDN w:val="0"/>
              <w:adjustRightInd w:val="0"/>
              <w:spacing w:before="40" w:after="20"/>
              <w:jc w:val="center"/>
              <w:rPr>
                <w:b/>
                <w:bCs/>
                <w:i/>
                <w:iCs/>
                <w:color w:val="000000"/>
                <w:sz w:val="18"/>
                <w:szCs w:val="20"/>
                <w:lang w:val="fr-FR"/>
              </w:rPr>
            </w:pPr>
            <w:r>
              <w:rPr>
                <w:b/>
                <w:bCs/>
                <w:i/>
                <w:iCs/>
                <w:color w:val="000000"/>
                <w:sz w:val="18"/>
                <w:szCs w:val="20"/>
                <w:lang w:val="fr-FR"/>
              </w:rPr>
              <w:t>1999</w:t>
            </w:r>
          </w:p>
        </w:tc>
        <w:tc>
          <w:tcPr>
            <w:tcW w:w="1976" w:type="dxa"/>
            <w:gridSpan w:val="2"/>
            <w:tcBorders>
              <w:top w:val="single" w:sz="4" w:space="0" w:color="auto"/>
              <w:bottom w:val="single" w:sz="4" w:space="0" w:color="auto"/>
            </w:tcBorders>
            <w:vAlign w:val="center"/>
          </w:tcPr>
          <w:p w:rsidR="00000000" w:rsidRDefault="00000000">
            <w:pPr>
              <w:autoSpaceDE w:val="0"/>
              <w:autoSpaceDN w:val="0"/>
              <w:adjustRightInd w:val="0"/>
              <w:spacing w:before="40" w:after="20"/>
              <w:jc w:val="center"/>
              <w:rPr>
                <w:b/>
                <w:bCs/>
                <w:i/>
                <w:iCs/>
                <w:color w:val="000000"/>
                <w:sz w:val="18"/>
                <w:szCs w:val="20"/>
                <w:lang w:val="fr-FR"/>
              </w:rPr>
            </w:pPr>
            <w:r>
              <w:rPr>
                <w:b/>
                <w:bCs/>
                <w:i/>
                <w:iCs/>
                <w:color w:val="000000"/>
                <w:sz w:val="18"/>
                <w:szCs w:val="20"/>
                <w:lang w:val="fr-FR"/>
              </w:rPr>
              <w:t>Accroissement au cours de la période</w:t>
            </w:r>
          </w:p>
        </w:tc>
      </w:tr>
      <w:tr w:rsidR="00000000">
        <w:tblPrEx>
          <w:tblCellMar>
            <w:top w:w="0" w:type="dxa"/>
            <w:bottom w:w="0" w:type="dxa"/>
          </w:tblCellMar>
        </w:tblPrEx>
        <w:trPr>
          <w:cantSplit/>
          <w:jc w:val="center"/>
        </w:trPr>
        <w:tc>
          <w:tcPr>
            <w:tcW w:w="1743" w:type="dxa"/>
            <w:vMerge/>
            <w:tcBorders>
              <w:top w:val="nil"/>
              <w:bottom w:val="single" w:sz="4" w:space="0" w:color="auto"/>
            </w:tcBorders>
            <w:vAlign w:val="center"/>
          </w:tcPr>
          <w:p w:rsidR="00000000" w:rsidRDefault="00000000">
            <w:pPr>
              <w:autoSpaceDE w:val="0"/>
              <w:autoSpaceDN w:val="0"/>
              <w:adjustRightInd w:val="0"/>
              <w:spacing w:before="40" w:after="20"/>
              <w:jc w:val="center"/>
              <w:rPr>
                <w:b/>
                <w:bCs/>
                <w:i/>
                <w:iCs/>
                <w:color w:val="000000"/>
                <w:sz w:val="18"/>
                <w:szCs w:val="20"/>
                <w:lang w:val="fr-FR"/>
              </w:rPr>
            </w:pPr>
          </w:p>
        </w:tc>
        <w:tc>
          <w:tcPr>
            <w:tcW w:w="900" w:type="dxa"/>
            <w:tcBorders>
              <w:top w:val="single" w:sz="4" w:space="0" w:color="auto"/>
              <w:bottom w:val="single" w:sz="4" w:space="0" w:color="auto"/>
            </w:tcBorders>
            <w:vAlign w:val="center"/>
          </w:tcPr>
          <w:p w:rsidR="00000000" w:rsidRDefault="00000000">
            <w:pPr>
              <w:autoSpaceDE w:val="0"/>
              <w:autoSpaceDN w:val="0"/>
              <w:adjustRightInd w:val="0"/>
              <w:spacing w:before="40" w:after="20"/>
              <w:jc w:val="center"/>
              <w:rPr>
                <w:b/>
                <w:bCs/>
                <w:i/>
                <w:iCs/>
                <w:color w:val="000000"/>
                <w:sz w:val="18"/>
                <w:szCs w:val="20"/>
                <w:lang w:val="fr-FR"/>
              </w:rPr>
            </w:pPr>
            <w:r>
              <w:rPr>
                <w:b/>
                <w:bCs/>
                <w:i/>
                <w:iCs/>
                <w:color w:val="000000"/>
                <w:sz w:val="18"/>
                <w:szCs w:val="20"/>
                <w:lang w:val="fr-FR"/>
              </w:rPr>
              <w:t>10 août</w:t>
            </w:r>
          </w:p>
        </w:tc>
        <w:tc>
          <w:tcPr>
            <w:tcW w:w="1203" w:type="dxa"/>
            <w:tcBorders>
              <w:top w:val="single" w:sz="4" w:space="0" w:color="auto"/>
              <w:bottom w:val="single" w:sz="4" w:space="0" w:color="auto"/>
            </w:tcBorders>
            <w:vAlign w:val="center"/>
          </w:tcPr>
          <w:p w:rsidR="00000000" w:rsidRDefault="00000000">
            <w:pPr>
              <w:autoSpaceDE w:val="0"/>
              <w:autoSpaceDN w:val="0"/>
              <w:adjustRightInd w:val="0"/>
              <w:spacing w:before="40" w:after="20"/>
              <w:jc w:val="center"/>
              <w:rPr>
                <w:b/>
                <w:bCs/>
                <w:i/>
                <w:iCs/>
                <w:color w:val="000000"/>
                <w:sz w:val="18"/>
                <w:szCs w:val="20"/>
                <w:lang w:val="fr-FR"/>
              </w:rPr>
            </w:pPr>
            <w:r>
              <w:rPr>
                <w:b/>
                <w:bCs/>
                <w:i/>
                <w:iCs/>
                <w:color w:val="000000"/>
                <w:sz w:val="18"/>
                <w:szCs w:val="20"/>
                <w:lang w:val="fr-FR"/>
              </w:rPr>
              <w:t>1º de janvier</w:t>
            </w:r>
          </w:p>
        </w:tc>
        <w:tc>
          <w:tcPr>
            <w:tcW w:w="1317" w:type="dxa"/>
            <w:tcBorders>
              <w:top w:val="single" w:sz="4" w:space="0" w:color="auto"/>
              <w:bottom w:val="single" w:sz="4" w:space="0" w:color="auto"/>
            </w:tcBorders>
            <w:vAlign w:val="center"/>
          </w:tcPr>
          <w:p w:rsidR="00000000" w:rsidRDefault="00000000">
            <w:pPr>
              <w:autoSpaceDE w:val="0"/>
              <w:autoSpaceDN w:val="0"/>
              <w:adjustRightInd w:val="0"/>
              <w:spacing w:before="40" w:after="20"/>
              <w:jc w:val="center"/>
              <w:rPr>
                <w:b/>
                <w:bCs/>
                <w:i/>
                <w:iCs/>
                <w:color w:val="000000"/>
                <w:sz w:val="18"/>
                <w:szCs w:val="20"/>
                <w:lang w:val="fr-FR"/>
              </w:rPr>
            </w:pPr>
            <w:r>
              <w:rPr>
                <w:b/>
                <w:bCs/>
                <w:i/>
                <w:iCs/>
                <w:color w:val="000000"/>
                <w:sz w:val="18"/>
                <w:szCs w:val="20"/>
                <w:lang w:val="fr-FR"/>
              </w:rPr>
              <w:t>1º de janvier</w:t>
            </w:r>
          </w:p>
        </w:tc>
        <w:tc>
          <w:tcPr>
            <w:tcW w:w="1080" w:type="dxa"/>
            <w:tcBorders>
              <w:top w:val="single" w:sz="4" w:space="0" w:color="auto"/>
              <w:bottom w:val="single" w:sz="4" w:space="0" w:color="auto"/>
            </w:tcBorders>
            <w:vAlign w:val="center"/>
          </w:tcPr>
          <w:p w:rsidR="00000000" w:rsidRDefault="00000000">
            <w:pPr>
              <w:autoSpaceDE w:val="0"/>
              <w:autoSpaceDN w:val="0"/>
              <w:adjustRightInd w:val="0"/>
              <w:spacing w:before="40" w:after="20"/>
              <w:jc w:val="center"/>
              <w:rPr>
                <w:b/>
                <w:bCs/>
                <w:i/>
                <w:iCs/>
                <w:color w:val="000000"/>
                <w:sz w:val="18"/>
                <w:szCs w:val="20"/>
                <w:lang w:val="fr-FR"/>
              </w:rPr>
            </w:pPr>
            <w:r>
              <w:rPr>
                <w:b/>
                <w:bCs/>
                <w:i/>
                <w:iCs/>
                <w:color w:val="000000"/>
                <w:sz w:val="18"/>
                <w:szCs w:val="20"/>
                <w:lang w:val="fr-FR"/>
              </w:rPr>
              <w:t>1º de janvier</w:t>
            </w:r>
          </w:p>
        </w:tc>
        <w:tc>
          <w:tcPr>
            <w:tcW w:w="1080" w:type="dxa"/>
            <w:tcBorders>
              <w:top w:val="single" w:sz="4" w:space="0" w:color="auto"/>
              <w:bottom w:val="single" w:sz="4" w:space="0" w:color="auto"/>
            </w:tcBorders>
            <w:vAlign w:val="center"/>
          </w:tcPr>
          <w:p w:rsidR="00000000" w:rsidRDefault="00000000">
            <w:pPr>
              <w:autoSpaceDE w:val="0"/>
              <w:autoSpaceDN w:val="0"/>
              <w:adjustRightInd w:val="0"/>
              <w:spacing w:before="40" w:after="20"/>
              <w:jc w:val="center"/>
              <w:rPr>
                <w:b/>
                <w:bCs/>
                <w:i/>
                <w:iCs/>
                <w:color w:val="000000"/>
                <w:sz w:val="18"/>
                <w:szCs w:val="20"/>
                <w:lang w:val="fr-FR"/>
              </w:rPr>
            </w:pPr>
            <w:r>
              <w:rPr>
                <w:b/>
                <w:bCs/>
                <w:i/>
                <w:iCs/>
                <w:color w:val="000000"/>
                <w:sz w:val="18"/>
                <w:szCs w:val="20"/>
                <w:lang w:val="fr-FR"/>
              </w:rPr>
              <w:t>1º de juillet</w:t>
            </w:r>
          </w:p>
        </w:tc>
        <w:tc>
          <w:tcPr>
            <w:tcW w:w="1260" w:type="dxa"/>
            <w:tcBorders>
              <w:top w:val="single" w:sz="4" w:space="0" w:color="auto"/>
              <w:bottom w:val="single" w:sz="4" w:space="0" w:color="auto"/>
            </w:tcBorders>
            <w:vAlign w:val="center"/>
          </w:tcPr>
          <w:p w:rsidR="00000000" w:rsidRDefault="00000000">
            <w:pPr>
              <w:autoSpaceDE w:val="0"/>
              <w:autoSpaceDN w:val="0"/>
              <w:adjustRightInd w:val="0"/>
              <w:spacing w:before="40" w:after="20"/>
              <w:jc w:val="center"/>
              <w:rPr>
                <w:b/>
                <w:bCs/>
                <w:i/>
                <w:iCs/>
                <w:color w:val="000000"/>
                <w:sz w:val="18"/>
                <w:szCs w:val="20"/>
                <w:lang w:val="fr-FR"/>
              </w:rPr>
            </w:pPr>
            <w:r>
              <w:rPr>
                <w:b/>
                <w:bCs/>
                <w:i/>
                <w:iCs/>
                <w:color w:val="000000"/>
                <w:sz w:val="18"/>
                <w:szCs w:val="20"/>
                <w:lang w:val="fr-FR"/>
              </w:rPr>
              <w:t>Pourcentage</w:t>
            </w:r>
          </w:p>
        </w:tc>
        <w:tc>
          <w:tcPr>
            <w:tcW w:w="716" w:type="dxa"/>
            <w:tcBorders>
              <w:top w:val="single" w:sz="4" w:space="0" w:color="auto"/>
              <w:bottom w:val="single" w:sz="4" w:space="0" w:color="auto"/>
            </w:tcBorders>
            <w:vAlign w:val="center"/>
          </w:tcPr>
          <w:p w:rsidR="00000000" w:rsidRDefault="00000000">
            <w:pPr>
              <w:autoSpaceDE w:val="0"/>
              <w:autoSpaceDN w:val="0"/>
              <w:adjustRightInd w:val="0"/>
              <w:spacing w:before="40" w:after="20"/>
              <w:jc w:val="center"/>
              <w:rPr>
                <w:b/>
                <w:bCs/>
                <w:i/>
                <w:iCs/>
                <w:color w:val="000000"/>
                <w:sz w:val="18"/>
                <w:szCs w:val="20"/>
                <w:lang w:val="fr-FR"/>
              </w:rPr>
            </w:pPr>
            <w:r>
              <w:rPr>
                <w:b/>
                <w:bCs/>
                <w:i/>
                <w:iCs/>
                <w:color w:val="000000"/>
                <w:sz w:val="18"/>
                <w:szCs w:val="20"/>
                <w:lang w:val="fr-FR"/>
              </w:rPr>
              <w:t>Absolu</w:t>
            </w:r>
          </w:p>
        </w:tc>
      </w:tr>
      <w:tr w:rsidR="00000000">
        <w:tblPrEx>
          <w:tblCellMar>
            <w:top w:w="0" w:type="dxa"/>
            <w:bottom w:w="0" w:type="dxa"/>
          </w:tblCellMar>
        </w:tblPrEx>
        <w:trPr>
          <w:jc w:val="center"/>
        </w:trPr>
        <w:tc>
          <w:tcPr>
            <w:tcW w:w="1743" w:type="dxa"/>
            <w:tcBorders>
              <w:top w:val="single" w:sz="4" w:space="0" w:color="auto"/>
            </w:tcBorders>
          </w:tcPr>
          <w:p w:rsidR="00000000" w:rsidRDefault="00000000">
            <w:pPr>
              <w:autoSpaceDE w:val="0"/>
              <w:autoSpaceDN w:val="0"/>
              <w:adjustRightInd w:val="0"/>
              <w:spacing w:before="20" w:after="20"/>
              <w:rPr>
                <w:color w:val="000000"/>
                <w:sz w:val="18"/>
                <w:szCs w:val="20"/>
                <w:lang w:val="fr-FR"/>
              </w:rPr>
            </w:pPr>
            <w:r>
              <w:rPr>
                <w:color w:val="000000"/>
                <w:sz w:val="18"/>
                <w:szCs w:val="20"/>
                <w:lang w:val="fr-FR"/>
              </w:rPr>
              <w:t xml:space="preserve">Salaire minimal vital </w:t>
            </w:r>
          </w:p>
        </w:tc>
        <w:tc>
          <w:tcPr>
            <w:tcW w:w="900" w:type="dxa"/>
            <w:tcBorders>
              <w:top w:val="single" w:sz="4" w:space="0" w:color="auto"/>
            </w:tcBorders>
          </w:tcPr>
          <w:p w:rsidR="00000000" w:rsidRDefault="00000000">
            <w:pPr>
              <w:autoSpaceDE w:val="0"/>
              <w:autoSpaceDN w:val="0"/>
              <w:adjustRightInd w:val="0"/>
              <w:spacing w:before="20" w:after="20"/>
              <w:ind w:right="113"/>
              <w:jc w:val="right"/>
              <w:rPr>
                <w:color w:val="000000"/>
                <w:sz w:val="18"/>
                <w:szCs w:val="20"/>
                <w:lang w:val="fr-FR"/>
              </w:rPr>
            </w:pPr>
            <w:r>
              <w:rPr>
                <w:color w:val="000000"/>
                <w:sz w:val="18"/>
                <w:szCs w:val="20"/>
                <w:lang w:val="fr-FR"/>
              </w:rPr>
              <w:t>95 000</w:t>
            </w:r>
          </w:p>
        </w:tc>
        <w:tc>
          <w:tcPr>
            <w:tcW w:w="1203" w:type="dxa"/>
            <w:tcBorders>
              <w:top w:val="single" w:sz="4" w:space="0" w:color="auto"/>
            </w:tcBorders>
          </w:tcPr>
          <w:p w:rsidR="00000000" w:rsidRDefault="00000000">
            <w:pPr>
              <w:autoSpaceDE w:val="0"/>
              <w:autoSpaceDN w:val="0"/>
              <w:adjustRightInd w:val="0"/>
              <w:spacing w:before="20" w:after="20"/>
              <w:ind w:right="263"/>
              <w:jc w:val="right"/>
              <w:rPr>
                <w:color w:val="000000"/>
                <w:sz w:val="18"/>
                <w:szCs w:val="20"/>
                <w:lang w:val="fr-FR"/>
              </w:rPr>
            </w:pPr>
            <w:r>
              <w:rPr>
                <w:color w:val="000000"/>
                <w:sz w:val="18"/>
                <w:szCs w:val="20"/>
                <w:lang w:val="fr-FR"/>
              </w:rPr>
              <w:t>95 000</w:t>
            </w:r>
          </w:p>
        </w:tc>
        <w:tc>
          <w:tcPr>
            <w:tcW w:w="1317" w:type="dxa"/>
            <w:tcBorders>
              <w:top w:val="single" w:sz="4" w:space="0" w:color="auto"/>
            </w:tcBorders>
          </w:tcPr>
          <w:p w:rsidR="00000000" w:rsidRDefault="00000000">
            <w:pPr>
              <w:autoSpaceDE w:val="0"/>
              <w:autoSpaceDN w:val="0"/>
              <w:adjustRightInd w:val="0"/>
              <w:spacing w:before="20" w:after="20"/>
              <w:ind w:right="237"/>
              <w:jc w:val="right"/>
              <w:rPr>
                <w:color w:val="000000"/>
                <w:sz w:val="18"/>
                <w:szCs w:val="20"/>
                <w:lang w:val="fr-FR"/>
              </w:rPr>
            </w:pPr>
            <w:r>
              <w:rPr>
                <w:color w:val="000000"/>
                <w:sz w:val="18"/>
                <w:szCs w:val="20"/>
                <w:lang w:val="fr-FR"/>
              </w:rPr>
              <w:t>100 000</w:t>
            </w:r>
          </w:p>
        </w:tc>
        <w:tc>
          <w:tcPr>
            <w:tcW w:w="1080" w:type="dxa"/>
            <w:tcBorders>
              <w:top w:val="single" w:sz="4" w:space="0" w:color="auto"/>
            </w:tcBorders>
          </w:tcPr>
          <w:p w:rsidR="00000000" w:rsidRDefault="00000000">
            <w:pPr>
              <w:autoSpaceDE w:val="0"/>
              <w:autoSpaceDN w:val="0"/>
              <w:adjustRightInd w:val="0"/>
              <w:spacing w:before="20" w:after="20"/>
              <w:ind w:right="227"/>
              <w:jc w:val="right"/>
              <w:rPr>
                <w:color w:val="000000"/>
                <w:sz w:val="18"/>
                <w:szCs w:val="20"/>
                <w:lang w:val="fr-FR"/>
              </w:rPr>
            </w:pPr>
            <w:r>
              <w:rPr>
                <w:color w:val="000000"/>
                <w:sz w:val="18"/>
                <w:szCs w:val="20"/>
                <w:lang w:val="fr-FR"/>
              </w:rPr>
              <w:t>100 000</w:t>
            </w:r>
          </w:p>
        </w:tc>
        <w:tc>
          <w:tcPr>
            <w:tcW w:w="1080" w:type="dxa"/>
            <w:tcBorders>
              <w:top w:val="single" w:sz="4" w:space="0" w:color="auto"/>
            </w:tcBorders>
          </w:tcPr>
          <w:p w:rsidR="00000000" w:rsidRDefault="00000000">
            <w:pPr>
              <w:autoSpaceDE w:val="0"/>
              <w:autoSpaceDN w:val="0"/>
              <w:adjustRightInd w:val="0"/>
              <w:spacing w:before="20" w:after="20"/>
              <w:ind w:right="170"/>
              <w:jc w:val="right"/>
              <w:rPr>
                <w:color w:val="000000"/>
                <w:sz w:val="18"/>
                <w:szCs w:val="20"/>
                <w:lang w:val="fr-FR"/>
              </w:rPr>
            </w:pPr>
            <w:r>
              <w:rPr>
                <w:color w:val="000000"/>
                <w:sz w:val="18"/>
                <w:szCs w:val="20"/>
                <w:lang w:val="fr-FR"/>
              </w:rPr>
              <w:t>100 000</w:t>
            </w:r>
          </w:p>
        </w:tc>
        <w:tc>
          <w:tcPr>
            <w:tcW w:w="1260" w:type="dxa"/>
            <w:tcBorders>
              <w:top w:val="single" w:sz="4" w:space="0" w:color="auto"/>
            </w:tcBorders>
            <w:vAlign w:val="center"/>
          </w:tcPr>
          <w:p w:rsidR="00000000" w:rsidRDefault="00000000">
            <w:pPr>
              <w:tabs>
                <w:tab w:val="decimal" w:pos="500"/>
              </w:tabs>
              <w:autoSpaceDE w:val="0"/>
              <w:autoSpaceDN w:val="0"/>
              <w:adjustRightInd w:val="0"/>
              <w:spacing w:before="20" w:after="20"/>
              <w:rPr>
                <w:color w:val="000000"/>
                <w:sz w:val="18"/>
                <w:szCs w:val="20"/>
                <w:lang w:val="fr-FR"/>
              </w:rPr>
            </w:pPr>
            <w:r>
              <w:rPr>
                <w:color w:val="000000"/>
                <w:sz w:val="18"/>
                <w:szCs w:val="20"/>
                <w:lang w:val="fr-FR"/>
              </w:rPr>
              <w:t xml:space="preserve">5,26 </w:t>
            </w:r>
          </w:p>
        </w:tc>
        <w:tc>
          <w:tcPr>
            <w:tcW w:w="716" w:type="dxa"/>
            <w:tcBorders>
              <w:top w:val="single" w:sz="4" w:space="0" w:color="auto"/>
            </w:tcBorders>
          </w:tcPr>
          <w:p w:rsidR="00000000" w:rsidRDefault="00000000">
            <w:pPr>
              <w:autoSpaceDE w:val="0"/>
              <w:autoSpaceDN w:val="0"/>
              <w:adjustRightInd w:val="0"/>
              <w:spacing w:before="20" w:after="20"/>
              <w:jc w:val="right"/>
              <w:rPr>
                <w:color w:val="000000"/>
                <w:sz w:val="18"/>
                <w:szCs w:val="20"/>
                <w:lang w:val="fr-FR"/>
              </w:rPr>
            </w:pPr>
            <w:r>
              <w:rPr>
                <w:color w:val="000000"/>
                <w:sz w:val="18"/>
                <w:szCs w:val="20"/>
                <w:lang w:val="fr-FR"/>
              </w:rPr>
              <w:t xml:space="preserve">5 000  </w:t>
            </w:r>
          </w:p>
        </w:tc>
      </w:tr>
      <w:tr w:rsidR="00000000">
        <w:tblPrEx>
          <w:tblCellMar>
            <w:top w:w="0" w:type="dxa"/>
            <w:bottom w:w="0" w:type="dxa"/>
          </w:tblCellMar>
        </w:tblPrEx>
        <w:trPr>
          <w:jc w:val="center"/>
        </w:trPr>
        <w:tc>
          <w:tcPr>
            <w:tcW w:w="1743" w:type="dxa"/>
          </w:tcPr>
          <w:p w:rsidR="00000000" w:rsidRDefault="00000000">
            <w:pPr>
              <w:autoSpaceDE w:val="0"/>
              <w:autoSpaceDN w:val="0"/>
              <w:adjustRightInd w:val="0"/>
              <w:spacing w:before="20" w:after="20"/>
              <w:rPr>
                <w:color w:val="000000"/>
                <w:sz w:val="18"/>
                <w:szCs w:val="20"/>
                <w:lang w:val="fr-FR"/>
              </w:rPr>
            </w:pPr>
            <w:r>
              <w:rPr>
                <w:color w:val="000000"/>
                <w:sz w:val="18"/>
                <w:szCs w:val="20"/>
                <w:lang w:val="fr-FR"/>
              </w:rPr>
              <w:t xml:space="preserve">Indemnité du coût de la vie </w:t>
            </w:r>
          </w:p>
        </w:tc>
        <w:tc>
          <w:tcPr>
            <w:tcW w:w="900" w:type="dxa"/>
          </w:tcPr>
          <w:p w:rsidR="00000000" w:rsidRDefault="00000000">
            <w:pPr>
              <w:autoSpaceDE w:val="0"/>
              <w:autoSpaceDN w:val="0"/>
              <w:adjustRightInd w:val="0"/>
              <w:spacing w:before="20" w:after="20"/>
              <w:ind w:right="113"/>
              <w:jc w:val="right"/>
              <w:rPr>
                <w:color w:val="000000"/>
                <w:sz w:val="18"/>
                <w:szCs w:val="20"/>
                <w:lang w:val="fr-FR"/>
              </w:rPr>
            </w:pPr>
            <w:r>
              <w:rPr>
                <w:color w:val="000000"/>
                <w:sz w:val="18"/>
                <w:szCs w:val="20"/>
                <w:lang w:val="fr-FR"/>
              </w:rPr>
              <w:t>155 000</w:t>
            </w:r>
          </w:p>
        </w:tc>
        <w:tc>
          <w:tcPr>
            <w:tcW w:w="1203" w:type="dxa"/>
          </w:tcPr>
          <w:p w:rsidR="00000000" w:rsidRDefault="00000000">
            <w:pPr>
              <w:autoSpaceDE w:val="0"/>
              <w:autoSpaceDN w:val="0"/>
              <w:adjustRightInd w:val="0"/>
              <w:spacing w:before="20" w:after="20"/>
              <w:ind w:right="263"/>
              <w:jc w:val="right"/>
              <w:rPr>
                <w:color w:val="000000"/>
                <w:sz w:val="18"/>
                <w:szCs w:val="20"/>
                <w:lang w:val="fr-FR"/>
              </w:rPr>
            </w:pPr>
            <w:r>
              <w:rPr>
                <w:color w:val="000000"/>
                <w:sz w:val="18"/>
                <w:szCs w:val="20"/>
                <w:lang w:val="fr-FR"/>
              </w:rPr>
              <w:t>175 000</w:t>
            </w:r>
          </w:p>
        </w:tc>
        <w:tc>
          <w:tcPr>
            <w:tcW w:w="1317" w:type="dxa"/>
          </w:tcPr>
          <w:p w:rsidR="00000000" w:rsidRDefault="00000000">
            <w:pPr>
              <w:autoSpaceDE w:val="0"/>
              <w:autoSpaceDN w:val="0"/>
              <w:adjustRightInd w:val="0"/>
              <w:spacing w:before="20" w:after="20"/>
              <w:ind w:right="237"/>
              <w:jc w:val="right"/>
              <w:rPr>
                <w:color w:val="000000"/>
                <w:sz w:val="18"/>
                <w:szCs w:val="20"/>
                <w:lang w:val="fr-FR"/>
              </w:rPr>
            </w:pPr>
            <w:r>
              <w:rPr>
                <w:color w:val="000000"/>
                <w:sz w:val="18"/>
                <w:szCs w:val="20"/>
                <w:lang w:val="fr-FR"/>
              </w:rPr>
              <w:t>190 000</w:t>
            </w:r>
          </w:p>
        </w:tc>
        <w:tc>
          <w:tcPr>
            <w:tcW w:w="1080" w:type="dxa"/>
          </w:tcPr>
          <w:p w:rsidR="00000000" w:rsidRDefault="00000000">
            <w:pPr>
              <w:autoSpaceDE w:val="0"/>
              <w:autoSpaceDN w:val="0"/>
              <w:adjustRightInd w:val="0"/>
              <w:spacing w:before="20" w:after="20"/>
              <w:ind w:right="227"/>
              <w:jc w:val="right"/>
              <w:rPr>
                <w:color w:val="000000"/>
                <w:sz w:val="18"/>
                <w:szCs w:val="20"/>
                <w:lang w:val="fr-FR"/>
              </w:rPr>
            </w:pPr>
            <w:r>
              <w:rPr>
                <w:color w:val="000000"/>
                <w:sz w:val="18"/>
                <w:szCs w:val="20"/>
                <w:lang w:val="fr-FR"/>
              </w:rPr>
              <w:t>300 000</w:t>
            </w:r>
          </w:p>
        </w:tc>
        <w:tc>
          <w:tcPr>
            <w:tcW w:w="1080" w:type="dxa"/>
          </w:tcPr>
          <w:p w:rsidR="00000000" w:rsidRDefault="00000000">
            <w:pPr>
              <w:autoSpaceDE w:val="0"/>
              <w:autoSpaceDN w:val="0"/>
              <w:adjustRightInd w:val="0"/>
              <w:spacing w:before="20" w:after="20"/>
              <w:ind w:right="170"/>
              <w:jc w:val="right"/>
              <w:rPr>
                <w:color w:val="000000"/>
                <w:sz w:val="18"/>
                <w:szCs w:val="20"/>
                <w:lang w:val="fr-FR"/>
              </w:rPr>
            </w:pPr>
            <w:r>
              <w:rPr>
                <w:color w:val="000000"/>
                <w:sz w:val="18"/>
                <w:szCs w:val="20"/>
                <w:lang w:val="fr-FR"/>
              </w:rPr>
              <w:t>300 000</w:t>
            </w:r>
          </w:p>
        </w:tc>
        <w:tc>
          <w:tcPr>
            <w:tcW w:w="1260" w:type="dxa"/>
            <w:vAlign w:val="center"/>
          </w:tcPr>
          <w:p w:rsidR="00000000" w:rsidRDefault="00000000">
            <w:pPr>
              <w:tabs>
                <w:tab w:val="decimal" w:pos="500"/>
              </w:tabs>
              <w:autoSpaceDE w:val="0"/>
              <w:autoSpaceDN w:val="0"/>
              <w:adjustRightInd w:val="0"/>
              <w:spacing w:before="20" w:after="20"/>
              <w:rPr>
                <w:color w:val="000000"/>
                <w:sz w:val="18"/>
                <w:szCs w:val="20"/>
                <w:lang w:val="fr-FR"/>
              </w:rPr>
            </w:pPr>
            <w:r>
              <w:rPr>
                <w:color w:val="000000"/>
                <w:sz w:val="18"/>
                <w:szCs w:val="20"/>
                <w:lang w:val="fr-FR"/>
              </w:rPr>
              <w:t xml:space="preserve">93,55 </w:t>
            </w:r>
          </w:p>
        </w:tc>
        <w:tc>
          <w:tcPr>
            <w:tcW w:w="716" w:type="dxa"/>
          </w:tcPr>
          <w:p w:rsidR="00000000" w:rsidRDefault="00000000">
            <w:pPr>
              <w:autoSpaceDE w:val="0"/>
              <w:autoSpaceDN w:val="0"/>
              <w:adjustRightInd w:val="0"/>
              <w:spacing w:before="20" w:after="20"/>
              <w:jc w:val="right"/>
              <w:rPr>
                <w:color w:val="000000"/>
                <w:sz w:val="18"/>
                <w:szCs w:val="20"/>
                <w:lang w:val="fr-FR"/>
              </w:rPr>
            </w:pPr>
            <w:r>
              <w:rPr>
                <w:color w:val="000000"/>
                <w:sz w:val="18"/>
                <w:szCs w:val="20"/>
                <w:lang w:val="fr-FR"/>
              </w:rPr>
              <w:t xml:space="preserve">145 000  </w:t>
            </w:r>
          </w:p>
        </w:tc>
      </w:tr>
      <w:tr w:rsidR="00000000">
        <w:tblPrEx>
          <w:tblCellMar>
            <w:top w:w="0" w:type="dxa"/>
            <w:bottom w:w="0" w:type="dxa"/>
          </w:tblCellMar>
        </w:tblPrEx>
        <w:trPr>
          <w:jc w:val="center"/>
        </w:trPr>
        <w:tc>
          <w:tcPr>
            <w:tcW w:w="1743" w:type="dxa"/>
          </w:tcPr>
          <w:p w:rsidR="00000000" w:rsidRDefault="00000000">
            <w:pPr>
              <w:autoSpaceDE w:val="0"/>
              <w:autoSpaceDN w:val="0"/>
              <w:adjustRightInd w:val="0"/>
              <w:spacing w:before="20" w:after="20"/>
              <w:rPr>
                <w:color w:val="000000"/>
                <w:sz w:val="18"/>
                <w:szCs w:val="20"/>
                <w:lang w:val="fr-FR"/>
              </w:rPr>
            </w:pPr>
            <w:r>
              <w:rPr>
                <w:color w:val="000000"/>
                <w:sz w:val="18"/>
                <w:szCs w:val="20"/>
                <w:lang w:val="fr-FR"/>
              </w:rPr>
              <w:t xml:space="preserve">Allocation  complémentaire </w:t>
            </w:r>
          </w:p>
        </w:tc>
        <w:tc>
          <w:tcPr>
            <w:tcW w:w="900" w:type="dxa"/>
          </w:tcPr>
          <w:p w:rsidR="00000000" w:rsidRDefault="00000000">
            <w:pPr>
              <w:autoSpaceDE w:val="0"/>
              <w:autoSpaceDN w:val="0"/>
              <w:adjustRightInd w:val="0"/>
              <w:spacing w:before="20" w:after="20"/>
              <w:ind w:right="113"/>
              <w:jc w:val="right"/>
              <w:rPr>
                <w:color w:val="000000"/>
                <w:sz w:val="18"/>
                <w:szCs w:val="20"/>
                <w:lang w:val="fr-FR"/>
              </w:rPr>
            </w:pPr>
            <w:r>
              <w:rPr>
                <w:color w:val="000000"/>
                <w:sz w:val="18"/>
                <w:szCs w:val="20"/>
                <w:lang w:val="fr-FR"/>
              </w:rPr>
              <w:t>240 000</w:t>
            </w:r>
          </w:p>
        </w:tc>
        <w:tc>
          <w:tcPr>
            <w:tcW w:w="1203" w:type="dxa"/>
          </w:tcPr>
          <w:p w:rsidR="00000000" w:rsidRDefault="00000000">
            <w:pPr>
              <w:autoSpaceDE w:val="0"/>
              <w:autoSpaceDN w:val="0"/>
              <w:adjustRightInd w:val="0"/>
              <w:spacing w:before="20" w:after="20"/>
              <w:ind w:right="263"/>
              <w:jc w:val="right"/>
              <w:rPr>
                <w:color w:val="000000"/>
                <w:sz w:val="18"/>
                <w:szCs w:val="20"/>
                <w:lang w:val="fr-FR"/>
              </w:rPr>
            </w:pPr>
            <w:r>
              <w:rPr>
                <w:color w:val="000000"/>
                <w:sz w:val="18"/>
                <w:szCs w:val="20"/>
                <w:lang w:val="fr-FR"/>
              </w:rPr>
              <w:t>282 000</w:t>
            </w:r>
          </w:p>
        </w:tc>
        <w:tc>
          <w:tcPr>
            <w:tcW w:w="1317" w:type="dxa"/>
          </w:tcPr>
          <w:p w:rsidR="00000000" w:rsidRDefault="00000000">
            <w:pPr>
              <w:autoSpaceDE w:val="0"/>
              <w:autoSpaceDN w:val="0"/>
              <w:adjustRightInd w:val="0"/>
              <w:spacing w:before="20" w:after="20"/>
              <w:ind w:right="237"/>
              <w:jc w:val="right"/>
              <w:rPr>
                <w:color w:val="000000"/>
                <w:sz w:val="18"/>
                <w:szCs w:val="20"/>
                <w:lang w:val="fr-FR"/>
              </w:rPr>
            </w:pPr>
            <w:r>
              <w:rPr>
                <w:color w:val="000000"/>
                <w:sz w:val="18"/>
                <w:szCs w:val="20"/>
                <w:lang w:val="fr-FR"/>
              </w:rPr>
              <w:t>386 000</w:t>
            </w:r>
          </w:p>
        </w:tc>
        <w:tc>
          <w:tcPr>
            <w:tcW w:w="1080" w:type="dxa"/>
          </w:tcPr>
          <w:p w:rsidR="00000000" w:rsidRDefault="00000000">
            <w:pPr>
              <w:autoSpaceDE w:val="0"/>
              <w:autoSpaceDN w:val="0"/>
              <w:adjustRightInd w:val="0"/>
              <w:spacing w:before="20" w:after="20"/>
              <w:ind w:right="227"/>
              <w:jc w:val="right"/>
              <w:rPr>
                <w:color w:val="000000"/>
                <w:sz w:val="18"/>
                <w:szCs w:val="20"/>
                <w:lang w:val="fr-FR"/>
              </w:rPr>
            </w:pPr>
            <w:r>
              <w:rPr>
                <w:color w:val="000000"/>
                <w:sz w:val="18"/>
                <w:szCs w:val="20"/>
                <w:lang w:val="fr-FR"/>
              </w:rPr>
              <w:t>546 400</w:t>
            </w:r>
          </w:p>
        </w:tc>
        <w:tc>
          <w:tcPr>
            <w:tcW w:w="1080" w:type="dxa"/>
          </w:tcPr>
          <w:p w:rsidR="00000000" w:rsidRDefault="00000000">
            <w:pPr>
              <w:autoSpaceDE w:val="0"/>
              <w:autoSpaceDN w:val="0"/>
              <w:adjustRightInd w:val="0"/>
              <w:spacing w:before="20" w:after="20"/>
              <w:ind w:right="170"/>
              <w:jc w:val="right"/>
              <w:rPr>
                <w:color w:val="000000"/>
                <w:sz w:val="18"/>
                <w:szCs w:val="20"/>
                <w:lang w:val="fr-FR"/>
              </w:rPr>
            </w:pPr>
            <w:r>
              <w:rPr>
                <w:color w:val="000000"/>
                <w:sz w:val="18"/>
                <w:szCs w:val="20"/>
                <w:lang w:val="fr-FR"/>
              </w:rPr>
              <w:t>700 000</w:t>
            </w:r>
          </w:p>
        </w:tc>
        <w:tc>
          <w:tcPr>
            <w:tcW w:w="1260" w:type="dxa"/>
            <w:vAlign w:val="center"/>
          </w:tcPr>
          <w:p w:rsidR="00000000" w:rsidRDefault="00000000">
            <w:pPr>
              <w:tabs>
                <w:tab w:val="decimal" w:pos="500"/>
              </w:tabs>
              <w:autoSpaceDE w:val="0"/>
              <w:autoSpaceDN w:val="0"/>
              <w:adjustRightInd w:val="0"/>
              <w:spacing w:before="20" w:after="20"/>
              <w:rPr>
                <w:color w:val="000000"/>
                <w:sz w:val="18"/>
                <w:szCs w:val="20"/>
                <w:lang w:val="fr-FR"/>
              </w:rPr>
            </w:pPr>
            <w:r>
              <w:rPr>
                <w:color w:val="000000"/>
                <w:sz w:val="18"/>
                <w:szCs w:val="20"/>
                <w:lang w:val="fr-FR"/>
              </w:rPr>
              <w:t xml:space="preserve">191,67 </w:t>
            </w:r>
          </w:p>
        </w:tc>
        <w:tc>
          <w:tcPr>
            <w:tcW w:w="716" w:type="dxa"/>
          </w:tcPr>
          <w:p w:rsidR="00000000" w:rsidRDefault="00000000">
            <w:pPr>
              <w:autoSpaceDE w:val="0"/>
              <w:autoSpaceDN w:val="0"/>
              <w:adjustRightInd w:val="0"/>
              <w:spacing w:before="20" w:after="20"/>
              <w:jc w:val="right"/>
              <w:rPr>
                <w:color w:val="000000"/>
                <w:sz w:val="18"/>
                <w:szCs w:val="20"/>
                <w:lang w:val="fr-FR"/>
              </w:rPr>
            </w:pPr>
            <w:r>
              <w:rPr>
                <w:color w:val="000000"/>
                <w:sz w:val="18"/>
                <w:szCs w:val="20"/>
                <w:lang w:val="fr-FR"/>
              </w:rPr>
              <w:t xml:space="preserve">460 000  </w:t>
            </w:r>
          </w:p>
        </w:tc>
      </w:tr>
      <w:tr w:rsidR="00000000">
        <w:tblPrEx>
          <w:tblCellMar>
            <w:top w:w="0" w:type="dxa"/>
            <w:bottom w:w="0" w:type="dxa"/>
          </w:tblCellMar>
        </w:tblPrEx>
        <w:trPr>
          <w:jc w:val="center"/>
        </w:trPr>
        <w:tc>
          <w:tcPr>
            <w:tcW w:w="1743" w:type="dxa"/>
          </w:tcPr>
          <w:p w:rsidR="00000000" w:rsidRDefault="00000000">
            <w:pPr>
              <w:autoSpaceDE w:val="0"/>
              <w:autoSpaceDN w:val="0"/>
              <w:adjustRightInd w:val="0"/>
              <w:spacing w:before="20" w:after="20"/>
              <w:rPr>
                <w:color w:val="000000"/>
                <w:sz w:val="18"/>
                <w:szCs w:val="20"/>
                <w:lang w:val="fr-FR"/>
              </w:rPr>
            </w:pPr>
            <w:r>
              <w:rPr>
                <w:color w:val="000000"/>
                <w:sz w:val="18"/>
                <w:szCs w:val="20"/>
                <w:lang w:val="fr-FR"/>
              </w:rPr>
              <w:t>Indemnité de transport</w:t>
            </w:r>
          </w:p>
        </w:tc>
        <w:tc>
          <w:tcPr>
            <w:tcW w:w="900" w:type="dxa"/>
          </w:tcPr>
          <w:p w:rsidR="00000000" w:rsidRDefault="00000000">
            <w:pPr>
              <w:autoSpaceDE w:val="0"/>
              <w:autoSpaceDN w:val="0"/>
              <w:adjustRightInd w:val="0"/>
              <w:spacing w:before="20" w:after="20"/>
              <w:ind w:right="113"/>
              <w:jc w:val="right"/>
              <w:rPr>
                <w:color w:val="000000"/>
                <w:sz w:val="18"/>
                <w:szCs w:val="20"/>
                <w:lang w:val="fr-FR"/>
              </w:rPr>
            </w:pPr>
            <w:r>
              <w:rPr>
                <w:color w:val="000000"/>
                <w:sz w:val="18"/>
                <w:szCs w:val="20"/>
                <w:lang w:val="fr-FR"/>
              </w:rPr>
              <w:t>20 000</w:t>
            </w:r>
          </w:p>
        </w:tc>
        <w:tc>
          <w:tcPr>
            <w:tcW w:w="1203" w:type="dxa"/>
          </w:tcPr>
          <w:p w:rsidR="00000000" w:rsidRDefault="00000000">
            <w:pPr>
              <w:autoSpaceDE w:val="0"/>
              <w:autoSpaceDN w:val="0"/>
              <w:adjustRightInd w:val="0"/>
              <w:spacing w:before="20" w:after="20"/>
              <w:ind w:right="263"/>
              <w:jc w:val="right"/>
              <w:rPr>
                <w:color w:val="000000"/>
                <w:sz w:val="18"/>
                <w:szCs w:val="20"/>
                <w:lang w:val="fr-FR"/>
              </w:rPr>
            </w:pPr>
            <w:r>
              <w:rPr>
                <w:color w:val="000000"/>
                <w:sz w:val="18"/>
                <w:szCs w:val="20"/>
                <w:lang w:val="fr-FR"/>
              </w:rPr>
              <w:t>32 000</w:t>
            </w:r>
          </w:p>
        </w:tc>
        <w:tc>
          <w:tcPr>
            <w:tcW w:w="1317" w:type="dxa"/>
          </w:tcPr>
          <w:p w:rsidR="00000000" w:rsidRDefault="00000000">
            <w:pPr>
              <w:autoSpaceDE w:val="0"/>
              <w:autoSpaceDN w:val="0"/>
              <w:adjustRightInd w:val="0"/>
              <w:spacing w:before="20" w:after="20"/>
              <w:ind w:right="237"/>
              <w:jc w:val="right"/>
              <w:rPr>
                <w:color w:val="000000"/>
                <w:sz w:val="18"/>
                <w:szCs w:val="20"/>
                <w:lang w:val="fr-FR"/>
              </w:rPr>
            </w:pPr>
            <w:r>
              <w:rPr>
                <w:color w:val="000000"/>
                <w:sz w:val="18"/>
                <w:szCs w:val="20"/>
                <w:lang w:val="fr-FR"/>
              </w:rPr>
              <w:t>40 000</w:t>
            </w:r>
          </w:p>
        </w:tc>
        <w:tc>
          <w:tcPr>
            <w:tcW w:w="1080" w:type="dxa"/>
          </w:tcPr>
          <w:p w:rsidR="00000000" w:rsidRDefault="00000000">
            <w:pPr>
              <w:autoSpaceDE w:val="0"/>
              <w:autoSpaceDN w:val="0"/>
              <w:adjustRightInd w:val="0"/>
              <w:spacing w:before="20" w:after="20"/>
              <w:ind w:right="227"/>
              <w:jc w:val="right"/>
              <w:rPr>
                <w:color w:val="000000"/>
                <w:sz w:val="18"/>
                <w:szCs w:val="20"/>
                <w:lang w:val="fr-FR"/>
              </w:rPr>
            </w:pPr>
            <w:r>
              <w:rPr>
                <w:color w:val="000000"/>
                <w:sz w:val="18"/>
                <w:szCs w:val="20"/>
                <w:lang w:val="fr-FR"/>
              </w:rPr>
              <w:t>56 000</w:t>
            </w:r>
          </w:p>
        </w:tc>
        <w:tc>
          <w:tcPr>
            <w:tcW w:w="1080" w:type="dxa"/>
          </w:tcPr>
          <w:p w:rsidR="00000000" w:rsidRDefault="00000000">
            <w:pPr>
              <w:autoSpaceDE w:val="0"/>
              <w:autoSpaceDN w:val="0"/>
              <w:adjustRightInd w:val="0"/>
              <w:spacing w:before="20" w:after="20"/>
              <w:ind w:right="170" w:hanging="62"/>
              <w:jc w:val="right"/>
              <w:rPr>
                <w:color w:val="000000"/>
                <w:sz w:val="18"/>
                <w:szCs w:val="20"/>
                <w:lang w:val="fr-FR"/>
              </w:rPr>
            </w:pPr>
            <w:r>
              <w:rPr>
                <w:color w:val="000000"/>
                <w:sz w:val="18"/>
                <w:szCs w:val="20"/>
                <w:lang w:val="fr-FR"/>
              </w:rPr>
              <w:t>80 000</w:t>
            </w:r>
          </w:p>
        </w:tc>
        <w:tc>
          <w:tcPr>
            <w:tcW w:w="1260" w:type="dxa"/>
            <w:vAlign w:val="center"/>
          </w:tcPr>
          <w:p w:rsidR="00000000" w:rsidRDefault="00000000">
            <w:pPr>
              <w:tabs>
                <w:tab w:val="decimal" w:pos="500"/>
              </w:tabs>
              <w:autoSpaceDE w:val="0"/>
              <w:autoSpaceDN w:val="0"/>
              <w:adjustRightInd w:val="0"/>
              <w:spacing w:before="20" w:after="20"/>
              <w:rPr>
                <w:color w:val="000000"/>
                <w:sz w:val="18"/>
                <w:szCs w:val="20"/>
                <w:lang w:val="fr-FR"/>
              </w:rPr>
            </w:pPr>
            <w:r>
              <w:rPr>
                <w:color w:val="000000"/>
                <w:sz w:val="18"/>
                <w:szCs w:val="20"/>
                <w:lang w:val="fr-FR"/>
              </w:rPr>
              <w:t xml:space="preserve">300,00 </w:t>
            </w:r>
          </w:p>
        </w:tc>
        <w:tc>
          <w:tcPr>
            <w:tcW w:w="716" w:type="dxa"/>
          </w:tcPr>
          <w:p w:rsidR="00000000" w:rsidRDefault="00000000">
            <w:pPr>
              <w:autoSpaceDE w:val="0"/>
              <w:autoSpaceDN w:val="0"/>
              <w:adjustRightInd w:val="0"/>
              <w:spacing w:before="20" w:after="20"/>
              <w:jc w:val="right"/>
              <w:rPr>
                <w:color w:val="000000"/>
                <w:sz w:val="18"/>
                <w:szCs w:val="20"/>
                <w:lang w:val="fr-FR"/>
              </w:rPr>
            </w:pPr>
            <w:r>
              <w:rPr>
                <w:color w:val="000000"/>
                <w:sz w:val="18"/>
                <w:szCs w:val="20"/>
                <w:lang w:val="fr-FR"/>
              </w:rPr>
              <w:t xml:space="preserve">60 000  </w:t>
            </w:r>
          </w:p>
        </w:tc>
      </w:tr>
      <w:tr w:rsidR="00000000">
        <w:tblPrEx>
          <w:tblCellMar>
            <w:top w:w="0" w:type="dxa"/>
            <w:bottom w:w="0" w:type="dxa"/>
          </w:tblCellMar>
        </w:tblPrEx>
        <w:trPr>
          <w:jc w:val="center"/>
        </w:trPr>
        <w:tc>
          <w:tcPr>
            <w:tcW w:w="1743" w:type="dxa"/>
          </w:tcPr>
          <w:p w:rsidR="00000000" w:rsidRDefault="00000000">
            <w:pPr>
              <w:autoSpaceDE w:val="0"/>
              <w:autoSpaceDN w:val="0"/>
              <w:adjustRightInd w:val="0"/>
              <w:spacing w:before="20" w:after="20"/>
              <w:rPr>
                <w:color w:val="000000"/>
                <w:sz w:val="18"/>
                <w:szCs w:val="20"/>
                <w:lang w:val="fr-FR"/>
              </w:rPr>
            </w:pPr>
            <w:r>
              <w:rPr>
                <w:color w:val="000000"/>
                <w:sz w:val="18"/>
                <w:szCs w:val="20"/>
                <w:lang w:val="fr-FR"/>
              </w:rPr>
              <w:t xml:space="preserve">Seizième salaire </w:t>
            </w:r>
          </w:p>
        </w:tc>
        <w:tc>
          <w:tcPr>
            <w:tcW w:w="900" w:type="dxa"/>
          </w:tcPr>
          <w:p w:rsidR="00000000" w:rsidRDefault="00000000">
            <w:pPr>
              <w:autoSpaceDE w:val="0"/>
              <w:autoSpaceDN w:val="0"/>
              <w:adjustRightInd w:val="0"/>
              <w:spacing w:before="20" w:after="20"/>
              <w:ind w:right="113"/>
              <w:jc w:val="right"/>
              <w:rPr>
                <w:color w:val="000000"/>
                <w:sz w:val="18"/>
                <w:szCs w:val="20"/>
                <w:lang w:val="fr-FR"/>
              </w:rPr>
            </w:pPr>
            <w:r>
              <w:rPr>
                <w:color w:val="000000"/>
                <w:sz w:val="18"/>
                <w:szCs w:val="20"/>
                <w:lang w:val="fr-FR"/>
              </w:rPr>
              <w:t>15 833</w:t>
            </w:r>
          </w:p>
        </w:tc>
        <w:tc>
          <w:tcPr>
            <w:tcW w:w="1203" w:type="dxa"/>
          </w:tcPr>
          <w:p w:rsidR="00000000" w:rsidRDefault="00000000">
            <w:pPr>
              <w:autoSpaceDE w:val="0"/>
              <w:autoSpaceDN w:val="0"/>
              <w:adjustRightInd w:val="0"/>
              <w:spacing w:before="20" w:after="20"/>
              <w:ind w:right="263"/>
              <w:jc w:val="right"/>
              <w:rPr>
                <w:color w:val="000000"/>
                <w:sz w:val="18"/>
                <w:szCs w:val="20"/>
                <w:lang w:val="fr-FR"/>
              </w:rPr>
            </w:pPr>
            <w:r>
              <w:rPr>
                <w:color w:val="000000"/>
                <w:sz w:val="18"/>
                <w:szCs w:val="20"/>
                <w:lang w:val="fr-FR"/>
              </w:rPr>
              <w:t>15 833</w:t>
            </w:r>
          </w:p>
        </w:tc>
        <w:tc>
          <w:tcPr>
            <w:tcW w:w="1317" w:type="dxa"/>
          </w:tcPr>
          <w:p w:rsidR="00000000" w:rsidRDefault="00000000">
            <w:pPr>
              <w:autoSpaceDE w:val="0"/>
              <w:autoSpaceDN w:val="0"/>
              <w:adjustRightInd w:val="0"/>
              <w:spacing w:before="20" w:after="20"/>
              <w:ind w:right="237"/>
              <w:jc w:val="right"/>
              <w:rPr>
                <w:color w:val="000000"/>
                <w:sz w:val="18"/>
                <w:szCs w:val="20"/>
                <w:lang w:val="fr-FR"/>
              </w:rPr>
            </w:pPr>
            <w:r>
              <w:rPr>
                <w:color w:val="000000"/>
                <w:sz w:val="18"/>
                <w:szCs w:val="20"/>
                <w:lang w:val="fr-FR"/>
              </w:rPr>
              <w:t>16 667</w:t>
            </w:r>
          </w:p>
        </w:tc>
        <w:tc>
          <w:tcPr>
            <w:tcW w:w="1080" w:type="dxa"/>
          </w:tcPr>
          <w:p w:rsidR="00000000" w:rsidRDefault="00000000">
            <w:pPr>
              <w:autoSpaceDE w:val="0"/>
              <w:autoSpaceDN w:val="0"/>
              <w:adjustRightInd w:val="0"/>
              <w:spacing w:before="20" w:after="20"/>
              <w:ind w:right="227"/>
              <w:jc w:val="right"/>
              <w:rPr>
                <w:color w:val="000000"/>
                <w:sz w:val="18"/>
                <w:szCs w:val="20"/>
                <w:lang w:val="fr-FR"/>
              </w:rPr>
            </w:pPr>
            <w:r>
              <w:rPr>
                <w:color w:val="000000"/>
                <w:sz w:val="18"/>
                <w:szCs w:val="20"/>
                <w:lang w:val="fr-FR"/>
              </w:rPr>
              <w:t>16 667</w:t>
            </w:r>
          </w:p>
        </w:tc>
        <w:tc>
          <w:tcPr>
            <w:tcW w:w="1080" w:type="dxa"/>
          </w:tcPr>
          <w:p w:rsidR="00000000" w:rsidRDefault="00000000">
            <w:pPr>
              <w:autoSpaceDE w:val="0"/>
              <w:autoSpaceDN w:val="0"/>
              <w:adjustRightInd w:val="0"/>
              <w:spacing w:before="20" w:after="20"/>
              <w:ind w:right="170"/>
              <w:jc w:val="right"/>
              <w:rPr>
                <w:color w:val="000000"/>
                <w:sz w:val="18"/>
                <w:szCs w:val="20"/>
                <w:lang w:val="fr-FR"/>
              </w:rPr>
            </w:pPr>
            <w:r>
              <w:rPr>
                <w:color w:val="000000"/>
                <w:sz w:val="18"/>
                <w:szCs w:val="20"/>
                <w:lang w:val="fr-FR"/>
              </w:rPr>
              <w:t>16 667</w:t>
            </w:r>
          </w:p>
        </w:tc>
        <w:tc>
          <w:tcPr>
            <w:tcW w:w="1260" w:type="dxa"/>
            <w:vAlign w:val="center"/>
          </w:tcPr>
          <w:p w:rsidR="00000000" w:rsidRDefault="00000000">
            <w:pPr>
              <w:tabs>
                <w:tab w:val="decimal" w:pos="500"/>
              </w:tabs>
              <w:autoSpaceDE w:val="0"/>
              <w:autoSpaceDN w:val="0"/>
              <w:adjustRightInd w:val="0"/>
              <w:spacing w:before="20" w:after="20"/>
              <w:rPr>
                <w:color w:val="000000"/>
                <w:sz w:val="18"/>
                <w:szCs w:val="20"/>
                <w:lang w:val="fr-FR"/>
              </w:rPr>
            </w:pPr>
            <w:r>
              <w:rPr>
                <w:color w:val="000000"/>
                <w:sz w:val="18"/>
                <w:szCs w:val="20"/>
                <w:lang w:val="fr-FR"/>
              </w:rPr>
              <w:t xml:space="preserve">5,27 </w:t>
            </w:r>
          </w:p>
        </w:tc>
        <w:tc>
          <w:tcPr>
            <w:tcW w:w="716" w:type="dxa"/>
          </w:tcPr>
          <w:p w:rsidR="00000000" w:rsidRDefault="00000000">
            <w:pPr>
              <w:autoSpaceDE w:val="0"/>
              <w:autoSpaceDN w:val="0"/>
              <w:adjustRightInd w:val="0"/>
              <w:spacing w:before="20" w:after="20"/>
              <w:jc w:val="right"/>
              <w:rPr>
                <w:color w:val="000000"/>
                <w:sz w:val="18"/>
                <w:szCs w:val="20"/>
                <w:lang w:val="fr-FR"/>
              </w:rPr>
            </w:pPr>
            <w:r>
              <w:rPr>
                <w:color w:val="000000"/>
                <w:sz w:val="18"/>
                <w:szCs w:val="20"/>
                <w:lang w:val="fr-FR"/>
              </w:rPr>
              <w:t xml:space="preserve">834  </w:t>
            </w:r>
          </w:p>
        </w:tc>
      </w:tr>
      <w:tr w:rsidR="00000000">
        <w:tblPrEx>
          <w:tblCellMar>
            <w:top w:w="0" w:type="dxa"/>
            <w:bottom w:w="0" w:type="dxa"/>
          </w:tblCellMar>
        </w:tblPrEx>
        <w:trPr>
          <w:jc w:val="center"/>
        </w:trPr>
        <w:tc>
          <w:tcPr>
            <w:tcW w:w="1743" w:type="dxa"/>
          </w:tcPr>
          <w:p w:rsidR="00000000" w:rsidRDefault="00000000">
            <w:pPr>
              <w:autoSpaceDE w:val="0"/>
              <w:autoSpaceDN w:val="0"/>
              <w:adjustRightInd w:val="0"/>
              <w:spacing w:before="20" w:after="20"/>
              <w:rPr>
                <w:color w:val="000000"/>
                <w:sz w:val="18"/>
                <w:szCs w:val="20"/>
                <w:lang w:val="fr-FR"/>
              </w:rPr>
            </w:pPr>
            <w:r>
              <w:rPr>
                <w:color w:val="000000"/>
                <w:sz w:val="18"/>
                <w:szCs w:val="20"/>
                <w:lang w:val="fr-FR"/>
              </w:rPr>
              <w:t>Salaire mensuel nominal</w:t>
            </w:r>
          </w:p>
        </w:tc>
        <w:tc>
          <w:tcPr>
            <w:tcW w:w="900" w:type="dxa"/>
          </w:tcPr>
          <w:p w:rsidR="00000000" w:rsidRDefault="00000000">
            <w:pPr>
              <w:autoSpaceDE w:val="0"/>
              <w:autoSpaceDN w:val="0"/>
              <w:adjustRightInd w:val="0"/>
              <w:spacing w:before="20" w:after="20"/>
              <w:ind w:right="113"/>
              <w:jc w:val="right"/>
              <w:rPr>
                <w:color w:val="000000"/>
                <w:sz w:val="18"/>
                <w:szCs w:val="20"/>
                <w:lang w:val="fr-FR"/>
              </w:rPr>
            </w:pPr>
            <w:r>
              <w:rPr>
                <w:color w:val="000000"/>
                <w:sz w:val="18"/>
                <w:szCs w:val="20"/>
                <w:lang w:val="fr-FR"/>
              </w:rPr>
              <w:t>525 833</w:t>
            </w:r>
          </w:p>
        </w:tc>
        <w:tc>
          <w:tcPr>
            <w:tcW w:w="1203" w:type="dxa"/>
          </w:tcPr>
          <w:p w:rsidR="00000000" w:rsidRDefault="00000000">
            <w:pPr>
              <w:autoSpaceDE w:val="0"/>
              <w:autoSpaceDN w:val="0"/>
              <w:adjustRightInd w:val="0"/>
              <w:spacing w:before="20" w:after="20"/>
              <w:ind w:right="263"/>
              <w:jc w:val="right"/>
              <w:rPr>
                <w:color w:val="000000"/>
                <w:sz w:val="18"/>
                <w:szCs w:val="20"/>
                <w:lang w:val="fr-FR"/>
              </w:rPr>
            </w:pPr>
            <w:r>
              <w:rPr>
                <w:color w:val="000000"/>
                <w:sz w:val="18"/>
                <w:szCs w:val="20"/>
                <w:lang w:val="fr-FR"/>
              </w:rPr>
              <w:t>599 833</w:t>
            </w:r>
          </w:p>
        </w:tc>
        <w:tc>
          <w:tcPr>
            <w:tcW w:w="1317" w:type="dxa"/>
          </w:tcPr>
          <w:p w:rsidR="00000000" w:rsidRDefault="00000000">
            <w:pPr>
              <w:autoSpaceDE w:val="0"/>
              <w:autoSpaceDN w:val="0"/>
              <w:adjustRightInd w:val="0"/>
              <w:spacing w:before="20" w:after="20"/>
              <w:ind w:right="237"/>
              <w:jc w:val="right"/>
              <w:rPr>
                <w:color w:val="000000"/>
                <w:sz w:val="18"/>
                <w:szCs w:val="20"/>
                <w:lang w:val="fr-FR"/>
              </w:rPr>
            </w:pPr>
            <w:r>
              <w:rPr>
                <w:color w:val="000000"/>
                <w:sz w:val="18"/>
                <w:szCs w:val="20"/>
                <w:lang w:val="fr-FR"/>
              </w:rPr>
              <w:t>732 667</w:t>
            </w:r>
          </w:p>
        </w:tc>
        <w:tc>
          <w:tcPr>
            <w:tcW w:w="1080" w:type="dxa"/>
          </w:tcPr>
          <w:p w:rsidR="00000000" w:rsidRDefault="00000000">
            <w:pPr>
              <w:autoSpaceDE w:val="0"/>
              <w:autoSpaceDN w:val="0"/>
              <w:adjustRightInd w:val="0"/>
              <w:spacing w:before="20" w:after="20"/>
              <w:ind w:right="227"/>
              <w:jc w:val="right"/>
              <w:rPr>
                <w:color w:val="000000"/>
                <w:sz w:val="18"/>
                <w:szCs w:val="20"/>
                <w:lang w:val="fr-FR"/>
              </w:rPr>
            </w:pPr>
            <w:r>
              <w:rPr>
                <w:color w:val="000000"/>
                <w:sz w:val="18"/>
                <w:szCs w:val="20"/>
                <w:lang w:val="fr-FR"/>
              </w:rPr>
              <w:t>1 019 067</w:t>
            </w:r>
          </w:p>
        </w:tc>
        <w:tc>
          <w:tcPr>
            <w:tcW w:w="1080" w:type="dxa"/>
          </w:tcPr>
          <w:p w:rsidR="00000000" w:rsidRDefault="00000000">
            <w:pPr>
              <w:autoSpaceDE w:val="0"/>
              <w:autoSpaceDN w:val="0"/>
              <w:adjustRightInd w:val="0"/>
              <w:spacing w:before="20" w:after="20"/>
              <w:ind w:right="170"/>
              <w:jc w:val="right"/>
              <w:rPr>
                <w:color w:val="000000"/>
                <w:sz w:val="18"/>
                <w:szCs w:val="20"/>
                <w:lang w:val="fr-FR"/>
              </w:rPr>
            </w:pPr>
            <w:r>
              <w:rPr>
                <w:color w:val="000000"/>
                <w:sz w:val="18"/>
                <w:szCs w:val="20"/>
                <w:lang w:val="fr-FR"/>
              </w:rPr>
              <w:t>1 196 667</w:t>
            </w:r>
          </w:p>
        </w:tc>
        <w:tc>
          <w:tcPr>
            <w:tcW w:w="1260" w:type="dxa"/>
            <w:vAlign w:val="center"/>
          </w:tcPr>
          <w:p w:rsidR="00000000" w:rsidRDefault="00000000">
            <w:pPr>
              <w:tabs>
                <w:tab w:val="decimal" w:pos="500"/>
              </w:tabs>
              <w:autoSpaceDE w:val="0"/>
              <w:autoSpaceDN w:val="0"/>
              <w:adjustRightInd w:val="0"/>
              <w:spacing w:before="20" w:after="20"/>
              <w:rPr>
                <w:color w:val="000000"/>
                <w:sz w:val="18"/>
                <w:szCs w:val="20"/>
                <w:lang w:val="fr-FR"/>
              </w:rPr>
            </w:pPr>
            <w:r>
              <w:rPr>
                <w:color w:val="000000"/>
                <w:sz w:val="18"/>
                <w:szCs w:val="20"/>
                <w:lang w:val="fr-FR"/>
              </w:rPr>
              <w:t xml:space="preserve">127,58 </w:t>
            </w:r>
          </w:p>
        </w:tc>
        <w:tc>
          <w:tcPr>
            <w:tcW w:w="716" w:type="dxa"/>
            <w:vAlign w:val="center"/>
          </w:tcPr>
          <w:p w:rsidR="00000000" w:rsidRDefault="00000000">
            <w:pPr>
              <w:tabs>
                <w:tab w:val="decimal" w:pos="500"/>
              </w:tabs>
              <w:autoSpaceDE w:val="0"/>
              <w:autoSpaceDN w:val="0"/>
              <w:adjustRightInd w:val="0"/>
              <w:spacing w:before="20" w:after="20"/>
              <w:jc w:val="right"/>
              <w:rPr>
                <w:color w:val="000000"/>
                <w:sz w:val="18"/>
                <w:szCs w:val="20"/>
                <w:lang w:val="fr-FR"/>
              </w:rPr>
            </w:pPr>
            <w:r>
              <w:rPr>
                <w:color w:val="000000"/>
                <w:sz w:val="18"/>
                <w:szCs w:val="20"/>
                <w:lang w:val="fr-FR"/>
              </w:rPr>
              <w:t xml:space="preserve">670 834  </w:t>
            </w:r>
          </w:p>
        </w:tc>
      </w:tr>
      <w:tr w:rsidR="00000000">
        <w:tblPrEx>
          <w:tblCellMar>
            <w:top w:w="0" w:type="dxa"/>
            <w:bottom w:w="0" w:type="dxa"/>
          </w:tblCellMar>
        </w:tblPrEx>
        <w:trPr>
          <w:jc w:val="center"/>
        </w:trPr>
        <w:tc>
          <w:tcPr>
            <w:tcW w:w="1743" w:type="dxa"/>
          </w:tcPr>
          <w:p w:rsidR="00000000" w:rsidRDefault="00000000">
            <w:pPr>
              <w:autoSpaceDE w:val="0"/>
              <w:autoSpaceDN w:val="0"/>
              <w:adjustRightInd w:val="0"/>
              <w:spacing w:before="20" w:after="20"/>
              <w:rPr>
                <w:color w:val="000000"/>
                <w:sz w:val="18"/>
                <w:szCs w:val="20"/>
                <w:lang w:val="fr-FR"/>
              </w:rPr>
            </w:pPr>
          </w:p>
        </w:tc>
        <w:tc>
          <w:tcPr>
            <w:tcW w:w="900" w:type="dxa"/>
          </w:tcPr>
          <w:p w:rsidR="00000000" w:rsidRDefault="00000000">
            <w:pPr>
              <w:autoSpaceDE w:val="0"/>
              <w:autoSpaceDN w:val="0"/>
              <w:adjustRightInd w:val="0"/>
              <w:spacing w:before="20" w:after="20"/>
              <w:ind w:right="113"/>
              <w:jc w:val="right"/>
              <w:rPr>
                <w:color w:val="000000"/>
                <w:sz w:val="18"/>
                <w:szCs w:val="20"/>
                <w:lang w:val="fr-FR"/>
              </w:rPr>
            </w:pPr>
          </w:p>
        </w:tc>
        <w:tc>
          <w:tcPr>
            <w:tcW w:w="1203" w:type="dxa"/>
          </w:tcPr>
          <w:p w:rsidR="00000000" w:rsidRDefault="00000000">
            <w:pPr>
              <w:autoSpaceDE w:val="0"/>
              <w:autoSpaceDN w:val="0"/>
              <w:adjustRightInd w:val="0"/>
              <w:spacing w:before="20" w:after="20"/>
              <w:ind w:right="263"/>
              <w:jc w:val="right"/>
              <w:rPr>
                <w:color w:val="000000"/>
                <w:sz w:val="18"/>
                <w:szCs w:val="20"/>
                <w:lang w:val="fr-FR"/>
              </w:rPr>
            </w:pPr>
          </w:p>
        </w:tc>
        <w:tc>
          <w:tcPr>
            <w:tcW w:w="1317" w:type="dxa"/>
          </w:tcPr>
          <w:p w:rsidR="00000000" w:rsidRDefault="00000000">
            <w:pPr>
              <w:autoSpaceDE w:val="0"/>
              <w:autoSpaceDN w:val="0"/>
              <w:adjustRightInd w:val="0"/>
              <w:spacing w:before="20" w:after="20"/>
              <w:ind w:right="237"/>
              <w:jc w:val="right"/>
              <w:rPr>
                <w:color w:val="000000"/>
                <w:sz w:val="18"/>
                <w:szCs w:val="20"/>
                <w:lang w:val="fr-FR"/>
              </w:rPr>
            </w:pPr>
          </w:p>
        </w:tc>
        <w:tc>
          <w:tcPr>
            <w:tcW w:w="1080" w:type="dxa"/>
          </w:tcPr>
          <w:p w:rsidR="00000000" w:rsidRDefault="00000000">
            <w:pPr>
              <w:autoSpaceDE w:val="0"/>
              <w:autoSpaceDN w:val="0"/>
              <w:adjustRightInd w:val="0"/>
              <w:spacing w:before="20" w:after="20"/>
              <w:ind w:right="227"/>
              <w:jc w:val="right"/>
              <w:rPr>
                <w:color w:val="000000"/>
                <w:sz w:val="18"/>
                <w:szCs w:val="20"/>
                <w:lang w:val="fr-FR"/>
              </w:rPr>
            </w:pPr>
          </w:p>
        </w:tc>
        <w:tc>
          <w:tcPr>
            <w:tcW w:w="1080" w:type="dxa"/>
          </w:tcPr>
          <w:p w:rsidR="00000000" w:rsidRDefault="00000000">
            <w:pPr>
              <w:autoSpaceDE w:val="0"/>
              <w:autoSpaceDN w:val="0"/>
              <w:adjustRightInd w:val="0"/>
              <w:spacing w:before="20" w:after="20"/>
              <w:ind w:right="170"/>
              <w:jc w:val="right"/>
              <w:rPr>
                <w:color w:val="000000"/>
                <w:sz w:val="18"/>
                <w:szCs w:val="20"/>
                <w:lang w:val="fr-FR"/>
              </w:rPr>
            </w:pPr>
          </w:p>
        </w:tc>
        <w:tc>
          <w:tcPr>
            <w:tcW w:w="1260" w:type="dxa"/>
            <w:vAlign w:val="center"/>
          </w:tcPr>
          <w:p w:rsidR="00000000" w:rsidRDefault="00000000">
            <w:pPr>
              <w:tabs>
                <w:tab w:val="decimal" w:pos="500"/>
              </w:tabs>
              <w:autoSpaceDE w:val="0"/>
              <w:autoSpaceDN w:val="0"/>
              <w:adjustRightInd w:val="0"/>
              <w:spacing w:before="20" w:after="20"/>
              <w:rPr>
                <w:color w:val="000000"/>
                <w:sz w:val="18"/>
                <w:szCs w:val="20"/>
                <w:lang w:val="fr-FR"/>
              </w:rPr>
            </w:pPr>
          </w:p>
        </w:tc>
        <w:tc>
          <w:tcPr>
            <w:tcW w:w="716" w:type="dxa"/>
          </w:tcPr>
          <w:p w:rsidR="00000000" w:rsidRDefault="00000000">
            <w:pPr>
              <w:autoSpaceDE w:val="0"/>
              <w:autoSpaceDN w:val="0"/>
              <w:adjustRightInd w:val="0"/>
              <w:spacing w:before="20" w:after="20"/>
              <w:jc w:val="right"/>
              <w:rPr>
                <w:color w:val="000000"/>
                <w:sz w:val="18"/>
                <w:szCs w:val="20"/>
                <w:lang w:val="fr-FR"/>
              </w:rPr>
            </w:pPr>
          </w:p>
        </w:tc>
      </w:tr>
      <w:tr w:rsidR="00000000">
        <w:tblPrEx>
          <w:tblCellMar>
            <w:top w:w="0" w:type="dxa"/>
            <w:bottom w:w="0" w:type="dxa"/>
          </w:tblCellMar>
        </w:tblPrEx>
        <w:trPr>
          <w:jc w:val="center"/>
        </w:trPr>
        <w:tc>
          <w:tcPr>
            <w:tcW w:w="1743" w:type="dxa"/>
          </w:tcPr>
          <w:p w:rsidR="00000000" w:rsidRDefault="00000000">
            <w:pPr>
              <w:autoSpaceDE w:val="0"/>
              <w:autoSpaceDN w:val="0"/>
              <w:adjustRightInd w:val="0"/>
              <w:spacing w:before="20" w:after="20"/>
              <w:rPr>
                <w:color w:val="000000"/>
                <w:sz w:val="18"/>
                <w:szCs w:val="20"/>
                <w:lang w:val="fr-FR"/>
              </w:rPr>
            </w:pPr>
            <w:r>
              <w:rPr>
                <w:color w:val="000000"/>
                <w:sz w:val="18"/>
                <w:szCs w:val="20"/>
                <w:lang w:val="fr-FR"/>
              </w:rPr>
              <w:t xml:space="preserve">Treizième salaire </w:t>
            </w:r>
          </w:p>
        </w:tc>
        <w:tc>
          <w:tcPr>
            <w:tcW w:w="900" w:type="dxa"/>
          </w:tcPr>
          <w:p w:rsidR="00000000" w:rsidRDefault="00000000">
            <w:pPr>
              <w:autoSpaceDE w:val="0"/>
              <w:autoSpaceDN w:val="0"/>
              <w:adjustRightInd w:val="0"/>
              <w:spacing w:before="20" w:after="20"/>
              <w:ind w:right="113"/>
              <w:jc w:val="right"/>
              <w:rPr>
                <w:color w:val="000000"/>
                <w:sz w:val="18"/>
                <w:szCs w:val="20"/>
                <w:lang w:val="fr-FR"/>
              </w:rPr>
            </w:pPr>
            <w:r>
              <w:rPr>
                <w:color w:val="000000"/>
                <w:sz w:val="18"/>
                <w:szCs w:val="20"/>
                <w:lang w:val="fr-FR"/>
              </w:rPr>
              <w:t>7 917</w:t>
            </w:r>
          </w:p>
        </w:tc>
        <w:tc>
          <w:tcPr>
            <w:tcW w:w="1203" w:type="dxa"/>
          </w:tcPr>
          <w:p w:rsidR="00000000" w:rsidRDefault="00000000">
            <w:pPr>
              <w:autoSpaceDE w:val="0"/>
              <w:autoSpaceDN w:val="0"/>
              <w:adjustRightInd w:val="0"/>
              <w:spacing w:before="20" w:after="20"/>
              <w:ind w:right="263"/>
              <w:jc w:val="right"/>
              <w:rPr>
                <w:color w:val="000000"/>
                <w:sz w:val="18"/>
                <w:szCs w:val="20"/>
                <w:lang w:val="fr-FR"/>
              </w:rPr>
            </w:pPr>
            <w:r>
              <w:rPr>
                <w:color w:val="000000"/>
                <w:sz w:val="18"/>
                <w:szCs w:val="20"/>
                <w:lang w:val="fr-FR"/>
              </w:rPr>
              <w:t>8 090</w:t>
            </w:r>
          </w:p>
        </w:tc>
        <w:tc>
          <w:tcPr>
            <w:tcW w:w="1317" w:type="dxa"/>
          </w:tcPr>
          <w:p w:rsidR="00000000" w:rsidRDefault="00000000">
            <w:pPr>
              <w:autoSpaceDE w:val="0"/>
              <w:autoSpaceDN w:val="0"/>
              <w:adjustRightInd w:val="0"/>
              <w:spacing w:before="20" w:after="20"/>
              <w:ind w:right="237"/>
              <w:jc w:val="right"/>
              <w:rPr>
                <w:color w:val="000000"/>
                <w:sz w:val="18"/>
                <w:szCs w:val="20"/>
                <w:lang w:val="fr-FR"/>
              </w:rPr>
            </w:pPr>
            <w:r>
              <w:rPr>
                <w:color w:val="000000"/>
                <w:sz w:val="18"/>
                <w:szCs w:val="20"/>
                <w:lang w:val="fr-FR"/>
              </w:rPr>
              <w:t>8 333</w:t>
            </w:r>
          </w:p>
        </w:tc>
        <w:tc>
          <w:tcPr>
            <w:tcW w:w="1080" w:type="dxa"/>
          </w:tcPr>
          <w:p w:rsidR="00000000" w:rsidRDefault="00000000">
            <w:pPr>
              <w:autoSpaceDE w:val="0"/>
              <w:autoSpaceDN w:val="0"/>
              <w:adjustRightInd w:val="0"/>
              <w:spacing w:before="20" w:after="20"/>
              <w:ind w:right="227"/>
              <w:jc w:val="right"/>
              <w:rPr>
                <w:color w:val="000000"/>
                <w:sz w:val="18"/>
                <w:szCs w:val="20"/>
                <w:lang w:val="fr-FR"/>
              </w:rPr>
            </w:pPr>
            <w:r>
              <w:rPr>
                <w:color w:val="000000"/>
                <w:sz w:val="18"/>
                <w:szCs w:val="20"/>
                <w:lang w:val="fr-FR"/>
              </w:rPr>
              <w:t>8 333</w:t>
            </w:r>
          </w:p>
        </w:tc>
        <w:tc>
          <w:tcPr>
            <w:tcW w:w="1080" w:type="dxa"/>
          </w:tcPr>
          <w:p w:rsidR="00000000" w:rsidRDefault="00000000">
            <w:pPr>
              <w:autoSpaceDE w:val="0"/>
              <w:autoSpaceDN w:val="0"/>
              <w:adjustRightInd w:val="0"/>
              <w:spacing w:before="20" w:after="20"/>
              <w:ind w:right="170"/>
              <w:jc w:val="right"/>
              <w:rPr>
                <w:color w:val="000000"/>
                <w:sz w:val="18"/>
                <w:szCs w:val="20"/>
                <w:lang w:val="fr-FR"/>
              </w:rPr>
            </w:pPr>
            <w:r>
              <w:rPr>
                <w:color w:val="000000"/>
                <w:sz w:val="18"/>
                <w:szCs w:val="20"/>
                <w:lang w:val="fr-FR"/>
              </w:rPr>
              <w:t>8 333</w:t>
            </w:r>
          </w:p>
        </w:tc>
        <w:tc>
          <w:tcPr>
            <w:tcW w:w="1260" w:type="dxa"/>
            <w:vAlign w:val="center"/>
          </w:tcPr>
          <w:p w:rsidR="00000000" w:rsidRDefault="00000000">
            <w:pPr>
              <w:tabs>
                <w:tab w:val="decimal" w:pos="500"/>
              </w:tabs>
              <w:autoSpaceDE w:val="0"/>
              <w:autoSpaceDN w:val="0"/>
              <w:adjustRightInd w:val="0"/>
              <w:spacing w:before="20" w:after="20"/>
              <w:rPr>
                <w:color w:val="000000"/>
                <w:sz w:val="18"/>
                <w:szCs w:val="20"/>
                <w:lang w:val="fr-FR"/>
              </w:rPr>
            </w:pPr>
            <w:r>
              <w:rPr>
                <w:color w:val="000000"/>
                <w:sz w:val="18"/>
                <w:szCs w:val="20"/>
                <w:lang w:val="fr-FR"/>
              </w:rPr>
              <w:t xml:space="preserve">5,26 </w:t>
            </w:r>
          </w:p>
        </w:tc>
        <w:tc>
          <w:tcPr>
            <w:tcW w:w="716" w:type="dxa"/>
          </w:tcPr>
          <w:p w:rsidR="00000000" w:rsidRDefault="00000000">
            <w:pPr>
              <w:autoSpaceDE w:val="0"/>
              <w:autoSpaceDN w:val="0"/>
              <w:adjustRightInd w:val="0"/>
              <w:spacing w:before="20" w:after="20"/>
              <w:jc w:val="right"/>
              <w:rPr>
                <w:color w:val="000000"/>
                <w:sz w:val="18"/>
                <w:szCs w:val="20"/>
                <w:lang w:val="fr-FR"/>
              </w:rPr>
            </w:pPr>
            <w:r>
              <w:rPr>
                <w:color w:val="000000"/>
                <w:sz w:val="18"/>
                <w:szCs w:val="20"/>
                <w:lang w:val="fr-FR"/>
              </w:rPr>
              <w:t xml:space="preserve">417  </w:t>
            </w:r>
          </w:p>
        </w:tc>
      </w:tr>
      <w:tr w:rsidR="00000000">
        <w:tblPrEx>
          <w:tblCellMar>
            <w:top w:w="0" w:type="dxa"/>
            <w:bottom w:w="0" w:type="dxa"/>
          </w:tblCellMar>
        </w:tblPrEx>
        <w:trPr>
          <w:jc w:val="center"/>
        </w:trPr>
        <w:tc>
          <w:tcPr>
            <w:tcW w:w="1743" w:type="dxa"/>
          </w:tcPr>
          <w:p w:rsidR="00000000" w:rsidRDefault="00000000">
            <w:pPr>
              <w:autoSpaceDE w:val="0"/>
              <w:autoSpaceDN w:val="0"/>
              <w:adjustRightInd w:val="0"/>
              <w:spacing w:before="20" w:after="20"/>
              <w:rPr>
                <w:color w:val="000000"/>
                <w:sz w:val="18"/>
                <w:szCs w:val="20"/>
                <w:lang w:val="fr-FR"/>
              </w:rPr>
            </w:pPr>
            <w:r>
              <w:rPr>
                <w:color w:val="000000"/>
                <w:sz w:val="18"/>
                <w:szCs w:val="20"/>
                <w:lang w:val="fr-FR"/>
              </w:rPr>
              <w:t xml:space="preserve">Quatorzième salaire </w:t>
            </w:r>
          </w:p>
        </w:tc>
        <w:tc>
          <w:tcPr>
            <w:tcW w:w="900" w:type="dxa"/>
          </w:tcPr>
          <w:p w:rsidR="00000000" w:rsidRDefault="00000000">
            <w:pPr>
              <w:autoSpaceDE w:val="0"/>
              <w:autoSpaceDN w:val="0"/>
              <w:adjustRightInd w:val="0"/>
              <w:spacing w:before="20" w:after="20"/>
              <w:ind w:right="113"/>
              <w:jc w:val="right"/>
              <w:rPr>
                <w:color w:val="000000"/>
                <w:sz w:val="18"/>
                <w:szCs w:val="20"/>
                <w:lang w:val="fr-FR"/>
              </w:rPr>
            </w:pPr>
            <w:r>
              <w:rPr>
                <w:color w:val="000000"/>
                <w:sz w:val="18"/>
                <w:szCs w:val="20"/>
                <w:lang w:val="fr-FR"/>
              </w:rPr>
              <w:t>15 833</w:t>
            </w:r>
          </w:p>
        </w:tc>
        <w:tc>
          <w:tcPr>
            <w:tcW w:w="1203" w:type="dxa"/>
          </w:tcPr>
          <w:p w:rsidR="00000000" w:rsidRDefault="00000000">
            <w:pPr>
              <w:autoSpaceDE w:val="0"/>
              <w:autoSpaceDN w:val="0"/>
              <w:adjustRightInd w:val="0"/>
              <w:spacing w:before="20" w:after="20"/>
              <w:ind w:right="263"/>
              <w:jc w:val="right"/>
              <w:rPr>
                <w:color w:val="000000"/>
                <w:sz w:val="18"/>
                <w:szCs w:val="20"/>
                <w:lang w:val="fr-FR"/>
              </w:rPr>
            </w:pPr>
            <w:r>
              <w:rPr>
                <w:color w:val="000000"/>
                <w:sz w:val="18"/>
                <w:szCs w:val="20"/>
                <w:lang w:val="fr-FR"/>
              </w:rPr>
              <w:t>16 667</w:t>
            </w:r>
          </w:p>
        </w:tc>
        <w:tc>
          <w:tcPr>
            <w:tcW w:w="1317" w:type="dxa"/>
          </w:tcPr>
          <w:p w:rsidR="00000000" w:rsidRDefault="00000000">
            <w:pPr>
              <w:autoSpaceDE w:val="0"/>
              <w:autoSpaceDN w:val="0"/>
              <w:adjustRightInd w:val="0"/>
              <w:spacing w:before="20" w:after="20"/>
              <w:ind w:right="237"/>
              <w:jc w:val="right"/>
              <w:rPr>
                <w:color w:val="000000"/>
                <w:sz w:val="18"/>
                <w:szCs w:val="20"/>
                <w:lang w:val="fr-FR"/>
              </w:rPr>
            </w:pPr>
            <w:r>
              <w:rPr>
                <w:color w:val="000000"/>
                <w:sz w:val="18"/>
                <w:szCs w:val="20"/>
                <w:lang w:val="fr-FR"/>
              </w:rPr>
              <w:t>16 668</w:t>
            </w:r>
          </w:p>
        </w:tc>
        <w:tc>
          <w:tcPr>
            <w:tcW w:w="1080" w:type="dxa"/>
          </w:tcPr>
          <w:p w:rsidR="00000000" w:rsidRDefault="00000000">
            <w:pPr>
              <w:autoSpaceDE w:val="0"/>
              <w:autoSpaceDN w:val="0"/>
              <w:adjustRightInd w:val="0"/>
              <w:spacing w:before="20" w:after="20"/>
              <w:ind w:right="227"/>
              <w:jc w:val="right"/>
              <w:rPr>
                <w:color w:val="000000"/>
                <w:sz w:val="18"/>
                <w:szCs w:val="20"/>
                <w:lang w:val="fr-FR"/>
              </w:rPr>
            </w:pPr>
            <w:r>
              <w:rPr>
                <w:color w:val="000000"/>
                <w:sz w:val="18"/>
                <w:szCs w:val="20"/>
                <w:lang w:val="fr-FR"/>
              </w:rPr>
              <w:t>16 668</w:t>
            </w:r>
          </w:p>
        </w:tc>
        <w:tc>
          <w:tcPr>
            <w:tcW w:w="1080" w:type="dxa"/>
          </w:tcPr>
          <w:p w:rsidR="00000000" w:rsidRDefault="00000000">
            <w:pPr>
              <w:autoSpaceDE w:val="0"/>
              <w:autoSpaceDN w:val="0"/>
              <w:adjustRightInd w:val="0"/>
              <w:spacing w:before="20" w:after="20"/>
              <w:ind w:right="170"/>
              <w:jc w:val="right"/>
              <w:rPr>
                <w:color w:val="000000"/>
                <w:sz w:val="18"/>
                <w:szCs w:val="20"/>
                <w:lang w:val="fr-FR"/>
              </w:rPr>
            </w:pPr>
            <w:r>
              <w:rPr>
                <w:color w:val="000000"/>
                <w:sz w:val="18"/>
                <w:szCs w:val="20"/>
                <w:lang w:val="fr-FR"/>
              </w:rPr>
              <w:t>16 668</w:t>
            </w:r>
          </w:p>
        </w:tc>
        <w:tc>
          <w:tcPr>
            <w:tcW w:w="1260" w:type="dxa"/>
            <w:vAlign w:val="center"/>
          </w:tcPr>
          <w:p w:rsidR="00000000" w:rsidRDefault="00000000">
            <w:pPr>
              <w:tabs>
                <w:tab w:val="decimal" w:pos="500"/>
              </w:tabs>
              <w:autoSpaceDE w:val="0"/>
              <w:autoSpaceDN w:val="0"/>
              <w:adjustRightInd w:val="0"/>
              <w:spacing w:before="20" w:after="20"/>
              <w:rPr>
                <w:color w:val="000000"/>
                <w:sz w:val="18"/>
                <w:szCs w:val="20"/>
                <w:lang w:val="fr-FR"/>
              </w:rPr>
            </w:pPr>
            <w:r>
              <w:rPr>
                <w:color w:val="000000"/>
                <w:sz w:val="18"/>
                <w:szCs w:val="20"/>
                <w:lang w:val="fr-FR"/>
              </w:rPr>
              <w:t xml:space="preserve">5,27 </w:t>
            </w:r>
          </w:p>
        </w:tc>
        <w:tc>
          <w:tcPr>
            <w:tcW w:w="716" w:type="dxa"/>
          </w:tcPr>
          <w:p w:rsidR="00000000" w:rsidRDefault="00000000">
            <w:pPr>
              <w:autoSpaceDE w:val="0"/>
              <w:autoSpaceDN w:val="0"/>
              <w:adjustRightInd w:val="0"/>
              <w:spacing w:before="20" w:after="20"/>
              <w:jc w:val="right"/>
              <w:rPr>
                <w:color w:val="000000"/>
                <w:sz w:val="18"/>
                <w:szCs w:val="20"/>
                <w:lang w:val="fr-FR"/>
              </w:rPr>
            </w:pPr>
            <w:r>
              <w:rPr>
                <w:color w:val="000000"/>
                <w:sz w:val="18"/>
                <w:szCs w:val="20"/>
                <w:lang w:val="fr-FR"/>
              </w:rPr>
              <w:t xml:space="preserve">834  </w:t>
            </w:r>
          </w:p>
        </w:tc>
      </w:tr>
      <w:tr w:rsidR="00000000">
        <w:tblPrEx>
          <w:tblCellMar>
            <w:top w:w="0" w:type="dxa"/>
            <w:bottom w:w="0" w:type="dxa"/>
          </w:tblCellMar>
        </w:tblPrEx>
        <w:trPr>
          <w:jc w:val="center"/>
        </w:trPr>
        <w:tc>
          <w:tcPr>
            <w:tcW w:w="1743" w:type="dxa"/>
          </w:tcPr>
          <w:p w:rsidR="00000000" w:rsidRDefault="00000000">
            <w:pPr>
              <w:autoSpaceDE w:val="0"/>
              <w:autoSpaceDN w:val="0"/>
              <w:adjustRightInd w:val="0"/>
              <w:spacing w:before="20" w:after="20"/>
              <w:rPr>
                <w:color w:val="000000"/>
                <w:sz w:val="18"/>
                <w:szCs w:val="20"/>
                <w:lang w:val="fr-FR"/>
              </w:rPr>
            </w:pPr>
            <w:r>
              <w:rPr>
                <w:color w:val="000000"/>
                <w:sz w:val="18"/>
                <w:szCs w:val="20"/>
                <w:lang w:val="fr-FR"/>
              </w:rPr>
              <w:t xml:space="preserve">Quinzième salaire </w:t>
            </w:r>
          </w:p>
        </w:tc>
        <w:tc>
          <w:tcPr>
            <w:tcW w:w="900" w:type="dxa"/>
          </w:tcPr>
          <w:p w:rsidR="00000000" w:rsidRDefault="00000000">
            <w:pPr>
              <w:autoSpaceDE w:val="0"/>
              <w:autoSpaceDN w:val="0"/>
              <w:adjustRightInd w:val="0"/>
              <w:spacing w:before="20" w:after="20"/>
              <w:ind w:right="113"/>
              <w:jc w:val="right"/>
              <w:rPr>
                <w:color w:val="000000"/>
                <w:sz w:val="18"/>
                <w:szCs w:val="20"/>
                <w:lang w:val="fr-FR"/>
              </w:rPr>
            </w:pPr>
            <w:r>
              <w:rPr>
                <w:color w:val="000000"/>
                <w:sz w:val="18"/>
                <w:szCs w:val="20"/>
                <w:lang w:val="fr-FR"/>
              </w:rPr>
              <w:t>4 167</w:t>
            </w:r>
          </w:p>
        </w:tc>
        <w:tc>
          <w:tcPr>
            <w:tcW w:w="1203" w:type="dxa"/>
          </w:tcPr>
          <w:p w:rsidR="00000000" w:rsidRDefault="00000000">
            <w:pPr>
              <w:autoSpaceDE w:val="0"/>
              <w:autoSpaceDN w:val="0"/>
              <w:adjustRightInd w:val="0"/>
              <w:spacing w:before="20" w:after="20"/>
              <w:ind w:right="263"/>
              <w:jc w:val="right"/>
              <w:rPr>
                <w:color w:val="000000"/>
                <w:sz w:val="18"/>
                <w:szCs w:val="20"/>
                <w:lang w:val="fr-FR"/>
              </w:rPr>
            </w:pPr>
            <w:r>
              <w:rPr>
                <w:color w:val="000000"/>
                <w:sz w:val="18"/>
                <w:szCs w:val="20"/>
                <w:lang w:val="fr-FR"/>
              </w:rPr>
              <w:t>4 167</w:t>
            </w:r>
          </w:p>
        </w:tc>
        <w:tc>
          <w:tcPr>
            <w:tcW w:w="1317" w:type="dxa"/>
          </w:tcPr>
          <w:p w:rsidR="00000000" w:rsidRDefault="00000000">
            <w:pPr>
              <w:autoSpaceDE w:val="0"/>
              <w:autoSpaceDN w:val="0"/>
              <w:adjustRightInd w:val="0"/>
              <w:spacing w:before="20" w:after="20"/>
              <w:ind w:right="237"/>
              <w:jc w:val="right"/>
              <w:rPr>
                <w:color w:val="000000"/>
                <w:sz w:val="18"/>
                <w:szCs w:val="20"/>
                <w:lang w:val="fr-FR"/>
              </w:rPr>
            </w:pPr>
            <w:r>
              <w:rPr>
                <w:color w:val="000000"/>
                <w:sz w:val="18"/>
                <w:szCs w:val="20"/>
                <w:lang w:val="fr-FR"/>
              </w:rPr>
              <w:t>4 167</w:t>
            </w:r>
          </w:p>
        </w:tc>
        <w:tc>
          <w:tcPr>
            <w:tcW w:w="1080" w:type="dxa"/>
          </w:tcPr>
          <w:p w:rsidR="00000000" w:rsidRDefault="00000000">
            <w:pPr>
              <w:autoSpaceDE w:val="0"/>
              <w:autoSpaceDN w:val="0"/>
              <w:adjustRightInd w:val="0"/>
              <w:spacing w:before="20" w:after="20"/>
              <w:ind w:right="227"/>
              <w:jc w:val="right"/>
              <w:rPr>
                <w:color w:val="000000"/>
                <w:sz w:val="18"/>
                <w:szCs w:val="20"/>
                <w:lang w:val="fr-FR"/>
              </w:rPr>
            </w:pPr>
            <w:r>
              <w:rPr>
                <w:color w:val="000000"/>
                <w:sz w:val="18"/>
                <w:szCs w:val="20"/>
                <w:lang w:val="fr-FR"/>
              </w:rPr>
              <w:t>4 167</w:t>
            </w:r>
          </w:p>
        </w:tc>
        <w:tc>
          <w:tcPr>
            <w:tcW w:w="1080" w:type="dxa"/>
          </w:tcPr>
          <w:p w:rsidR="00000000" w:rsidRDefault="00000000">
            <w:pPr>
              <w:autoSpaceDE w:val="0"/>
              <w:autoSpaceDN w:val="0"/>
              <w:adjustRightInd w:val="0"/>
              <w:spacing w:before="20" w:after="20"/>
              <w:ind w:right="170"/>
              <w:jc w:val="right"/>
              <w:rPr>
                <w:color w:val="000000"/>
                <w:sz w:val="18"/>
                <w:szCs w:val="20"/>
                <w:lang w:val="fr-FR"/>
              </w:rPr>
            </w:pPr>
            <w:r>
              <w:rPr>
                <w:color w:val="000000"/>
                <w:sz w:val="18"/>
                <w:szCs w:val="20"/>
                <w:lang w:val="fr-FR"/>
              </w:rPr>
              <w:t>4 167</w:t>
            </w:r>
          </w:p>
        </w:tc>
        <w:tc>
          <w:tcPr>
            <w:tcW w:w="1260" w:type="dxa"/>
            <w:vAlign w:val="center"/>
          </w:tcPr>
          <w:p w:rsidR="00000000" w:rsidRDefault="00000000">
            <w:pPr>
              <w:tabs>
                <w:tab w:val="decimal" w:pos="500"/>
              </w:tabs>
              <w:autoSpaceDE w:val="0"/>
              <w:autoSpaceDN w:val="0"/>
              <w:adjustRightInd w:val="0"/>
              <w:spacing w:before="20" w:after="20"/>
              <w:rPr>
                <w:color w:val="000000"/>
                <w:sz w:val="18"/>
                <w:szCs w:val="20"/>
                <w:lang w:val="fr-FR"/>
              </w:rPr>
            </w:pPr>
            <w:r>
              <w:rPr>
                <w:color w:val="000000"/>
                <w:sz w:val="18"/>
                <w:szCs w:val="20"/>
                <w:lang w:val="fr-FR"/>
              </w:rPr>
              <w:t xml:space="preserve">0,00 </w:t>
            </w:r>
          </w:p>
        </w:tc>
        <w:tc>
          <w:tcPr>
            <w:tcW w:w="716" w:type="dxa"/>
          </w:tcPr>
          <w:p w:rsidR="00000000" w:rsidRDefault="00000000">
            <w:pPr>
              <w:autoSpaceDE w:val="0"/>
              <w:autoSpaceDN w:val="0"/>
              <w:adjustRightInd w:val="0"/>
              <w:spacing w:before="20" w:after="20"/>
              <w:jc w:val="right"/>
              <w:rPr>
                <w:color w:val="000000"/>
                <w:sz w:val="18"/>
                <w:szCs w:val="20"/>
                <w:lang w:val="fr-FR"/>
              </w:rPr>
            </w:pPr>
            <w:r>
              <w:rPr>
                <w:color w:val="000000"/>
                <w:sz w:val="18"/>
                <w:szCs w:val="20"/>
                <w:lang w:val="fr-FR"/>
              </w:rPr>
              <w:t xml:space="preserve">-  </w:t>
            </w:r>
          </w:p>
        </w:tc>
      </w:tr>
      <w:tr w:rsidR="00000000">
        <w:tblPrEx>
          <w:tblCellMar>
            <w:top w:w="0" w:type="dxa"/>
            <w:bottom w:w="0" w:type="dxa"/>
          </w:tblCellMar>
        </w:tblPrEx>
        <w:trPr>
          <w:jc w:val="center"/>
        </w:trPr>
        <w:tc>
          <w:tcPr>
            <w:tcW w:w="1743" w:type="dxa"/>
            <w:tcBorders>
              <w:bottom w:val="nil"/>
            </w:tcBorders>
          </w:tcPr>
          <w:p w:rsidR="00000000" w:rsidRDefault="00000000">
            <w:pPr>
              <w:autoSpaceDE w:val="0"/>
              <w:autoSpaceDN w:val="0"/>
              <w:adjustRightInd w:val="0"/>
              <w:spacing w:before="20" w:after="20"/>
              <w:rPr>
                <w:color w:val="000000"/>
                <w:sz w:val="18"/>
                <w:szCs w:val="20"/>
                <w:lang w:val="fr-FR"/>
              </w:rPr>
            </w:pPr>
            <w:r>
              <w:rPr>
                <w:color w:val="000000"/>
                <w:sz w:val="18"/>
                <w:szCs w:val="20"/>
                <w:lang w:val="fr-FR"/>
              </w:rPr>
              <w:t xml:space="preserve">Fonds de réserve </w:t>
            </w:r>
          </w:p>
        </w:tc>
        <w:tc>
          <w:tcPr>
            <w:tcW w:w="900" w:type="dxa"/>
            <w:tcBorders>
              <w:bottom w:val="nil"/>
            </w:tcBorders>
          </w:tcPr>
          <w:p w:rsidR="00000000" w:rsidRDefault="00000000">
            <w:pPr>
              <w:autoSpaceDE w:val="0"/>
              <w:autoSpaceDN w:val="0"/>
              <w:adjustRightInd w:val="0"/>
              <w:spacing w:before="20" w:after="20"/>
              <w:ind w:right="113"/>
              <w:jc w:val="right"/>
              <w:rPr>
                <w:color w:val="000000"/>
                <w:sz w:val="18"/>
                <w:szCs w:val="20"/>
                <w:lang w:val="fr-FR"/>
              </w:rPr>
            </w:pPr>
            <w:r>
              <w:rPr>
                <w:color w:val="000000"/>
                <w:sz w:val="18"/>
                <w:szCs w:val="20"/>
                <w:lang w:val="fr-FR"/>
              </w:rPr>
              <w:t>7 917</w:t>
            </w:r>
          </w:p>
        </w:tc>
        <w:tc>
          <w:tcPr>
            <w:tcW w:w="1203" w:type="dxa"/>
            <w:tcBorders>
              <w:bottom w:val="nil"/>
            </w:tcBorders>
          </w:tcPr>
          <w:p w:rsidR="00000000" w:rsidRDefault="00000000">
            <w:pPr>
              <w:autoSpaceDE w:val="0"/>
              <w:autoSpaceDN w:val="0"/>
              <w:adjustRightInd w:val="0"/>
              <w:spacing w:before="20" w:after="20"/>
              <w:ind w:right="263"/>
              <w:jc w:val="right"/>
              <w:rPr>
                <w:color w:val="000000"/>
                <w:sz w:val="18"/>
                <w:szCs w:val="20"/>
                <w:lang w:val="fr-FR"/>
              </w:rPr>
            </w:pPr>
            <w:r>
              <w:rPr>
                <w:color w:val="000000"/>
                <w:sz w:val="18"/>
                <w:szCs w:val="20"/>
                <w:lang w:val="fr-FR"/>
              </w:rPr>
              <w:t>8 090</w:t>
            </w:r>
          </w:p>
        </w:tc>
        <w:tc>
          <w:tcPr>
            <w:tcW w:w="1317" w:type="dxa"/>
            <w:tcBorders>
              <w:bottom w:val="nil"/>
            </w:tcBorders>
          </w:tcPr>
          <w:p w:rsidR="00000000" w:rsidRDefault="00000000">
            <w:pPr>
              <w:autoSpaceDE w:val="0"/>
              <w:autoSpaceDN w:val="0"/>
              <w:adjustRightInd w:val="0"/>
              <w:spacing w:before="20" w:after="20"/>
              <w:ind w:right="237"/>
              <w:jc w:val="right"/>
              <w:rPr>
                <w:color w:val="000000"/>
                <w:sz w:val="18"/>
                <w:szCs w:val="20"/>
                <w:lang w:val="fr-FR"/>
              </w:rPr>
            </w:pPr>
            <w:r>
              <w:rPr>
                <w:color w:val="000000"/>
                <w:sz w:val="18"/>
                <w:szCs w:val="20"/>
                <w:lang w:val="fr-FR"/>
              </w:rPr>
              <w:t>8 333</w:t>
            </w:r>
          </w:p>
        </w:tc>
        <w:tc>
          <w:tcPr>
            <w:tcW w:w="1080" w:type="dxa"/>
            <w:tcBorders>
              <w:bottom w:val="nil"/>
            </w:tcBorders>
          </w:tcPr>
          <w:p w:rsidR="00000000" w:rsidRDefault="00000000">
            <w:pPr>
              <w:autoSpaceDE w:val="0"/>
              <w:autoSpaceDN w:val="0"/>
              <w:adjustRightInd w:val="0"/>
              <w:spacing w:before="20" w:after="20"/>
              <w:ind w:right="227"/>
              <w:jc w:val="right"/>
              <w:rPr>
                <w:color w:val="000000"/>
                <w:sz w:val="18"/>
                <w:szCs w:val="20"/>
                <w:lang w:val="fr-FR"/>
              </w:rPr>
            </w:pPr>
            <w:r>
              <w:rPr>
                <w:color w:val="000000"/>
                <w:sz w:val="18"/>
                <w:szCs w:val="20"/>
                <w:lang w:val="fr-FR"/>
              </w:rPr>
              <w:t>8 333</w:t>
            </w:r>
          </w:p>
        </w:tc>
        <w:tc>
          <w:tcPr>
            <w:tcW w:w="1080" w:type="dxa"/>
            <w:tcBorders>
              <w:bottom w:val="nil"/>
            </w:tcBorders>
          </w:tcPr>
          <w:p w:rsidR="00000000" w:rsidRDefault="00000000">
            <w:pPr>
              <w:autoSpaceDE w:val="0"/>
              <w:autoSpaceDN w:val="0"/>
              <w:adjustRightInd w:val="0"/>
              <w:spacing w:before="20" w:after="20"/>
              <w:ind w:right="170"/>
              <w:jc w:val="right"/>
              <w:rPr>
                <w:color w:val="000000"/>
                <w:sz w:val="18"/>
                <w:szCs w:val="20"/>
                <w:lang w:val="fr-FR"/>
              </w:rPr>
            </w:pPr>
            <w:r>
              <w:rPr>
                <w:color w:val="000000"/>
                <w:sz w:val="18"/>
                <w:szCs w:val="20"/>
                <w:lang w:val="fr-FR"/>
              </w:rPr>
              <w:t>8 333</w:t>
            </w:r>
          </w:p>
        </w:tc>
        <w:tc>
          <w:tcPr>
            <w:tcW w:w="1260" w:type="dxa"/>
            <w:tcBorders>
              <w:bottom w:val="nil"/>
            </w:tcBorders>
            <w:vAlign w:val="center"/>
          </w:tcPr>
          <w:p w:rsidR="00000000" w:rsidRDefault="00000000">
            <w:pPr>
              <w:tabs>
                <w:tab w:val="decimal" w:pos="500"/>
              </w:tabs>
              <w:autoSpaceDE w:val="0"/>
              <w:autoSpaceDN w:val="0"/>
              <w:adjustRightInd w:val="0"/>
              <w:spacing w:before="20" w:after="20"/>
              <w:rPr>
                <w:color w:val="000000"/>
                <w:sz w:val="18"/>
                <w:szCs w:val="20"/>
                <w:lang w:val="fr-FR"/>
              </w:rPr>
            </w:pPr>
            <w:r>
              <w:rPr>
                <w:color w:val="000000"/>
                <w:sz w:val="18"/>
                <w:szCs w:val="20"/>
                <w:lang w:val="fr-FR"/>
              </w:rPr>
              <w:t xml:space="preserve">5,26 </w:t>
            </w:r>
          </w:p>
        </w:tc>
        <w:tc>
          <w:tcPr>
            <w:tcW w:w="716" w:type="dxa"/>
            <w:tcBorders>
              <w:bottom w:val="nil"/>
            </w:tcBorders>
          </w:tcPr>
          <w:p w:rsidR="00000000" w:rsidRDefault="00000000">
            <w:pPr>
              <w:autoSpaceDE w:val="0"/>
              <w:autoSpaceDN w:val="0"/>
              <w:adjustRightInd w:val="0"/>
              <w:spacing w:before="20" w:after="20"/>
              <w:jc w:val="right"/>
              <w:rPr>
                <w:color w:val="000000"/>
                <w:sz w:val="18"/>
                <w:szCs w:val="20"/>
                <w:lang w:val="fr-FR"/>
              </w:rPr>
            </w:pPr>
            <w:r>
              <w:rPr>
                <w:color w:val="000000"/>
                <w:sz w:val="18"/>
                <w:szCs w:val="20"/>
                <w:lang w:val="fr-FR"/>
              </w:rPr>
              <w:t xml:space="preserve">417  </w:t>
            </w:r>
          </w:p>
        </w:tc>
      </w:tr>
      <w:tr w:rsidR="00000000">
        <w:tblPrEx>
          <w:tblCellMar>
            <w:top w:w="0" w:type="dxa"/>
            <w:bottom w:w="0" w:type="dxa"/>
          </w:tblCellMar>
        </w:tblPrEx>
        <w:trPr>
          <w:jc w:val="center"/>
        </w:trPr>
        <w:tc>
          <w:tcPr>
            <w:tcW w:w="1743" w:type="dxa"/>
            <w:tcBorders>
              <w:top w:val="nil"/>
              <w:bottom w:val="single" w:sz="4" w:space="0" w:color="auto"/>
            </w:tcBorders>
          </w:tcPr>
          <w:p w:rsidR="00000000" w:rsidRDefault="00000000">
            <w:pPr>
              <w:tabs>
                <w:tab w:val="left" w:pos="263"/>
              </w:tabs>
              <w:autoSpaceDE w:val="0"/>
              <w:autoSpaceDN w:val="0"/>
              <w:adjustRightInd w:val="0"/>
              <w:spacing w:before="20" w:after="20"/>
              <w:rPr>
                <w:color w:val="000000"/>
                <w:sz w:val="18"/>
                <w:szCs w:val="20"/>
                <w:lang w:val="fr-FR"/>
              </w:rPr>
            </w:pPr>
            <w:r>
              <w:rPr>
                <w:color w:val="000000"/>
                <w:sz w:val="18"/>
                <w:szCs w:val="20"/>
                <w:lang w:val="fr-FR"/>
              </w:rPr>
              <w:tab/>
              <w:t xml:space="preserve">Revenu total </w:t>
            </w:r>
          </w:p>
        </w:tc>
        <w:tc>
          <w:tcPr>
            <w:tcW w:w="900" w:type="dxa"/>
            <w:tcBorders>
              <w:top w:val="nil"/>
              <w:bottom w:val="single" w:sz="4" w:space="0" w:color="auto"/>
            </w:tcBorders>
          </w:tcPr>
          <w:p w:rsidR="00000000" w:rsidRDefault="00000000">
            <w:pPr>
              <w:autoSpaceDE w:val="0"/>
              <w:autoSpaceDN w:val="0"/>
              <w:adjustRightInd w:val="0"/>
              <w:spacing w:before="20" w:after="20"/>
              <w:ind w:right="113"/>
              <w:jc w:val="right"/>
              <w:rPr>
                <w:color w:val="000000"/>
                <w:sz w:val="18"/>
                <w:szCs w:val="20"/>
                <w:lang w:val="fr-FR"/>
              </w:rPr>
            </w:pPr>
            <w:r>
              <w:rPr>
                <w:color w:val="000000"/>
                <w:sz w:val="18"/>
                <w:szCs w:val="20"/>
                <w:lang w:val="fr-FR"/>
              </w:rPr>
              <w:t>561 666</w:t>
            </w:r>
          </w:p>
        </w:tc>
        <w:tc>
          <w:tcPr>
            <w:tcW w:w="1203" w:type="dxa"/>
            <w:tcBorders>
              <w:top w:val="nil"/>
              <w:bottom w:val="single" w:sz="4" w:space="0" w:color="auto"/>
            </w:tcBorders>
          </w:tcPr>
          <w:p w:rsidR="00000000" w:rsidRDefault="00000000">
            <w:pPr>
              <w:autoSpaceDE w:val="0"/>
              <w:autoSpaceDN w:val="0"/>
              <w:adjustRightInd w:val="0"/>
              <w:spacing w:before="20" w:after="20"/>
              <w:ind w:right="263"/>
              <w:jc w:val="right"/>
              <w:rPr>
                <w:color w:val="000000"/>
                <w:sz w:val="18"/>
                <w:szCs w:val="20"/>
                <w:lang w:val="fr-FR"/>
              </w:rPr>
            </w:pPr>
            <w:r>
              <w:rPr>
                <w:color w:val="000000"/>
                <w:sz w:val="18"/>
                <w:szCs w:val="20"/>
                <w:lang w:val="fr-FR"/>
              </w:rPr>
              <w:t>636 847</w:t>
            </w:r>
          </w:p>
        </w:tc>
        <w:tc>
          <w:tcPr>
            <w:tcW w:w="1317" w:type="dxa"/>
            <w:tcBorders>
              <w:top w:val="nil"/>
              <w:bottom w:val="single" w:sz="4" w:space="0" w:color="auto"/>
            </w:tcBorders>
          </w:tcPr>
          <w:p w:rsidR="00000000" w:rsidRDefault="00000000">
            <w:pPr>
              <w:autoSpaceDE w:val="0"/>
              <w:autoSpaceDN w:val="0"/>
              <w:adjustRightInd w:val="0"/>
              <w:spacing w:before="20" w:after="20"/>
              <w:ind w:right="237"/>
              <w:jc w:val="right"/>
              <w:rPr>
                <w:color w:val="000000"/>
                <w:sz w:val="18"/>
                <w:szCs w:val="20"/>
                <w:lang w:val="fr-FR"/>
              </w:rPr>
            </w:pPr>
            <w:r>
              <w:rPr>
                <w:color w:val="000000"/>
                <w:sz w:val="18"/>
                <w:szCs w:val="20"/>
                <w:lang w:val="fr-FR"/>
              </w:rPr>
              <w:t>770 168</w:t>
            </w:r>
          </w:p>
        </w:tc>
        <w:tc>
          <w:tcPr>
            <w:tcW w:w="1080" w:type="dxa"/>
            <w:tcBorders>
              <w:top w:val="nil"/>
              <w:bottom w:val="single" w:sz="4" w:space="0" w:color="auto"/>
            </w:tcBorders>
          </w:tcPr>
          <w:p w:rsidR="00000000" w:rsidRDefault="00000000">
            <w:pPr>
              <w:autoSpaceDE w:val="0"/>
              <w:autoSpaceDN w:val="0"/>
              <w:adjustRightInd w:val="0"/>
              <w:spacing w:before="20" w:after="20"/>
              <w:ind w:right="227"/>
              <w:jc w:val="right"/>
              <w:rPr>
                <w:color w:val="000000"/>
                <w:sz w:val="18"/>
                <w:szCs w:val="20"/>
                <w:lang w:val="fr-FR"/>
              </w:rPr>
            </w:pPr>
            <w:r>
              <w:rPr>
                <w:color w:val="000000"/>
                <w:sz w:val="18"/>
                <w:szCs w:val="20"/>
                <w:lang w:val="fr-FR"/>
              </w:rPr>
              <w:t>1 056 568</w:t>
            </w:r>
          </w:p>
        </w:tc>
        <w:tc>
          <w:tcPr>
            <w:tcW w:w="1080" w:type="dxa"/>
            <w:tcBorders>
              <w:top w:val="nil"/>
              <w:bottom w:val="single" w:sz="4" w:space="0" w:color="auto"/>
            </w:tcBorders>
          </w:tcPr>
          <w:p w:rsidR="00000000" w:rsidRDefault="00000000">
            <w:pPr>
              <w:autoSpaceDE w:val="0"/>
              <w:autoSpaceDN w:val="0"/>
              <w:adjustRightInd w:val="0"/>
              <w:spacing w:before="20" w:after="20"/>
              <w:ind w:right="170"/>
              <w:jc w:val="right"/>
              <w:rPr>
                <w:color w:val="000000"/>
                <w:sz w:val="18"/>
                <w:szCs w:val="20"/>
                <w:lang w:val="fr-FR"/>
              </w:rPr>
            </w:pPr>
            <w:r>
              <w:rPr>
                <w:color w:val="000000"/>
                <w:sz w:val="18"/>
                <w:szCs w:val="20"/>
                <w:lang w:val="fr-FR"/>
              </w:rPr>
              <w:t>1 234 168</w:t>
            </w:r>
          </w:p>
        </w:tc>
        <w:tc>
          <w:tcPr>
            <w:tcW w:w="1260" w:type="dxa"/>
            <w:tcBorders>
              <w:top w:val="nil"/>
              <w:bottom w:val="single" w:sz="4" w:space="0" w:color="auto"/>
            </w:tcBorders>
            <w:vAlign w:val="center"/>
          </w:tcPr>
          <w:p w:rsidR="00000000" w:rsidRDefault="00000000">
            <w:pPr>
              <w:tabs>
                <w:tab w:val="decimal" w:pos="500"/>
              </w:tabs>
              <w:autoSpaceDE w:val="0"/>
              <w:autoSpaceDN w:val="0"/>
              <w:adjustRightInd w:val="0"/>
              <w:spacing w:before="20" w:after="20"/>
              <w:rPr>
                <w:color w:val="000000"/>
                <w:sz w:val="18"/>
                <w:szCs w:val="20"/>
                <w:lang w:val="fr-FR"/>
              </w:rPr>
            </w:pPr>
            <w:r>
              <w:rPr>
                <w:color w:val="000000"/>
                <w:sz w:val="18"/>
                <w:szCs w:val="20"/>
                <w:lang w:val="fr-FR"/>
              </w:rPr>
              <w:t xml:space="preserve">119,73 </w:t>
            </w:r>
          </w:p>
        </w:tc>
        <w:tc>
          <w:tcPr>
            <w:tcW w:w="716" w:type="dxa"/>
            <w:tcBorders>
              <w:top w:val="nil"/>
              <w:bottom w:val="single" w:sz="4" w:space="0" w:color="auto"/>
            </w:tcBorders>
          </w:tcPr>
          <w:p w:rsidR="00000000" w:rsidRDefault="00000000">
            <w:pPr>
              <w:autoSpaceDE w:val="0"/>
              <w:autoSpaceDN w:val="0"/>
              <w:adjustRightInd w:val="0"/>
              <w:spacing w:before="20" w:after="20"/>
              <w:jc w:val="right"/>
              <w:rPr>
                <w:color w:val="000000"/>
                <w:sz w:val="18"/>
                <w:szCs w:val="20"/>
                <w:lang w:val="fr-FR"/>
              </w:rPr>
            </w:pPr>
            <w:r>
              <w:rPr>
                <w:color w:val="000000"/>
                <w:sz w:val="18"/>
                <w:szCs w:val="20"/>
                <w:lang w:val="fr-FR"/>
              </w:rPr>
              <w:t xml:space="preserve">672 502  </w:t>
            </w:r>
          </w:p>
        </w:tc>
      </w:tr>
    </w:tbl>
    <w:p w:rsidR="00000000" w:rsidRDefault="00000000">
      <w:pPr>
        <w:autoSpaceDE w:val="0"/>
        <w:autoSpaceDN w:val="0"/>
        <w:adjustRightInd w:val="0"/>
        <w:spacing w:after="240"/>
        <w:rPr>
          <w:b/>
          <w:bCs/>
          <w:color w:val="000000"/>
          <w:szCs w:val="20"/>
          <w:lang w:val="fr-FR"/>
        </w:rPr>
      </w:pPr>
    </w:p>
    <w:p w:rsidR="00000000" w:rsidRDefault="00000000">
      <w:pPr>
        <w:autoSpaceDE w:val="0"/>
        <w:autoSpaceDN w:val="0"/>
        <w:adjustRightInd w:val="0"/>
        <w:jc w:val="center"/>
        <w:rPr>
          <w:b/>
          <w:bCs/>
          <w:color w:val="000000"/>
          <w:sz w:val="20"/>
          <w:szCs w:val="20"/>
          <w:lang w:val="fr-FR"/>
        </w:rPr>
      </w:pPr>
      <w:r>
        <w:rPr>
          <w:b/>
          <w:bCs/>
          <w:color w:val="000000"/>
          <w:sz w:val="20"/>
          <w:szCs w:val="20"/>
          <w:lang w:val="fr-FR"/>
        </w:rPr>
        <w:t>Revenu total du travailleur en général</w:t>
      </w:r>
    </w:p>
    <w:p w:rsidR="00000000" w:rsidRDefault="00000000">
      <w:pPr>
        <w:autoSpaceDE w:val="0"/>
        <w:autoSpaceDN w:val="0"/>
        <w:adjustRightInd w:val="0"/>
        <w:spacing w:after="120"/>
        <w:jc w:val="center"/>
        <w:rPr>
          <w:i/>
          <w:iCs/>
          <w:color w:val="000000"/>
          <w:sz w:val="20"/>
          <w:szCs w:val="20"/>
          <w:lang w:val="fr-FR"/>
        </w:rPr>
      </w:pPr>
      <w:r>
        <w:rPr>
          <w:i/>
          <w:iCs/>
          <w:color w:val="000000"/>
          <w:sz w:val="20"/>
          <w:szCs w:val="20"/>
          <w:lang w:val="fr-FR"/>
        </w:rPr>
        <w:t>(En sucres)</w:t>
      </w:r>
    </w:p>
    <w:tbl>
      <w:tblPr>
        <w:tblW w:w="9299" w:type="dxa"/>
        <w:jc w:val="center"/>
        <w:tblBorders>
          <w:top w:val="single" w:sz="4" w:space="0" w:color="auto"/>
        </w:tblBorders>
        <w:tblLayout w:type="fixed"/>
        <w:tblCellMar>
          <w:left w:w="70" w:type="dxa"/>
          <w:right w:w="70" w:type="dxa"/>
        </w:tblCellMar>
        <w:tblLook w:val="0000" w:firstRow="0" w:lastRow="0" w:firstColumn="0" w:lastColumn="0" w:noHBand="0" w:noVBand="0"/>
      </w:tblPr>
      <w:tblGrid>
        <w:gridCol w:w="2389"/>
        <w:gridCol w:w="931"/>
        <w:gridCol w:w="931"/>
        <w:gridCol w:w="1117"/>
        <w:gridCol w:w="1303"/>
        <w:gridCol w:w="1372"/>
        <w:gridCol w:w="1256"/>
      </w:tblGrid>
      <w:tr w:rsidR="00000000">
        <w:tblPrEx>
          <w:tblCellMar>
            <w:top w:w="0" w:type="dxa"/>
            <w:bottom w:w="0" w:type="dxa"/>
          </w:tblCellMar>
        </w:tblPrEx>
        <w:trPr>
          <w:cantSplit/>
          <w:jc w:val="center"/>
        </w:trPr>
        <w:tc>
          <w:tcPr>
            <w:tcW w:w="2389"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20" w:after="20"/>
              <w:jc w:val="center"/>
              <w:rPr>
                <w:b/>
                <w:bCs/>
                <w:i/>
                <w:iCs/>
                <w:color w:val="000000"/>
                <w:sz w:val="16"/>
                <w:szCs w:val="20"/>
                <w:lang w:val="fr-FR"/>
              </w:rPr>
            </w:pPr>
          </w:p>
        </w:tc>
        <w:tc>
          <w:tcPr>
            <w:tcW w:w="931" w:type="dxa"/>
            <w:tcBorders>
              <w:top w:val="single" w:sz="4" w:space="0" w:color="auto"/>
              <w:bottom w:val="single" w:sz="4" w:space="0" w:color="auto"/>
            </w:tcBorders>
            <w:vAlign w:val="center"/>
          </w:tcPr>
          <w:p w:rsidR="00000000" w:rsidRDefault="00000000">
            <w:pPr>
              <w:autoSpaceDE w:val="0"/>
              <w:autoSpaceDN w:val="0"/>
              <w:adjustRightInd w:val="0"/>
              <w:spacing w:before="20" w:after="20"/>
              <w:jc w:val="center"/>
              <w:rPr>
                <w:b/>
                <w:bCs/>
                <w:i/>
                <w:iCs/>
                <w:color w:val="000000"/>
                <w:sz w:val="16"/>
                <w:szCs w:val="20"/>
                <w:lang w:val="fr-FR"/>
              </w:rPr>
            </w:pPr>
            <w:r>
              <w:rPr>
                <w:b/>
                <w:bCs/>
                <w:i/>
                <w:iCs/>
                <w:color w:val="000000"/>
                <w:sz w:val="16"/>
                <w:szCs w:val="20"/>
                <w:lang w:val="fr-FR"/>
              </w:rPr>
              <w:t>1990</w:t>
            </w:r>
          </w:p>
        </w:tc>
        <w:tc>
          <w:tcPr>
            <w:tcW w:w="931" w:type="dxa"/>
            <w:tcBorders>
              <w:top w:val="single" w:sz="4" w:space="0" w:color="auto"/>
              <w:bottom w:val="single" w:sz="4" w:space="0" w:color="auto"/>
            </w:tcBorders>
            <w:vAlign w:val="center"/>
          </w:tcPr>
          <w:p w:rsidR="00000000" w:rsidRDefault="00000000">
            <w:pPr>
              <w:autoSpaceDE w:val="0"/>
              <w:autoSpaceDN w:val="0"/>
              <w:adjustRightInd w:val="0"/>
              <w:spacing w:before="20" w:after="20"/>
              <w:jc w:val="center"/>
              <w:rPr>
                <w:b/>
                <w:bCs/>
                <w:i/>
                <w:iCs/>
                <w:color w:val="000000"/>
                <w:sz w:val="16"/>
                <w:szCs w:val="20"/>
                <w:lang w:val="fr-FR"/>
              </w:rPr>
            </w:pPr>
            <w:r>
              <w:rPr>
                <w:b/>
                <w:bCs/>
                <w:i/>
                <w:iCs/>
                <w:color w:val="000000"/>
                <w:sz w:val="16"/>
                <w:szCs w:val="20"/>
                <w:lang w:val="fr-FR"/>
              </w:rPr>
              <w:t>1995</w:t>
            </w:r>
          </w:p>
        </w:tc>
        <w:tc>
          <w:tcPr>
            <w:tcW w:w="1117" w:type="dxa"/>
            <w:tcBorders>
              <w:top w:val="single" w:sz="4" w:space="0" w:color="auto"/>
              <w:bottom w:val="single" w:sz="4" w:space="0" w:color="auto"/>
            </w:tcBorders>
            <w:vAlign w:val="center"/>
          </w:tcPr>
          <w:p w:rsidR="00000000" w:rsidRDefault="00000000">
            <w:pPr>
              <w:autoSpaceDE w:val="0"/>
              <w:autoSpaceDN w:val="0"/>
              <w:adjustRightInd w:val="0"/>
              <w:spacing w:before="20" w:after="20"/>
              <w:jc w:val="center"/>
              <w:rPr>
                <w:b/>
                <w:bCs/>
                <w:i/>
                <w:iCs/>
                <w:color w:val="000000"/>
                <w:sz w:val="16"/>
                <w:szCs w:val="20"/>
                <w:lang w:val="fr-FR"/>
              </w:rPr>
            </w:pPr>
            <w:r>
              <w:rPr>
                <w:b/>
                <w:bCs/>
                <w:i/>
                <w:iCs/>
                <w:color w:val="000000"/>
                <w:sz w:val="16"/>
                <w:szCs w:val="20"/>
                <w:lang w:val="fr-FR"/>
              </w:rPr>
              <w:t>1999</w:t>
            </w:r>
          </w:p>
        </w:tc>
        <w:tc>
          <w:tcPr>
            <w:tcW w:w="3931" w:type="dxa"/>
            <w:gridSpan w:val="3"/>
            <w:tcBorders>
              <w:top w:val="single" w:sz="4" w:space="0" w:color="auto"/>
              <w:bottom w:val="single" w:sz="4" w:space="0" w:color="auto"/>
            </w:tcBorders>
            <w:vAlign w:val="center"/>
          </w:tcPr>
          <w:p w:rsidR="00000000" w:rsidRDefault="00000000">
            <w:pPr>
              <w:autoSpaceDE w:val="0"/>
              <w:autoSpaceDN w:val="0"/>
              <w:adjustRightInd w:val="0"/>
              <w:spacing w:before="20" w:after="20"/>
              <w:jc w:val="center"/>
              <w:rPr>
                <w:b/>
                <w:bCs/>
                <w:i/>
                <w:iCs/>
                <w:color w:val="000000"/>
                <w:sz w:val="16"/>
                <w:szCs w:val="20"/>
                <w:lang w:val="fr-FR"/>
              </w:rPr>
            </w:pPr>
            <w:r>
              <w:rPr>
                <w:b/>
                <w:bCs/>
                <w:i/>
                <w:iCs/>
                <w:color w:val="000000"/>
                <w:sz w:val="16"/>
                <w:szCs w:val="20"/>
                <w:lang w:val="fr-FR"/>
              </w:rPr>
              <w:t>Variation</w:t>
            </w:r>
          </w:p>
        </w:tc>
      </w:tr>
      <w:tr w:rsidR="00000000">
        <w:tblPrEx>
          <w:tblCellMar>
            <w:top w:w="0" w:type="dxa"/>
            <w:bottom w:w="0" w:type="dxa"/>
          </w:tblCellMar>
        </w:tblPrEx>
        <w:trPr>
          <w:cantSplit/>
          <w:jc w:val="center"/>
        </w:trPr>
        <w:tc>
          <w:tcPr>
            <w:tcW w:w="2389" w:type="dxa"/>
            <w:vMerge/>
            <w:tcBorders>
              <w:top w:val="nil"/>
              <w:bottom w:val="single" w:sz="4" w:space="0" w:color="auto"/>
            </w:tcBorders>
            <w:vAlign w:val="center"/>
          </w:tcPr>
          <w:p w:rsidR="00000000" w:rsidRDefault="00000000">
            <w:pPr>
              <w:autoSpaceDE w:val="0"/>
              <w:autoSpaceDN w:val="0"/>
              <w:adjustRightInd w:val="0"/>
              <w:spacing w:before="20" w:after="20"/>
              <w:jc w:val="center"/>
              <w:rPr>
                <w:b/>
                <w:bCs/>
                <w:i/>
                <w:iCs/>
                <w:color w:val="000000"/>
                <w:sz w:val="16"/>
                <w:szCs w:val="20"/>
                <w:lang w:val="fr-FR"/>
              </w:rPr>
            </w:pPr>
          </w:p>
        </w:tc>
        <w:tc>
          <w:tcPr>
            <w:tcW w:w="931" w:type="dxa"/>
            <w:tcBorders>
              <w:top w:val="single" w:sz="4" w:space="0" w:color="auto"/>
              <w:bottom w:val="single" w:sz="4" w:space="0" w:color="auto"/>
            </w:tcBorders>
            <w:vAlign w:val="center"/>
          </w:tcPr>
          <w:p w:rsidR="00000000" w:rsidRDefault="00000000">
            <w:pPr>
              <w:autoSpaceDE w:val="0"/>
              <w:autoSpaceDN w:val="0"/>
              <w:adjustRightInd w:val="0"/>
              <w:spacing w:before="20" w:after="20"/>
              <w:jc w:val="center"/>
              <w:rPr>
                <w:b/>
                <w:bCs/>
                <w:i/>
                <w:iCs/>
                <w:color w:val="000000"/>
                <w:sz w:val="16"/>
                <w:szCs w:val="20"/>
                <w:lang w:val="fr-FR"/>
              </w:rPr>
            </w:pPr>
            <w:r>
              <w:rPr>
                <w:b/>
                <w:bCs/>
                <w:i/>
                <w:iCs/>
                <w:color w:val="000000"/>
                <w:sz w:val="16"/>
                <w:szCs w:val="20"/>
                <w:lang w:val="fr-FR"/>
              </w:rPr>
              <w:t>Janvier</w:t>
            </w:r>
          </w:p>
        </w:tc>
        <w:tc>
          <w:tcPr>
            <w:tcW w:w="931" w:type="dxa"/>
            <w:tcBorders>
              <w:top w:val="single" w:sz="4" w:space="0" w:color="auto"/>
              <w:bottom w:val="single" w:sz="4" w:space="0" w:color="auto"/>
            </w:tcBorders>
            <w:vAlign w:val="center"/>
          </w:tcPr>
          <w:p w:rsidR="00000000" w:rsidRDefault="00000000">
            <w:pPr>
              <w:autoSpaceDE w:val="0"/>
              <w:autoSpaceDN w:val="0"/>
              <w:adjustRightInd w:val="0"/>
              <w:spacing w:before="20" w:after="20"/>
              <w:jc w:val="center"/>
              <w:rPr>
                <w:b/>
                <w:bCs/>
                <w:i/>
                <w:iCs/>
                <w:color w:val="000000"/>
                <w:sz w:val="16"/>
                <w:szCs w:val="20"/>
                <w:lang w:val="fr-FR"/>
              </w:rPr>
            </w:pPr>
            <w:r>
              <w:rPr>
                <w:b/>
                <w:bCs/>
                <w:i/>
                <w:iCs/>
                <w:color w:val="000000"/>
                <w:sz w:val="16"/>
                <w:szCs w:val="20"/>
                <w:lang w:val="fr-FR"/>
              </w:rPr>
              <w:t>Février</w:t>
            </w:r>
          </w:p>
        </w:tc>
        <w:tc>
          <w:tcPr>
            <w:tcW w:w="1117" w:type="dxa"/>
            <w:tcBorders>
              <w:top w:val="single" w:sz="4" w:space="0" w:color="auto"/>
              <w:bottom w:val="single" w:sz="4" w:space="0" w:color="auto"/>
            </w:tcBorders>
            <w:vAlign w:val="center"/>
          </w:tcPr>
          <w:p w:rsidR="00000000" w:rsidRDefault="00000000">
            <w:pPr>
              <w:autoSpaceDE w:val="0"/>
              <w:autoSpaceDN w:val="0"/>
              <w:adjustRightInd w:val="0"/>
              <w:spacing w:before="20" w:after="20"/>
              <w:jc w:val="center"/>
              <w:rPr>
                <w:b/>
                <w:bCs/>
                <w:i/>
                <w:iCs/>
                <w:color w:val="000000"/>
                <w:sz w:val="16"/>
                <w:szCs w:val="20"/>
                <w:lang w:val="fr-FR"/>
              </w:rPr>
            </w:pPr>
            <w:r>
              <w:rPr>
                <w:b/>
                <w:bCs/>
                <w:i/>
                <w:iCs/>
                <w:color w:val="000000"/>
                <w:sz w:val="16"/>
                <w:szCs w:val="20"/>
                <w:lang w:val="fr-FR"/>
              </w:rPr>
              <w:t>Décembre</w:t>
            </w:r>
          </w:p>
        </w:tc>
        <w:tc>
          <w:tcPr>
            <w:tcW w:w="1303" w:type="dxa"/>
            <w:tcBorders>
              <w:top w:val="single" w:sz="4" w:space="0" w:color="auto"/>
              <w:bottom w:val="single" w:sz="4" w:space="0" w:color="auto"/>
            </w:tcBorders>
            <w:vAlign w:val="center"/>
          </w:tcPr>
          <w:p w:rsidR="00000000" w:rsidRDefault="00000000">
            <w:pPr>
              <w:autoSpaceDE w:val="0"/>
              <w:autoSpaceDN w:val="0"/>
              <w:adjustRightInd w:val="0"/>
              <w:spacing w:before="20" w:after="20"/>
              <w:jc w:val="center"/>
              <w:rPr>
                <w:b/>
                <w:bCs/>
                <w:i/>
                <w:iCs/>
                <w:color w:val="000000"/>
                <w:sz w:val="16"/>
                <w:szCs w:val="20"/>
                <w:lang w:val="fr-FR"/>
              </w:rPr>
            </w:pPr>
            <w:r>
              <w:rPr>
                <w:b/>
                <w:bCs/>
                <w:i/>
                <w:iCs/>
                <w:color w:val="000000"/>
                <w:sz w:val="16"/>
                <w:szCs w:val="20"/>
                <w:lang w:val="fr-FR"/>
              </w:rPr>
              <w:t>De janvier 1990 à janvier 1995</w:t>
            </w:r>
          </w:p>
        </w:tc>
        <w:tc>
          <w:tcPr>
            <w:tcW w:w="1372" w:type="dxa"/>
            <w:tcBorders>
              <w:top w:val="single" w:sz="4" w:space="0" w:color="auto"/>
              <w:bottom w:val="single" w:sz="4" w:space="0" w:color="auto"/>
            </w:tcBorders>
            <w:vAlign w:val="center"/>
          </w:tcPr>
          <w:p w:rsidR="00000000" w:rsidRDefault="00000000">
            <w:pPr>
              <w:autoSpaceDE w:val="0"/>
              <w:autoSpaceDN w:val="0"/>
              <w:adjustRightInd w:val="0"/>
              <w:spacing w:before="20" w:after="20"/>
              <w:jc w:val="center"/>
              <w:rPr>
                <w:b/>
                <w:bCs/>
                <w:i/>
                <w:iCs/>
                <w:color w:val="000000"/>
                <w:sz w:val="16"/>
                <w:szCs w:val="20"/>
                <w:lang w:val="fr-FR"/>
              </w:rPr>
            </w:pPr>
            <w:r>
              <w:rPr>
                <w:b/>
                <w:bCs/>
                <w:i/>
                <w:iCs/>
                <w:color w:val="000000"/>
                <w:sz w:val="16"/>
                <w:szCs w:val="20"/>
                <w:lang w:val="fr-FR"/>
              </w:rPr>
              <w:t>De décembre 1990 à janvier 1990</w:t>
            </w:r>
          </w:p>
        </w:tc>
        <w:tc>
          <w:tcPr>
            <w:tcW w:w="1256" w:type="dxa"/>
            <w:tcBorders>
              <w:top w:val="single" w:sz="4" w:space="0" w:color="auto"/>
              <w:bottom w:val="single" w:sz="4" w:space="0" w:color="auto"/>
            </w:tcBorders>
            <w:vAlign w:val="center"/>
          </w:tcPr>
          <w:p w:rsidR="00000000" w:rsidRDefault="00000000">
            <w:pPr>
              <w:autoSpaceDE w:val="0"/>
              <w:autoSpaceDN w:val="0"/>
              <w:adjustRightInd w:val="0"/>
              <w:spacing w:before="20" w:after="20"/>
              <w:jc w:val="center"/>
              <w:rPr>
                <w:b/>
                <w:bCs/>
                <w:i/>
                <w:iCs/>
                <w:color w:val="000000"/>
                <w:sz w:val="16"/>
                <w:szCs w:val="20"/>
                <w:lang w:val="fr-FR"/>
              </w:rPr>
            </w:pPr>
            <w:r>
              <w:rPr>
                <w:b/>
                <w:bCs/>
                <w:i/>
                <w:iCs/>
                <w:color w:val="000000"/>
                <w:sz w:val="16"/>
                <w:szCs w:val="20"/>
                <w:lang w:val="fr-FR"/>
              </w:rPr>
              <w:t>De janvier 1995 à décembre 1999</w:t>
            </w:r>
          </w:p>
        </w:tc>
      </w:tr>
      <w:tr w:rsidR="00000000">
        <w:tblPrEx>
          <w:tblCellMar>
            <w:top w:w="0" w:type="dxa"/>
            <w:bottom w:w="0" w:type="dxa"/>
          </w:tblCellMar>
        </w:tblPrEx>
        <w:trPr>
          <w:jc w:val="center"/>
        </w:trPr>
        <w:tc>
          <w:tcPr>
            <w:tcW w:w="2389" w:type="dxa"/>
            <w:tcBorders>
              <w:top w:val="single" w:sz="4" w:space="0" w:color="auto"/>
            </w:tcBorders>
          </w:tcPr>
          <w:p w:rsidR="00000000" w:rsidRDefault="00000000">
            <w:pPr>
              <w:autoSpaceDE w:val="0"/>
              <w:autoSpaceDN w:val="0"/>
              <w:adjustRightInd w:val="0"/>
              <w:spacing w:before="20" w:after="20"/>
              <w:rPr>
                <w:color w:val="000000"/>
                <w:sz w:val="19"/>
                <w:szCs w:val="20"/>
                <w:lang w:val="fr-FR"/>
              </w:rPr>
            </w:pPr>
            <w:r>
              <w:rPr>
                <w:color w:val="000000"/>
                <w:sz w:val="19"/>
                <w:szCs w:val="20"/>
                <w:lang w:val="fr-FR"/>
              </w:rPr>
              <w:t xml:space="preserve">Salaire minimal vital </w:t>
            </w:r>
          </w:p>
        </w:tc>
        <w:tc>
          <w:tcPr>
            <w:tcW w:w="931" w:type="dxa"/>
            <w:tcBorders>
              <w:top w:val="single" w:sz="4" w:space="0" w:color="auto"/>
            </w:tcBorders>
          </w:tcPr>
          <w:p w:rsidR="00000000" w:rsidRDefault="00000000">
            <w:pPr>
              <w:autoSpaceDE w:val="0"/>
              <w:autoSpaceDN w:val="0"/>
              <w:adjustRightInd w:val="0"/>
              <w:spacing w:before="20" w:after="20"/>
              <w:ind w:right="57"/>
              <w:jc w:val="right"/>
              <w:rPr>
                <w:color w:val="000000"/>
                <w:sz w:val="19"/>
                <w:szCs w:val="20"/>
                <w:lang w:val="fr-FR"/>
              </w:rPr>
            </w:pPr>
            <w:r>
              <w:rPr>
                <w:color w:val="000000"/>
                <w:sz w:val="19"/>
                <w:szCs w:val="20"/>
                <w:lang w:val="fr-FR"/>
              </w:rPr>
              <w:t xml:space="preserve">32 000 </w:t>
            </w:r>
          </w:p>
        </w:tc>
        <w:tc>
          <w:tcPr>
            <w:tcW w:w="931" w:type="dxa"/>
            <w:tcBorders>
              <w:top w:val="single" w:sz="4" w:space="0" w:color="auto"/>
            </w:tcBorders>
          </w:tcPr>
          <w:p w:rsidR="00000000" w:rsidRDefault="00000000">
            <w:pPr>
              <w:autoSpaceDE w:val="0"/>
              <w:autoSpaceDN w:val="0"/>
              <w:adjustRightInd w:val="0"/>
              <w:spacing w:before="20" w:after="20"/>
              <w:jc w:val="right"/>
              <w:rPr>
                <w:color w:val="000000"/>
                <w:sz w:val="19"/>
                <w:szCs w:val="20"/>
                <w:lang w:val="fr-FR"/>
              </w:rPr>
            </w:pPr>
            <w:r>
              <w:rPr>
                <w:color w:val="000000"/>
                <w:sz w:val="19"/>
                <w:szCs w:val="20"/>
                <w:lang w:val="fr-FR"/>
              </w:rPr>
              <w:t xml:space="preserve">75 000 </w:t>
            </w:r>
          </w:p>
        </w:tc>
        <w:tc>
          <w:tcPr>
            <w:tcW w:w="1117" w:type="dxa"/>
            <w:tcBorders>
              <w:top w:val="single" w:sz="4" w:space="0" w:color="auto"/>
            </w:tcBorders>
          </w:tcPr>
          <w:p w:rsidR="00000000" w:rsidRDefault="00000000">
            <w:pPr>
              <w:autoSpaceDE w:val="0"/>
              <w:autoSpaceDN w:val="0"/>
              <w:adjustRightInd w:val="0"/>
              <w:spacing w:before="20" w:after="20"/>
              <w:ind w:right="135"/>
              <w:jc w:val="right"/>
              <w:rPr>
                <w:color w:val="000000"/>
                <w:sz w:val="19"/>
                <w:szCs w:val="20"/>
                <w:lang w:val="fr-FR"/>
              </w:rPr>
            </w:pPr>
            <w:r>
              <w:rPr>
                <w:color w:val="000000"/>
                <w:sz w:val="19"/>
                <w:szCs w:val="20"/>
                <w:lang w:val="fr-FR"/>
              </w:rPr>
              <w:t xml:space="preserve">100 000 </w:t>
            </w:r>
          </w:p>
        </w:tc>
        <w:tc>
          <w:tcPr>
            <w:tcW w:w="1303" w:type="dxa"/>
            <w:tcBorders>
              <w:top w:val="single" w:sz="4" w:space="0" w:color="auto"/>
            </w:tcBorders>
          </w:tcPr>
          <w:p w:rsidR="00000000" w:rsidRDefault="00000000">
            <w:pPr>
              <w:autoSpaceDE w:val="0"/>
              <w:autoSpaceDN w:val="0"/>
              <w:adjustRightInd w:val="0"/>
              <w:spacing w:before="20" w:after="20"/>
              <w:ind w:right="343"/>
              <w:jc w:val="right"/>
              <w:rPr>
                <w:color w:val="000000"/>
                <w:sz w:val="19"/>
                <w:szCs w:val="20"/>
                <w:lang w:val="fr-FR"/>
              </w:rPr>
            </w:pPr>
            <w:r>
              <w:rPr>
                <w:color w:val="000000"/>
                <w:sz w:val="19"/>
                <w:szCs w:val="20"/>
                <w:lang w:val="fr-FR"/>
              </w:rPr>
              <w:t xml:space="preserve">134 % </w:t>
            </w:r>
          </w:p>
        </w:tc>
        <w:tc>
          <w:tcPr>
            <w:tcW w:w="1372" w:type="dxa"/>
            <w:tcBorders>
              <w:top w:val="single" w:sz="4" w:space="0" w:color="auto"/>
            </w:tcBorders>
          </w:tcPr>
          <w:p w:rsidR="00000000" w:rsidRDefault="00000000">
            <w:pPr>
              <w:autoSpaceDE w:val="0"/>
              <w:autoSpaceDN w:val="0"/>
              <w:adjustRightInd w:val="0"/>
              <w:spacing w:before="20" w:after="20"/>
              <w:ind w:right="221"/>
              <w:jc w:val="right"/>
              <w:rPr>
                <w:color w:val="000000"/>
                <w:sz w:val="19"/>
                <w:szCs w:val="20"/>
                <w:lang w:val="fr-FR"/>
              </w:rPr>
            </w:pPr>
            <w:r>
              <w:rPr>
                <w:color w:val="000000"/>
                <w:sz w:val="19"/>
                <w:szCs w:val="20"/>
                <w:lang w:val="fr-FR"/>
              </w:rPr>
              <w:t xml:space="preserve">213 % </w:t>
            </w:r>
          </w:p>
        </w:tc>
        <w:tc>
          <w:tcPr>
            <w:tcW w:w="1256" w:type="dxa"/>
            <w:tcBorders>
              <w:top w:val="single" w:sz="4" w:space="0" w:color="auto"/>
            </w:tcBorders>
          </w:tcPr>
          <w:p w:rsidR="00000000" w:rsidRDefault="00000000">
            <w:pPr>
              <w:autoSpaceDE w:val="0"/>
              <w:autoSpaceDN w:val="0"/>
              <w:adjustRightInd w:val="0"/>
              <w:spacing w:before="20" w:after="20"/>
              <w:ind w:right="286"/>
              <w:jc w:val="right"/>
              <w:rPr>
                <w:color w:val="000000"/>
                <w:sz w:val="19"/>
                <w:szCs w:val="20"/>
                <w:lang w:val="fr-FR"/>
              </w:rPr>
            </w:pPr>
            <w:r>
              <w:rPr>
                <w:color w:val="000000"/>
                <w:sz w:val="19"/>
                <w:szCs w:val="20"/>
                <w:lang w:val="fr-FR"/>
              </w:rPr>
              <w:t xml:space="preserve">33 %  </w:t>
            </w:r>
          </w:p>
        </w:tc>
      </w:tr>
      <w:tr w:rsidR="00000000">
        <w:tblPrEx>
          <w:tblCellMar>
            <w:top w:w="0" w:type="dxa"/>
            <w:bottom w:w="0" w:type="dxa"/>
          </w:tblCellMar>
        </w:tblPrEx>
        <w:trPr>
          <w:jc w:val="center"/>
        </w:trPr>
        <w:tc>
          <w:tcPr>
            <w:tcW w:w="2389" w:type="dxa"/>
          </w:tcPr>
          <w:p w:rsidR="00000000" w:rsidRDefault="00000000">
            <w:pPr>
              <w:autoSpaceDE w:val="0"/>
              <w:autoSpaceDN w:val="0"/>
              <w:adjustRightInd w:val="0"/>
              <w:spacing w:before="20" w:after="20"/>
              <w:rPr>
                <w:color w:val="000000"/>
                <w:sz w:val="19"/>
                <w:szCs w:val="20"/>
                <w:lang w:val="fr-FR"/>
              </w:rPr>
            </w:pPr>
            <w:r>
              <w:rPr>
                <w:color w:val="000000"/>
                <w:sz w:val="19"/>
                <w:szCs w:val="20"/>
                <w:lang w:val="fr-FR"/>
              </w:rPr>
              <w:t xml:space="preserve">Indemnité du coût </w:t>
            </w:r>
            <w:r>
              <w:rPr>
                <w:color w:val="000000"/>
                <w:sz w:val="19"/>
                <w:szCs w:val="20"/>
                <w:lang w:val="fr-FR"/>
              </w:rPr>
              <w:br/>
              <w:t xml:space="preserve">de la vie </w:t>
            </w:r>
          </w:p>
        </w:tc>
        <w:tc>
          <w:tcPr>
            <w:tcW w:w="931" w:type="dxa"/>
          </w:tcPr>
          <w:p w:rsidR="00000000" w:rsidRDefault="00000000">
            <w:pPr>
              <w:autoSpaceDE w:val="0"/>
              <w:autoSpaceDN w:val="0"/>
              <w:adjustRightInd w:val="0"/>
              <w:spacing w:before="20" w:after="20"/>
              <w:ind w:right="57"/>
              <w:jc w:val="right"/>
              <w:rPr>
                <w:color w:val="000000"/>
                <w:sz w:val="19"/>
                <w:szCs w:val="20"/>
                <w:lang w:val="fr-FR"/>
              </w:rPr>
            </w:pPr>
            <w:r>
              <w:rPr>
                <w:color w:val="000000"/>
                <w:sz w:val="19"/>
                <w:szCs w:val="20"/>
                <w:lang w:val="fr-FR"/>
              </w:rPr>
              <w:t xml:space="preserve">2 500 </w:t>
            </w:r>
          </w:p>
        </w:tc>
        <w:tc>
          <w:tcPr>
            <w:tcW w:w="931" w:type="dxa"/>
          </w:tcPr>
          <w:p w:rsidR="00000000" w:rsidRDefault="00000000">
            <w:pPr>
              <w:autoSpaceDE w:val="0"/>
              <w:autoSpaceDN w:val="0"/>
              <w:adjustRightInd w:val="0"/>
              <w:spacing w:before="20" w:after="20"/>
              <w:jc w:val="right"/>
              <w:rPr>
                <w:color w:val="000000"/>
                <w:sz w:val="19"/>
                <w:szCs w:val="20"/>
                <w:lang w:val="fr-FR"/>
              </w:rPr>
            </w:pPr>
            <w:r>
              <w:rPr>
                <w:color w:val="000000"/>
                <w:sz w:val="19"/>
                <w:szCs w:val="20"/>
                <w:lang w:val="fr-FR"/>
              </w:rPr>
              <w:t xml:space="preserve">125 000 </w:t>
            </w:r>
          </w:p>
        </w:tc>
        <w:tc>
          <w:tcPr>
            <w:tcW w:w="1117" w:type="dxa"/>
          </w:tcPr>
          <w:p w:rsidR="00000000" w:rsidRDefault="00000000">
            <w:pPr>
              <w:autoSpaceDE w:val="0"/>
              <w:autoSpaceDN w:val="0"/>
              <w:adjustRightInd w:val="0"/>
              <w:spacing w:before="20" w:after="20"/>
              <w:ind w:right="135"/>
              <w:jc w:val="right"/>
              <w:rPr>
                <w:color w:val="000000"/>
                <w:sz w:val="19"/>
                <w:szCs w:val="20"/>
                <w:lang w:val="fr-FR"/>
              </w:rPr>
            </w:pPr>
            <w:r>
              <w:rPr>
                <w:color w:val="000000"/>
                <w:sz w:val="19"/>
                <w:szCs w:val="20"/>
                <w:lang w:val="fr-FR"/>
              </w:rPr>
              <w:t xml:space="preserve">300 000 </w:t>
            </w:r>
          </w:p>
        </w:tc>
        <w:tc>
          <w:tcPr>
            <w:tcW w:w="1303" w:type="dxa"/>
          </w:tcPr>
          <w:p w:rsidR="00000000" w:rsidRDefault="00000000">
            <w:pPr>
              <w:autoSpaceDE w:val="0"/>
              <w:autoSpaceDN w:val="0"/>
              <w:adjustRightInd w:val="0"/>
              <w:spacing w:before="20" w:after="20"/>
              <w:ind w:right="343"/>
              <w:jc w:val="right"/>
              <w:rPr>
                <w:color w:val="000000"/>
                <w:sz w:val="19"/>
                <w:szCs w:val="20"/>
                <w:lang w:val="fr-FR"/>
              </w:rPr>
            </w:pPr>
            <w:r>
              <w:rPr>
                <w:color w:val="000000"/>
                <w:sz w:val="19"/>
                <w:szCs w:val="20"/>
                <w:lang w:val="fr-FR"/>
              </w:rPr>
              <w:t xml:space="preserve">4 900 % </w:t>
            </w:r>
          </w:p>
        </w:tc>
        <w:tc>
          <w:tcPr>
            <w:tcW w:w="1372" w:type="dxa"/>
          </w:tcPr>
          <w:p w:rsidR="00000000" w:rsidRDefault="00000000">
            <w:pPr>
              <w:autoSpaceDE w:val="0"/>
              <w:autoSpaceDN w:val="0"/>
              <w:adjustRightInd w:val="0"/>
              <w:spacing w:before="20" w:after="20"/>
              <w:ind w:right="221"/>
              <w:jc w:val="right"/>
              <w:rPr>
                <w:color w:val="000000"/>
                <w:sz w:val="19"/>
                <w:szCs w:val="20"/>
                <w:lang w:val="fr-FR"/>
              </w:rPr>
            </w:pPr>
            <w:r>
              <w:rPr>
                <w:color w:val="000000"/>
                <w:sz w:val="19"/>
                <w:szCs w:val="20"/>
                <w:lang w:val="fr-FR"/>
              </w:rPr>
              <w:t xml:space="preserve">11 900 % </w:t>
            </w:r>
          </w:p>
        </w:tc>
        <w:tc>
          <w:tcPr>
            <w:tcW w:w="1256" w:type="dxa"/>
          </w:tcPr>
          <w:p w:rsidR="00000000" w:rsidRDefault="00000000">
            <w:pPr>
              <w:autoSpaceDE w:val="0"/>
              <w:autoSpaceDN w:val="0"/>
              <w:adjustRightInd w:val="0"/>
              <w:spacing w:before="20" w:after="20"/>
              <w:ind w:right="286"/>
              <w:jc w:val="right"/>
              <w:rPr>
                <w:color w:val="000000"/>
                <w:sz w:val="19"/>
                <w:szCs w:val="20"/>
                <w:lang w:val="fr-FR"/>
              </w:rPr>
            </w:pPr>
            <w:r>
              <w:rPr>
                <w:color w:val="000000"/>
                <w:sz w:val="19"/>
                <w:szCs w:val="20"/>
                <w:lang w:val="fr-FR"/>
              </w:rPr>
              <w:t xml:space="preserve">140 %  </w:t>
            </w:r>
          </w:p>
        </w:tc>
      </w:tr>
      <w:tr w:rsidR="00000000">
        <w:tblPrEx>
          <w:tblCellMar>
            <w:top w:w="0" w:type="dxa"/>
            <w:bottom w:w="0" w:type="dxa"/>
          </w:tblCellMar>
        </w:tblPrEx>
        <w:trPr>
          <w:jc w:val="center"/>
        </w:trPr>
        <w:tc>
          <w:tcPr>
            <w:tcW w:w="2389" w:type="dxa"/>
          </w:tcPr>
          <w:p w:rsidR="00000000" w:rsidRDefault="00000000">
            <w:pPr>
              <w:autoSpaceDE w:val="0"/>
              <w:autoSpaceDN w:val="0"/>
              <w:adjustRightInd w:val="0"/>
              <w:spacing w:before="20" w:after="20"/>
              <w:rPr>
                <w:color w:val="000000"/>
                <w:sz w:val="19"/>
                <w:szCs w:val="20"/>
                <w:lang w:val="fr-FR"/>
              </w:rPr>
            </w:pPr>
            <w:r>
              <w:rPr>
                <w:color w:val="000000"/>
                <w:sz w:val="19"/>
                <w:szCs w:val="20"/>
                <w:lang w:val="fr-FR"/>
              </w:rPr>
              <w:t xml:space="preserve">Allocation complémentaire </w:t>
            </w:r>
          </w:p>
        </w:tc>
        <w:tc>
          <w:tcPr>
            <w:tcW w:w="931" w:type="dxa"/>
          </w:tcPr>
          <w:p w:rsidR="00000000" w:rsidRDefault="00000000">
            <w:pPr>
              <w:autoSpaceDE w:val="0"/>
              <w:autoSpaceDN w:val="0"/>
              <w:adjustRightInd w:val="0"/>
              <w:spacing w:before="20" w:after="20"/>
              <w:ind w:right="57"/>
              <w:jc w:val="right"/>
              <w:rPr>
                <w:color w:val="000000"/>
                <w:sz w:val="19"/>
                <w:szCs w:val="20"/>
                <w:lang w:val="fr-FR"/>
              </w:rPr>
            </w:pPr>
            <w:r>
              <w:rPr>
                <w:color w:val="000000"/>
                <w:sz w:val="19"/>
                <w:szCs w:val="20"/>
                <w:lang w:val="fr-FR"/>
              </w:rPr>
              <w:t xml:space="preserve">1 000 </w:t>
            </w:r>
          </w:p>
        </w:tc>
        <w:tc>
          <w:tcPr>
            <w:tcW w:w="931" w:type="dxa"/>
          </w:tcPr>
          <w:p w:rsidR="00000000" w:rsidRDefault="00000000">
            <w:pPr>
              <w:autoSpaceDE w:val="0"/>
              <w:autoSpaceDN w:val="0"/>
              <w:adjustRightInd w:val="0"/>
              <w:spacing w:before="20" w:after="20"/>
              <w:jc w:val="right"/>
              <w:rPr>
                <w:color w:val="000000"/>
                <w:sz w:val="19"/>
                <w:szCs w:val="20"/>
                <w:lang w:val="fr-FR"/>
              </w:rPr>
            </w:pPr>
            <w:r>
              <w:rPr>
                <w:color w:val="000000"/>
                <w:sz w:val="19"/>
                <w:szCs w:val="20"/>
                <w:lang w:val="fr-FR"/>
              </w:rPr>
              <w:t xml:space="preserve">96 000 </w:t>
            </w:r>
          </w:p>
        </w:tc>
        <w:tc>
          <w:tcPr>
            <w:tcW w:w="1117" w:type="dxa"/>
          </w:tcPr>
          <w:p w:rsidR="00000000" w:rsidRDefault="00000000">
            <w:pPr>
              <w:autoSpaceDE w:val="0"/>
              <w:autoSpaceDN w:val="0"/>
              <w:adjustRightInd w:val="0"/>
              <w:spacing w:before="20" w:after="20"/>
              <w:ind w:right="135"/>
              <w:jc w:val="right"/>
              <w:rPr>
                <w:color w:val="000000"/>
                <w:sz w:val="19"/>
                <w:szCs w:val="20"/>
                <w:lang w:val="fr-FR"/>
              </w:rPr>
            </w:pPr>
            <w:r>
              <w:rPr>
                <w:color w:val="000000"/>
                <w:sz w:val="19"/>
                <w:szCs w:val="20"/>
                <w:lang w:val="fr-FR"/>
              </w:rPr>
              <w:t xml:space="preserve">700 000 </w:t>
            </w:r>
          </w:p>
        </w:tc>
        <w:tc>
          <w:tcPr>
            <w:tcW w:w="1303" w:type="dxa"/>
          </w:tcPr>
          <w:p w:rsidR="00000000" w:rsidRDefault="00000000">
            <w:pPr>
              <w:autoSpaceDE w:val="0"/>
              <w:autoSpaceDN w:val="0"/>
              <w:adjustRightInd w:val="0"/>
              <w:spacing w:before="20" w:after="20"/>
              <w:ind w:right="343"/>
              <w:jc w:val="right"/>
              <w:rPr>
                <w:color w:val="000000"/>
                <w:sz w:val="19"/>
                <w:szCs w:val="20"/>
                <w:lang w:val="fr-FR"/>
              </w:rPr>
            </w:pPr>
            <w:r>
              <w:rPr>
                <w:color w:val="000000"/>
                <w:sz w:val="19"/>
                <w:szCs w:val="20"/>
                <w:lang w:val="fr-FR"/>
              </w:rPr>
              <w:t xml:space="preserve">9 500 % </w:t>
            </w:r>
          </w:p>
        </w:tc>
        <w:tc>
          <w:tcPr>
            <w:tcW w:w="1372" w:type="dxa"/>
          </w:tcPr>
          <w:p w:rsidR="00000000" w:rsidRDefault="00000000">
            <w:pPr>
              <w:autoSpaceDE w:val="0"/>
              <w:autoSpaceDN w:val="0"/>
              <w:adjustRightInd w:val="0"/>
              <w:spacing w:before="20" w:after="20"/>
              <w:ind w:right="221"/>
              <w:jc w:val="right"/>
              <w:rPr>
                <w:color w:val="000000"/>
                <w:sz w:val="19"/>
                <w:szCs w:val="20"/>
                <w:lang w:val="fr-FR"/>
              </w:rPr>
            </w:pPr>
            <w:r>
              <w:rPr>
                <w:color w:val="000000"/>
                <w:sz w:val="19"/>
                <w:szCs w:val="20"/>
                <w:lang w:val="fr-FR"/>
              </w:rPr>
              <w:t xml:space="preserve">69 900 % </w:t>
            </w:r>
          </w:p>
        </w:tc>
        <w:tc>
          <w:tcPr>
            <w:tcW w:w="1256" w:type="dxa"/>
          </w:tcPr>
          <w:p w:rsidR="00000000" w:rsidRDefault="00000000">
            <w:pPr>
              <w:autoSpaceDE w:val="0"/>
              <w:autoSpaceDN w:val="0"/>
              <w:adjustRightInd w:val="0"/>
              <w:spacing w:before="20" w:after="20"/>
              <w:ind w:right="286"/>
              <w:jc w:val="right"/>
              <w:rPr>
                <w:color w:val="000000"/>
                <w:sz w:val="19"/>
                <w:szCs w:val="20"/>
                <w:lang w:val="fr-FR"/>
              </w:rPr>
            </w:pPr>
            <w:r>
              <w:rPr>
                <w:color w:val="000000"/>
                <w:sz w:val="19"/>
                <w:szCs w:val="20"/>
                <w:lang w:val="fr-FR"/>
              </w:rPr>
              <w:t xml:space="preserve">629 %  </w:t>
            </w:r>
          </w:p>
        </w:tc>
      </w:tr>
      <w:tr w:rsidR="00000000">
        <w:tblPrEx>
          <w:tblCellMar>
            <w:top w:w="0" w:type="dxa"/>
            <w:bottom w:w="0" w:type="dxa"/>
          </w:tblCellMar>
        </w:tblPrEx>
        <w:trPr>
          <w:jc w:val="center"/>
        </w:trPr>
        <w:tc>
          <w:tcPr>
            <w:tcW w:w="2389" w:type="dxa"/>
          </w:tcPr>
          <w:p w:rsidR="00000000" w:rsidRDefault="00000000">
            <w:pPr>
              <w:autoSpaceDE w:val="0"/>
              <w:autoSpaceDN w:val="0"/>
              <w:adjustRightInd w:val="0"/>
              <w:spacing w:before="20" w:after="20"/>
              <w:rPr>
                <w:color w:val="000000"/>
                <w:sz w:val="19"/>
                <w:szCs w:val="20"/>
                <w:lang w:val="fr-FR"/>
              </w:rPr>
            </w:pPr>
            <w:r>
              <w:rPr>
                <w:color w:val="000000"/>
                <w:sz w:val="19"/>
                <w:szCs w:val="20"/>
                <w:lang w:val="fr-FR"/>
              </w:rPr>
              <w:t xml:space="preserve">Indemnité de transport </w:t>
            </w:r>
          </w:p>
        </w:tc>
        <w:tc>
          <w:tcPr>
            <w:tcW w:w="931" w:type="dxa"/>
          </w:tcPr>
          <w:p w:rsidR="00000000" w:rsidRDefault="00000000">
            <w:pPr>
              <w:autoSpaceDE w:val="0"/>
              <w:autoSpaceDN w:val="0"/>
              <w:adjustRightInd w:val="0"/>
              <w:spacing w:before="20" w:after="20"/>
              <w:ind w:right="57"/>
              <w:jc w:val="right"/>
              <w:rPr>
                <w:color w:val="000000"/>
                <w:sz w:val="19"/>
                <w:szCs w:val="20"/>
                <w:lang w:val="fr-FR"/>
              </w:rPr>
            </w:pPr>
            <w:r>
              <w:rPr>
                <w:color w:val="000000"/>
                <w:sz w:val="19"/>
                <w:szCs w:val="20"/>
                <w:lang w:val="fr-FR"/>
              </w:rPr>
              <w:t xml:space="preserve">2 400 </w:t>
            </w:r>
          </w:p>
        </w:tc>
        <w:tc>
          <w:tcPr>
            <w:tcW w:w="931" w:type="dxa"/>
          </w:tcPr>
          <w:p w:rsidR="00000000" w:rsidRDefault="00000000">
            <w:pPr>
              <w:autoSpaceDE w:val="0"/>
              <w:autoSpaceDN w:val="0"/>
              <w:adjustRightInd w:val="0"/>
              <w:spacing w:before="20" w:after="20"/>
              <w:jc w:val="right"/>
              <w:rPr>
                <w:color w:val="000000"/>
                <w:sz w:val="19"/>
                <w:szCs w:val="20"/>
                <w:lang w:val="fr-FR"/>
              </w:rPr>
            </w:pPr>
            <w:r>
              <w:rPr>
                <w:color w:val="000000"/>
                <w:sz w:val="19"/>
                <w:szCs w:val="20"/>
                <w:lang w:val="fr-FR"/>
              </w:rPr>
              <w:t xml:space="preserve">16 000 </w:t>
            </w:r>
          </w:p>
        </w:tc>
        <w:tc>
          <w:tcPr>
            <w:tcW w:w="1117" w:type="dxa"/>
          </w:tcPr>
          <w:p w:rsidR="00000000" w:rsidRDefault="00000000">
            <w:pPr>
              <w:autoSpaceDE w:val="0"/>
              <w:autoSpaceDN w:val="0"/>
              <w:adjustRightInd w:val="0"/>
              <w:spacing w:before="20" w:after="20"/>
              <w:ind w:right="135"/>
              <w:jc w:val="right"/>
              <w:rPr>
                <w:color w:val="000000"/>
                <w:sz w:val="19"/>
                <w:szCs w:val="20"/>
                <w:lang w:val="fr-FR"/>
              </w:rPr>
            </w:pPr>
            <w:r>
              <w:rPr>
                <w:color w:val="000000"/>
                <w:sz w:val="19"/>
                <w:szCs w:val="20"/>
                <w:lang w:val="fr-FR"/>
              </w:rPr>
              <w:t xml:space="preserve">80 000 </w:t>
            </w:r>
          </w:p>
        </w:tc>
        <w:tc>
          <w:tcPr>
            <w:tcW w:w="1303" w:type="dxa"/>
          </w:tcPr>
          <w:p w:rsidR="00000000" w:rsidRDefault="00000000">
            <w:pPr>
              <w:autoSpaceDE w:val="0"/>
              <w:autoSpaceDN w:val="0"/>
              <w:adjustRightInd w:val="0"/>
              <w:spacing w:before="20" w:after="20"/>
              <w:ind w:right="343"/>
              <w:jc w:val="right"/>
              <w:rPr>
                <w:color w:val="000000"/>
                <w:sz w:val="19"/>
                <w:szCs w:val="20"/>
                <w:lang w:val="fr-FR"/>
              </w:rPr>
            </w:pPr>
            <w:r>
              <w:rPr>
                <w:color w:val="000000"/>
                <w:sz w:val="19"/>
                <w:szCs w:val="20"/>
                <w:lang w:val="fr-FR"/>
              </w:rPr>
              <w:t xml:space="preserve">567 % </w:t>
            </w:r>
          </w:p>
        </w:tc>
        <w:tc>
          <w:tcPr>
            <w:tcW w:w="1372" w:type="dxa"/>
          </w:tcPr>
          <w:p w:rsidR="00000000" w:rsidRDefault="00000000">
            <w:pPr>
              <w:autoSpaceDE w:val="0"/>
              <w:autoSpaceDN w:val="0"/>
              <w:adjustRightInd w:val="0"/>
              <w:spacing w:before="20" w:after="20"/>
              <w:ind w:right="221"/>
              <w:jc w:val="right"/>
              <w:rPr>
                <w:color w:val="000000"/>
                <w:sz w:val="19"/>
                <w:szCs w:val="20"/>
                <w:lang w:val="fr-FR"/>
              </w:rPr>
            </w:pPr>
            <w:r>
              <w:rPr>
                <w:color w:val="000000"/>
                <w:sz w:val="19"/>
                <w:szCs w:val="20"/>
                <w:lang w:val="fr-FR"/>
              </w:rPr>
              <w:t xml:space="preserve">3 233 % </w:t>
            </w:r>
          </w:p>
        </w:tc>
        <w:tc>
          <w:tcPr>
            <w:tcW w:w="1256" w:type="dxa"/>
          </w:tcPr>
          <w:p w:rsidR="00000000" w:rsidRDefault="00000000">
            <w:pPr>
              <w:autoSpaceDE w:val="0"/>
              <w:autoSpaceDN w:val="0"/>
              <w:adjustRightInd w:val="0"/>
              <w:spacing w:before="20" w:after="20"/>
              <w:ind w:right="286"/>
              <w:jc w:val="right"/>
              <w:rPr>
                <w:color w:val="000000"/>
                <w:sz w:val="19"/>
                <w:szCs w:val="20"/>
                <w:lang w:val="fr-FR"/>
              </w:rPr>
            </w:pPr>
            <w:r>
              <w:rPr>
                <w:color w:val="000000"/>
                <w:sz w:val="19"/>
                <w:szCs w:val="20"/>
                <w:lang w:val="fr-FR"/>
              </w:rPr>
              <w:t xml:space="preserve">400 %  </w:t>
            </w:r>
          </w:p>
        </w:tc>
      </w:tr>
      <w:tr w:rsidR="00000000">
        <w:tblPrEx>
          <w:tblCellMar>
            <w:top w:w="0" w:type="dxa"/>
            <w:bottom w:w="0" w:type="dxa"/>
          </w:tblCellMar>
        </w:tblPrEx>
        <w:trPr>
          <w:jc w:val="center"/>
        </w:trPr>
        <w:tc>
          <w:tcPr>
            <w:tcW w:w="2389" w:type="dxa"/>
          </w:tcPr>
          <w:p w:rsidR="00000000" w:rsidRDefault="00000000">
            <w:pPr>
              <w:autoSpaceDE w:val="0"/>
              <w:autoSpaceDN w:val="0"/>
              <w:adjustRightInd w:val="0"/>
              <w:spacing w:before="20" w:after="20"/>
              <w:rPr>
                <w:color w:val="000000"/>
                <w:sz w:val="19"/>
                <w:szCs w:val="20"/>
                <w:lang w:val="fr-FR"/>
              </w:rPr>
            </w:pPr>
            <w:r>
              <w:rPr>
                <w:color w:val="000000"/>
                <w:sz w:val="19"/>
                <w:szCs w:val="20"/>
                <w:lang w:val="fr-FR"/>
              </w:rPr>
              <w:t xml:space="preserve">Seizième salaire </w:t>
            </w:r>
          </w:p>
        </w:tc>
        <w:tc>
          <w:tcPr>
            <w:tcW w:w="931" w:type="dxa"/>
          </w:tcPr>
          <w:p w:rsidR="00000000" w:rsidRDefault="00000000">
            <w:pPr>
              <w:autoSpaceDE w:val="0"/>
              <w:autoSpaceDN w:val="0"/>
              <w:adjustRightInd w:val="0"/>
              <w:spacing w:before="20" w:after="20"/>
              <w:ind w:right="57"/>
              <w:jc w:val="right"/>
              <w:rPr>
                <w:color w:val="000000"/>
                <w:sz w:val="19"/>
                <w:szCs w:val="20"/>
                <w:lang w:val="fr-FR"/>
              </w:rPr>
            </w:pPr>
          </w:p>
        </w:tc>
        <w:tc>
          <w:tcPr>
            <w:tcW w:w="931" w:type="dxa"/>
          </w:tcPr>
          <w:p w:rsidR="00000000" w:rsidRDefault="00000000">
            <w:pPr>
              <w:autoSpaceDE w:val="0"/>
              <w:autoSpaceDN w:val="0"/>
              <w:adjustRightInd w:val="0"/>
              <w:spacing w:before="20" w:after="20"/>
              <w:jc w:val="right"/>
              <w:rPr>
                <w:color w:val="000000"/>
                <w:sz w:val="19"/>
                <w:szCs w:val="20"/>
                <w:lang w:val="fr-FR"/>
              </w:rPr>
            </w:pPr>
            <w:r>
              <w:rPr>
                <w:color w:val="000000"/>
                <w:sz w:val="19"/>
                <w:szCs w:val="20"/>
                <w:lang w:val="fr-FR"/>
              </w:rPr>
              <w:t xml:space="preserve">12 500 </w:t>
            </w:r>
          </w:p>
        </w:tc>
        <w:tc>
          <w:tcPr>
            <w:tcW w:w="1117" w:type="dxa"/>
          </w:tcPr>
          <w:p w:rsidR="00000000" w:rsidRDefault="00000000">
            <w:pPr>
              <w:autoSpaceDE w:val="0"/>
              <w:autoSpaceDN w:val="0"/>
              <w:adjustRightInd w:val="0"/>
              <w:spacing w:before="20" w:after="20"/>
              <w:ind w:right="135"/>
              <w:jc w:val="right"/>
              <w:rPr>
                <w:color w:val="000000"/>
                <w:sz w:val="19"/>
                <w:szCs w:val="20"/>
                <w:lang w:val="fr-FR"/>
              </w:rPr>
            </w:pPr>
            <w:r>
              <w:rPr>
                <w:color w:val="000000"/>
                <w:sz w:val="19"/>
                <w:szCs w:val="20"/>
                <w:lang w:val="fr-FR"/>
              </w:rPr>
              <w:t xml:space="preserve">16 667 </w:t>
            </w:r>
          </w:p>
        </w:tc>
        <w:tc>
          <w:tcPr>
            <w:tcW w:w="1303" w:type="dxa"/>
          </w:tcPr>
          <w:p w:rsidR="00000000" w:rsidRDefault="00000000">
            <w:pPr>
              <w:autoSpaceDE w:val="0"/>
              <w:autoSpaceDN w:val="0"/>
              <w:adjustRightInd w:val="0"/>
              <w:spacing w:before="20" w:after="20"/>
              <w:ind w:right="343"/>
              <w:jc w:val="right"/>
              <w:rPr>
                <w:color w:val="000000"/>
                <w:sz w:val="19"/>
                <w:szCs w:val="20"/>
                <w:lang w:val="fr-FR"/>
              </w:rPr>
            </w:pPr>
          </w:p>
        </w:tc>
        <w:tc>
          <w:tcPr>
            <w:tcW w:w="1372" w:type="dxa"/>
          </w:tcPr>
          <w:p w:rsidR="00000000" w:rsidRDefault="00000000">
            <w:pPr>
              <w:autoSpaceDE w:val="0"/>
              <w:autoSpaceDN w:val="0"/>
              <w:adjustRightInd w:val="0"/>
              <w:spacing w:before="20" w:after="20"/>
              <w:ind w:right="221"/>
              <w:jc w:val="right"/>
              <w:rPr>
                <w:color w:val="000000"/>
                <w:sz w:val="19"/>
                <w:szCs w:val="20"/>
                <w:lang w:val="fr-FR"/>
              </w:rPr>
            </w:pPr>
          </w:p>
        </w:tc>
        <w:tc>
          <w:tcPr>
            <w:tcW w:w="1256" w:type="dxa"/>
          </w:tcPr>
          <w:p w:rsidR="00000000" w:rsidRDefault="00000000">
            <w:pPr>
              <w:autoSpaceDE w:val="0"/>
              <w:autoSpaceDN w:val="0"/>
              <w:adjustRightInd w:val="0"/>
              <w:spacing w:before="20" w:after="20"/>
              <w:ind w:right="286"/>
              <w:jc w:val="right"/>
              <w:rPr>
                <w:color w:val="000000"/>
                <w:sz w:val="19"/>
                <w:szCs w:val="20"/>
                <w:lang w:val="fr-FR"/>
              </w:rPr>
            </w:pPr>
            <w:r>
              <w:rPr>
                <w:color w:val="000000"/>
                <w:sz w:val="19"/>
                <w:szCs w:val="20"/>
                <w:lang w:val="fr-FR"/>
              </w:rPr>
              <w:t xml:space="preserve">33 %  </w:t>
            </w:r>
          </w:p>
        </w:tc>
      </w:tr>
      <w:tr w:rsidR="00000000">
        <w:tblPrEx>
          <w:tblCellMar>
            <w:top w:w="0" w:type="dxa"/>
            <w:bottom w:w="0" w:type="dxa"/>
          </w:tblCellMar>
        </w:tblPrEx>
        <w:trPr>
          <w:jc w:val="center"/>
        </w:trPr>
        <w:tc>
          <w:tcPr>
            <w:tcW w:w="2389" w:type="dxa"/>
          </w:tcPr>
          <w:p w:rsidR="00000000" w:rsidRDefault="00000000">
            <w:pPr>
              <w:autoSpaceDE w:val="0"/>
              <w:autoSpaceDN w:val="0"/>
              <w:adjustRightInd w:val="0"/>
              <w:spacing w:before="20" w:after="20"/>
              <w:rPr>
                <w:color w:val="000000"/>
                <w:sz w:val="19"/>
                <w:szCs w:val="20"/>
                <w:lang w:val="fr-FR"/>
              </w:rPr>
            </w:pPr>
            <w:r>
              <w:rPr>
                <w:color w:val="000000"/>
                <w:sz w:val="19"/>
                <w:szCs w:val="20"/>
                <w:lang w:val="fr-FR"/>
              </w:rPr>
              <w:t xml:space="preserve">Treizième salaire </w:t>
            </w:r>
          </w:p>
        </w:tc>
        <w:tc>
          <w:tcPr>
            <w:tcW w:w="931" w:type="dxa"/>
          </w:tcPr>
          <w:p w:rsidR="00000000" w:rsidRDefault="00000000">
            <w:pPr>
              <w:autoSpaceDE w:val="0"/>
              <w:autoSpaceDN w:val="0"/>
              <w:adjustRightInd w:val="0"/>
              <w:spacing w:before="20" w:after="20"/>
              <w:ind w:right="57"/>
              <w:jc w:val="right"/>
              <w:rPr>
                <w:color w:val="000000"/>
                <w:sz w:val="19"/>
                <w:szCs w:val="20"/>
                <w:lang w:val="fr-FR"/>
              </w:rPr>
            </w:pPr>
            <w:r>
              <w:rPr>
                <w:color w:val="000000"/>
                <w:sz w:val="19"/>
                <w:szCs w:val="20"/>
                <w:lang w:val="fr-FR"/>
              </w:rPr>
              <w:t xml:space="preserve">2 667 </w:t>
            </w:r>
          </w:p>
        </w:tc>
        <w:tc>
          <w:tcPr>
            <w:tcW w:w="931" w:type="dxa"/>
          </w:tcPr>
          <w:p w:rsidR="00000000" w:rsidRDefault="00000000">
            <w:pPr>
              <w:autoSpaceDE w:val="0"/>
              <w:autoSpaceDN w:val="0"/>
              <w:adjustRightInd w:val="0"/>
              <w:spacing w:before="20" w:after="20"/>
              <w:jc w:val="right"/>
              <w:rPr>
                <w:color w:val="000000"/>
                <w:sz w:val="19"/>
                <w:szCs w:val="20"/>
                <w:lang w:val="fr-FR"/>
              </w:rPr>
            </w:pPr>
            <w:r>
              <w:rPr>
                <w:color w:val="000000"/>
                <w:sz w:val="19"/>
                <w:szCs w:val="20"/>
                <w:lang w:val="fr-FR"/>
              </w:rPr>
              <w:t xml:space="preserve">6 250 </w:t>
            </w:r>
          </w:p>
        </w:tc>
        <w:tc>
          <w:tcPr>
            <w:tcW w:w="1117" w:type="dxa"/>
          </w:tcPr>
          <w:p w:rsidR="00000000" w:rsidRDefault="00000000">
            <w:pPr>
              <w:autoSpaceDE w:val="0"/>
              <w:autoSpaceDN w:val="0"/>
              <w:adjustRightInd w:val="0"/>
              <w:spacing w:before="20" w:after="20"/>
              <w:ind w:right="135"/>
              <w:jc w:val="right"/>
              <w:rPr>
                <w:color w:val="000000"/>
                <w:sz w:val="19"/>
                <w:szCs w:val="20"/>
                <w:lang w:val="fr-FR"/>
              </w:rPr>
            </w:pPr>
            <w:r>
              <w:rPr>
                <w:color w:val="000000"/>
                <w:sz w:val="19"/>
                <w:szCs w:val="20"/>
                <w:lang w:val="fr-FR"/>
              </w:rPr>
              <w:t xml:space="preserve">8 333 </w:t>
            </w:r>
          </w:p>
        </w:tc>
        <w:tc>
          <w:tcPr>
            <w:tcW w:w="1303" w:type="dxa"/>
          </w:tcPr>
          <w:p w:rsidR="00000000" w:rsidRDefault="00000000">
            <w:pPr>
              <w:autoSpaceDE w:val="0"/>
              <w:autoSpaceDN w:val="0"/>
              <w:adjustRightInd w:val="0"/>
              <w:spacing w:before="20" w:after="20"/>
              <w:ind w:right="343"/>
              <w:jc w:val="right"/>
              <w:rPr>
                <w:color w:val="000000"/>
                <w:sz w:val="19"/>
                <w:szCs w:val="20"/>
                <w:lang w:val="fr-FR"/>
              </w:rPr>
            </w:pPr>
            <w:r>
              <w:rPr>
                <w:color w:val="000000"/>
                <w:sz w:val="19"/>
                <w:szCs w:val="20"/>
                <w:lang w:val="fr-FR"/>
              </w:rPr>
              <w:t xml:space="preserve">134 % </w:t>
            </w:r>
          </w:p>
        </w:tc>
        <w:tc>
          <w:tcPr>
            <w:tcW w:w="1372" w:type="dxa"/>
          </w:tcPr>
          <w:p w:rsidR="00000000" w:rsidRDefault="00000000">
            <w:pPr>
              <w:autoSpaceDE w:val="0"/>
              <w:autoSpaceDN w:val="0"/>
              <w:adjustRightInd w:val="0"/>
              <w:spacing w:before="20" w:after="20"/>
              <w:ind w:right="221"/>
              <w:jc w:val="right"/>
              <w:rPr>
                <w:color w:val="000000"/>
                <w:sz w:val="19"/>
                <w:szCs w:val="20"/>
                <w:lang w:val="fr-FR"/>
              </w:rPr>
            </w:pPr>
            <w:r>
              <w:rPr>
                <w:color w:val="000000"/>
                <w:sz w:val="19"/>
                <w:szCs w:val="20"/>
                <w:lang w:val="fr-FR"/>
              </w:rPr>
              <w:t xml:space="preserve">212 % </w:t>
            </w:r>
          </w:p>
        </w:tc>
        <w:tc>
          <w:tcPr>
            <w:tcW w:w="1256" w:type="dxa"/>
          </w:tcPr>
          <w:p w:rsidR="00000000" w:rsidRDefault="00000000">
            <w:pPr>
              <w:autoSpaceDE w:val="0"/>
              <w:autoSpaceDN w:val="0"/>
              <w:adjustRightInd w:val="0"/>
              <w:spacing w:before="20" w:after="20"/>
              <w:ind w:right="286"/>
              <w:jc w:val="right"/>
              <w:rPr>
                <w:color w:val="000000"/>
                <w:sz w:val="19"/>
                <w:szCs w:val="20"/>
                <w:lang w:val="fr-FR"/>
              </w:rPr>
            </w:pPr>
            <w:r>
              <w:rPr>
                <w:color w:val="000000"/>
                <w:sz w:val="19"/>
                <w:szCs w:val="20"/>
                <w:lang w:val="fr-FR"/>
              </w:rPr>
              <w:t xml:space="preserve">33 %  </w:t>
            </w:r>
          </w:p>
        </w:tc>
      </w:tr>
      <w:tr w:rsidR="00000000">
        <w:tblPrEx>
          <w:tblCellMar>
            <w:top w:w="0" w:type="dxa"/>
            <w:bottom w:w="0" w:type="dxa"/>
          </w:tblCellMar>
        </w:tblPrEx>
        <w:trPr>
          <w:jc w:val="center"/>
        </w:trPr>
        <w:tc>
          <w:tcPr>
            <w:tcW w:w="2389" w:type="dxa"/>
          </w:tcPr>
          <w:p w:rsidR="00000000" w:rsidRDefault="00000000">
            <w:pPr>
              <w:autoSpaceDE w:val="0"/>
              <w:autoSpaceDN w:val="0"/>
              <w:adjustRightInd w:val="0"/>
              <w:spacing w:before="20" w:after="20"/>
              <w:rPr>
                <w:color w:val="000000"/>
                <w:sz w:val="19"/>
                <w:szCs w:val="20"/>
                <w:lang w:val="fr-FR"/>
              </w:rPr>
            </w:pPr>
            <w:r>
              <w:rPr>
                <w:color w:val="000000"/>
                <w:sz w:val="19"/>
                <w:szCs w:val="20"/>
                <w:lang w:val="fr-FR"/>
              </w:rPr>
              <w:t xml:space="preserve">Quatorzième salaire </w:t>
            </w:r>
          </w:p>
        </w:tc>
        <w:tc>
          <w:tcPr>
            <w:tcW w:w="931" w:type="dxa"/>
          </w:tcPr>
          <w:p w:rsidR="00000000" w:rsidRDefault="00000000">
            <w:pPr>
              <w:autoSpaceDE w:val="0"/>
              <w:autoSpaceDN w:val="0"/>
              <w:adjustRightInd w:val="0"/>
              <w:spacing w:before="20" w:after="20"/>
              <w:ind w:right="57"/>
              <w:jc w:val="right"/>
              <w:rPr>
                <w:color w:val="000000"/>
                <w:sz w:val="19"/>
                <w:szCs w:val="20"/>
                <w:lang w:val="fr-FR"/>
              </w:rPr>
            </w:pPr>
            <w:r>
              <w:rPr>
                <w:color w:val="000000"/>
                <w:sz w:val="19"/>
                <w:szCs w:val="20"/>
                <w:lang w:val="fr-FR"/>
              </w:rPr>
              <w:t xml:space="preserve">5 333 </w:t>
            </w:r>
          </w:p>
        </w:tc>
        <w:tc>
          <w:tcPr>
            <w:tcW w:w="931" w:type="dxa"/>
          </w:tcPr>
          <w:p w:rsidR="00000000" w:rsidRDefault="00000000">
            <w:pPr>
              <w:autoSpaceDE w:val="0"/>
              <w:autoSpaceDN w:val="0"/>
              <w:adjustRightInd w:val="0"/>
              <w:spacing w:before="20" w:after="20"/>
              <w:jc w:val="right"/>
              <w:rPr>
                <w:color w:val="000000"/>
                <w:sz w:val="19"/>
                <w:szCs w:val="20"/>
                <w:lang w:val="fr-FR"/>
              </w:rPr>
            </w:pPr>
            <w:r>
              <w:rPr>
                <w:color w:val="000000"/>
                <w:sz w:val="19"/>
                <w:szCs w:val="20"/>
                <w:lang w:val="fr-FR"/>
              </w:rPr>
              <w:t xml:space="preserve">12 500 </w:t>
            </w:r>
          </w:p>
        </w:tc>
        <w:tc>
          <w:tcPr>
            <w:tcW w:w="1117" w:type="dxa"/>
          </w:tcPr>
          <w:p w:rsidR="00000000" w:rsidRDefault="00000000">
            <w:pPr>
              <w:autoSpaceDE w:val="0"/>
              <w:autoSpaceDN w:val="0"/>
              <w:adjustRightInd w:val="0"/>
              <w:spacing w:before="20" w:after="20"/>
              <w:ind w:right="135"/>
              <w:jc w:val="right"/>
              <w:rPr>
                <w:color w:val="000000"/>
                <w:sz w:val="19"/>
                <w:szCs w:val="20"/>
                <w:lang w:val="fr-FR"/>
              </w:rPr>
            </w:pPr>
            <w:r>
              <w:rPr>
                <w:color w:val="000000"/>
                <w:sz w:val="19"/>
                <w:szCs w:val="20"/>
                <w:lang w:val="fr-FR"/>
              </w:rPr>
              <w:t xml:space="preserve">16 667 </w:t>
            </w:r>
          </w:p>
        </w:tc>
        <w:tc>
          <w:tcPr>
            <w:tcW w:w="1303" w:type="dxa"/>
          </w:tcPr>
          <w:p w:rsidR="00000000" w:rsidRDefault="00000000">
            <w:pPr>
              <w:autoSpaceDE w:val="0"/>
              <w:autoSpaceDN w:val="0"/>
              <w:adjustRightInd w:val="0"/>
              <w:spacing w:before="20" w:after="20"/>
              <w:ind w:right="343"/>
              <w:jc w:val="right"/>
              <w:rPr>
                <w:color w:val="000000"/>
                <w:sz w:val="19"/>
                <w:szCs w:val="20"/>
                <w:lang w:val="fr-FR"/>
              </w:rPr>
            </w:pPr>
            <w:r>
              <w:rPr>
                <w:color w:val="000000"/>
                <w:sz w:val="19"/>
                <w:szCs w:val="20"/>
                <w:lang w:val="fr-FR"/>
              </w:rPr>
              <w:t xml:space="preserve">134 % </w:t>
            </w:r>
          </w:p>
        </w:tc>
        <w:tc>
          <w:tcPr>
            <w:tcW w:w="1372" w:type="dxa"/>
          </w:tcPr>
          <w:p w:rsidR="00000000" w:rsidRDefault="00000000">
            <w:pPr>
              <w:autoSpaceDE w:val="0"/>
              <w:autoSpaceDN w:val="0"/>
              <w:adjustRightInd w:val="0"/>
              <w:spacing w:before="20" w:after="20"/>
              <w:ind w:right="221"/>
              <w:jc w:val="right"/>
              <w:rPr>
                <w:color w:val="000000"/>
                <w:sz w:val="19"/>
                <w:szCs w:val="20"/>
                <w:lang w:val="fr-FR"/>
              </w:rPr>
            </w:pPr>
            <w:r>
              <w:rPr>
                <w:color w:val="000000"/>
                <w:sz w:val="19"/>
                <w:szCs w:val="20"/>
                <w:lang w:val="fr-FR"/>
              </w:rPr>
              <w:t xml:space="preserve">213 % </w:t>
            </w:r>
          </w:p>
        </w:tc>
        <w:tc>
          <w:tcPr>
            <w:tcW w:w="1256" w:type="dxa"/>
          </w:tcPr>
          <w:p w:rsidR="00000000" w:rsidRDefault="00000000">
            <w:pPr>
              <w:autoSpaceDE w:val="0"/>
              <w:autoSpaceDN w:val="0"/>
              <w:adjustRightInd w:val="0"/>
              <w:spacing w:before="20" w:after="20"/>
              <w:ind w:right="286"/>
              <w:jc w:val="right"/>
              <w:rPr>
                <w:color w:val="000000"/>
                <w:sz w:val="19"/>
                <w:szCs w:val="20"/>
                <w:lang w:val="fr-FR"/>
              </w:rPr>
            </w:pPr>
            <w:r>
              <w:rPr>
                <w:color w:val="000000"/>
                <w:sz w:val="19"/>
                <w:szCs w:val="20"/>
                <w:lang w:val="fr-FR"/>
              </w:rPr>
              <w:t xml:space="preserve">33 %  </w:t>
            </w:r>
          </w:p>
        </w:tc>
      </w:tr>
      <w:tr w:rsidR="00000000">
        <w:tblPrEx>
          <w:tblCellMar>
            <w:top w:w="0" w:type="dxa"/>
            <w:bottom w:w="0" w:type="dxa"/>
          </w:tblCellMar>
        </w:tblPrEx>
        <w:trPr>
          <w:jc w:val="center"/>
        </w:trPr>
        <w:tc>
          <w:tcPr>
            <w:tcW w:w="2389" w:type="dxa"/>
          </w:tcPr>
          <w:p w:rsidR="00000000" w:rsidRDefault="00000000">
            <w:pPr>
              <w:autoSpaceDE w:val="0"/>
              <w:autoSpaceDN w:val="0"/>
              <w:adjustRightInd w:val="0"/>
              <w:spacing w:before="20" w:after="20"/>
              <w:rPr>
                <w:color w:val="000000"/>
                <w:sz w:val="19"/>
                <w:szCs w:val="20"/>
                <w:lang w:val="fr-FR"/>
              </w:rPr>
            </w:pPr>
            <w:r>
              <w:rPr>
                <w:color w:val="000000"/>
                <w:sz w:val="19"/>
                <w:szCs w:val="20"/>
                <w:lang w:val="fr-FR"/>
              </w:rPr>
              <w:t xml:space="preserve">Quinzième salaire </w:t>
            </w:r>
          </w:p>
        </w:tc>
        <w:tc>
          <w:tcPr>
            <w:tcW w:w="931" w:type="dxa"/>
          </w:tcPr>
          <w:p w:rsidR="00000000" w:rsidRDefault="00000000">
            <w:pPr>
              <w:autoSpaceDE w:val="0"/>
              <w:autoSpaceDN w:val="0"/>
              <w:adjustRightInd w:val="0"/>
              <w:spacing w:before="20" w:after="20"/>
              <w:ind w:right="57"/>
              <w:jc w:val="right"/>
              <w:rPr>
                <w:color w:val="000000"/>
                <w:sz w:val="19"/>
                <w:szCs w:val="20"/>
                <w:lang w:val="fr-FR"/>
              </w:rPr>
            </w:pPr>
            <w:r>
              <w:rPr>
                <w:color w:val="000000"/>
                <w:sz w:val="19"/>
                <w:szCs w:val="20"/>
                <w:lang w:val="fr-FR"/>
              </w:rPr>
              <w:t xml:space="preserve">833 </w:t>
            </w:r>
          </w:p>
        </w:tc>
        <w:tc>
          <w:tcPr>
            <w:tcW w:w="931" w:type="dxa"/>
          </w:tcPr>
          <w:p w:rsidR="00000000" w:rsidRDefault="00000000">
            <w:pPr>
              <w:autoSpaceDE w:val="0"/>
              <w:autoSpaceDN w:val="0"/>
              <w:adjustRightInd w:val="0"/>
              <w:spacing w:before="20" w:after="20"/>
              <w:jc w:val="right"/>
              <w:rPr>
                <w:color w:val="000000"/>
                <w:sz w:val="19"/>
                <w:szCs w:val="20"/>
                <w:lang w:val="fr-FR"/>
              </w:rPr>
            </w:pPr>
            <w:r>
              <w:rPr>
                <w:color w:val="000000"/>
                <w:sz w:val="19"/>
                <w:szCs w:val="20"/>
                <w:lang w:val="fr-FR"/>
              </w:rPr>
              <w:t xml:space="preserve">4 167 </w:t>
            </w:r>
          </w:p>
        </w:tc>
        <w:tc>
          <w:tcPr>
            <w:tcW w:w="1117" w:type="dxa"/>
          </w:tcPr>
          <w:p w:rsidR="00000000" w:rsidRDefault="00000000">
            <w:pPr>
              <w:autoSpaceDE w:val="0"/>
              <w:autoSpaceDN w:val="0"/>
              <w:adjustRightInd w:val="0"/>
              <w:spacing w:before="20" w:after="20"/>
              <w:ind w:right="135"/>
              <w:jc w:val="right"/>
              <w:rPr>
                <w:color w:val="000000"/>
                <w:sz w:val="19"/>
                <w:szCs w:val="20"/>
                <w:lang w:val="fr-FR"/>
              </w:rPr>
            </w:pPr>
            <w:r>
              <w:rPr>
                <w:color w:val="000000"/>
                <w:sz w:val="19"/>
                <w:szCs w:val="20"/>
                <w:lang w:val="fr-FR"/>
              </w:rPr>
              <w:t xml:space="preserve">4 208 </w:t>
            </w:r>
          </w:p>
        </w:tc>
        <w:tc>
          <w:tcPr>
            <w:tcW w:w="1303" w:type="dxa"/>
          </w:tcPr>
          <w:p w:rsidR="00000000" w:rsidRDefault="00000000">
            <w:pPr>
              <w:autoSpaceDE w:val="0"/>
              <w:autoSpaceDN w:val="0"/>
              <w:adjustRightInd w:val="0"/>
              <w:spacing w:before="20" w:after="20"/>
              <w:ind w:right="343"/>
              <w:jc w:val="right"/>
              <w:rPr>
                <w:color w:val="000000"/>
                <w:sz w:val="19"/>
                <w:szCs w:val="20"/>
                <w:lang w:val="fr-FR"/>
              </w:rPr>
            </w:pPr>
            <w:r>
              <w:rPr>
                <w:color w:val="000000"/>
                <w:sz w:val="19"/>
                <w:szCs w:val="20"/>
                <w:lang w:val="fr-FR"/>
              </w:rPr>
              <w:t xml:space="preserve">400 % </w:t>
            </w:r>
          </w:p>
        </w:tc>
        <w:tc>
          <w:tcPr>
            <w:tcW w:w="1372" w:type="dxa"/>
          </w:tcPr>
          <w:p w:rsidR="00000000" w:rsidRDefault="00000000">
            <w:pPr>
              <w:autoSpaceDE w:val="0"/>
              <w:autoSpaceDN w:val="0"/>
              <w:adjustRightInd w:val="0"/>
              <w:spacing w:before="20" w:after="20"/>
              <w:ind w:right="221"/>
              <w:jc w:val="right"/>
              <w:rPr>
                <w:color w:val="000000"/>
                <w:sz w:val="19"/>
                <w:szCs w:val="20"/>
                <w:lang w:val="fr-FR"/>
              </w:rPr>
            </w:pPr>
            <w:r>
              <w:rPr>
                <w:color w:val="000000"/>
                <w:sz w:val="19"/>
                <w:szCs w:val="20"/>
                <w:lang w:val="fr-FR"/>
              </w:rPr>
              <w:t xml:space="preserve">405 % </w:t>
            </w:r>
          </w:p>
        </w:tc>
        <w:tc>
          <w:tcPr>
            <w:tcW w:w="1256" w:type="dxa"/>
          </w:tcPr>
          <w:p w:rsidR="00000000" w:rsidRDefault="00000000">
            <w:pPr>
              <w:autoSpaceDE w:val="0"/>
              <w:autoSpaceDN w:val="0"/>
              <w:adjustRightInd w:val="0"/>
              <w:spacing w:before="20" w:after="20"/>
              <w:ind w:right="286"/>
              <w:jc w:val="right"/>
              <w:rPr>
                <w:color w:val="000000"/>
                <w:sz w:val="19"/>
                <w:szCs w:val="20"/>
                <w:lang w:val="fr-FR"/>
              </w:rPr>
            </w:pPr>
            <w:r>
              <w:rPr>
                <w:color w:val="000000"/>
                <w:sz w:val="19"/>
                <w:szCs w:val="20"/>
                <w:lang w:val="fr-FR"/>
              </w:rPr>
              <w:t xml:space="preserve">1 %  </w:t>
            </w:r>
          </w:p>
        </w:tc>
      </w:tr>
      <w:tr w:rsidR="00000000">
        <w:tblPrEx>
          <w:tblCellMar>
            <w:top w:w="0" w:type="dxa"/>
            <w:bottom w:w="0" w:type="dxa"/>
          </w:tblCellMar>
        </w:tblPrEx>
        <w:trPr>
          <w:jc w:val="center"/>
        </w:trPr>
        <w:tc>
          <w:tcPr>
            <w:tcW w:w="2389" w:type="dxa"/>
          </w:tcPr>
          <w:p w:rsidR="00000000" w:rsidRDefault="00000000">
            <w:pPr>
              <w:autoSpaceDE w:val="0"/>
              <w:autoSpaceDN w:val="0"/>
              <w:adjustRightInd w:val="0"/>
              <w:spacing w:before="20" w:after="20"/>
              <w:rPr>
                <w:color w:val="000000"/>
                <w:sz w:val="19"/>
                <w:szCs w:val="20"/>
                <w:lang w:val="fr-FR"/>
              </w:rPr>
            </w:pPr>
            <w:r>
              <w:rPr>
                <w:color w:val="000000"/>
                <w:sz w:val="19"/>
                <w:szCs w:val="20"/>
                <w:lang w:val="fr-FR"/>
              </w:rPr>
              <w:t xml:space="preserve">Fonds de réserve </w:t>
            </w:r>
          </w:p>
        </w:tc>
        <w:tc>
          <w:tcPr>
            <w:tcW w:w="931" w:type="dxa"/>
          </w:tcPr>
          <w:p w:rsidR="00000000" w:rsidRDefault="00000000">
            <w:pPr>
              <w:autoSpaceDE w:val="0"/>
              <w:autoSpaceDN w:val="0"/>
              <w:adjustRightInd w:val="0"/>
              <w:spacing w:before="20" w:after="20"/>
              <w:ind w:right="57"/>
              <w:jc w:val="right"/>
              <w:rPr>
                <w:color w:val="000000"/>
                <w:sz w:val="19"/>
                <w:szCs w:val="20"/>
                <w:lang w:val="fr-FR"/>
              </w:rPr>
            </w:pPr>
            <w:r>
              <w:rPr>
                <w:color w:val="000000"/>
                <w:sz w:val="19"/>
                <w:szCs w:val="20"/>
                <w:lang w:val="fr-FR"/>
              </w:rPr>
              <w:t xml:space="preserve">2 667 </w:t>
            </w:r>
          </w:p>
        </w:tc>
        <w:tc>
          <w:tcPr>
            <w:tcW w:w="931" w:type="dxa"/>
          </w:tcPr>
          <w:p w:rsidR="00000000" w:rsidRDefault="00000000">
            <w:pPr>
              <w:autoSpaceDE w:val="0"/>
              <w:autoSpaceDN w:val="0"/>
              <w:adjustRightInd w:val="0"/>
              <w:spacing w:before="20" w:after="20"/>
              <w:jc w:val="right"/>
              <w:rPr>
                <w:color w:val="000000"/>
                <w:sz w:val="19"/>
                <w:szCs w:val="20"/>
                <w:lang w:val="fr-FR"/>
              </w:rPr>
            </w:pPr>
            <w:r>
              <w:rPr>
                <w:color w:val="000000"/>
                <w:sz w:val="19"/>
                <w:szCs w:val="20"/>
                <w:lang w:val="fr-FR"/>
              </w:rPr>
              <w:t xml:space="preserve">6 250 </w:t>
            </w:r>
          </w:p>
        </w:tc>
        <w:tc>
          <w:tcPr>
            <w:tcW w:w="1117" w:type="dxa"/>
          </w:tcPr>
          <w:p w:rsidR="00000000" w:rsidRDefault="00000000">
            <w:pPr>
              <w:autoSpaceDE w:val="0"/>
              <w:autoSpaceDN w:val="0"/>
              <w:adjustRightInd w:val="0"/>
              <w:spacing w:before="20" w:after="20"/>
              <w:ind w:right="135"/>
              <w:jc w:val="right"/>
              <w:rPr>
                <w:color w:val="000000"/>
                <w:sz w:val="19"/>
                <w:szCs w:val="20"/>
                <w:lang w:val="fr-FR"/>
              </w:rPr>
            </w:pPr>
            <w:r>
              <w:rPr>
                <w:color w:val="000000"/>
                <w:sz w:val="19"/>
                <w:szCs w:val="20"/>
                <w:lang w:val="fr-FR"/>
              </w:rPr>
              <w:t xml:space="preserve">8 417 </w:t>
            </w:r>
          </w:p>
        </w:tc>
        <w:tc>
          <w:tcPr>
            <w:tcW w:w="1303" w:type="dxa"/>
          </w:tcPr>
          <w:p w:rsidR="00000000" w:rsidRDefault="00000000">
            <w:pPr>
              <w:autoSpaceDE w:val="0"/>
              <w:autoSpaceDN w:val="0"/>
              <w:adjustRightInd w:val="0"/>
              <w:spacing w:before="20" w:after="20"/>
              <w:ind w:right="343"/>
              <w:jc w:val="right"/>
              <w:rPr>
                <w:color w:val="000000"/>
                <w:sz w:val="19"/>
                <w:szCs w:val="20"/>
                <w:lang w:val="fr-FR"/>
              </w:rPr>
            </w:pPr>
            <w:r>
              <w:rPr>
                <w:color w:val="000000"/>
                <w:sz w:val="19"/>
                <w:szCs w:val="20"/>
                <w:lang w:val="fr-FR"/>
              </w:rPr>
              <w:t xml:space="preserve">134 % </w:t>
            </w:r>
          </w:p>
        </w:tc>
        <w:tc>
          <w:tcPr>
            <w:tcW w:w="1372" w:type="dxa"/>
          </w:tcPr>
          <w:p w:rsidR="00000000" w:rsidRDefault="00000000">
            <w:pPr>
              <w:autoSpaceDE w:val="0"/>
              <w:autoSpaceDN w:val="0"/>
              <w:adjustRightInd w:val="0"/>
              <w:spacing w:before="20" w:after="20"/>
              <w:ind w:right="221"/>
              <w:jc w:val="right"/>
              <w:rPr>
                <w:color w:val="000000"/>
                <w:sz w:val="19"/>
                <w:szCs w:val="20"/>
                <w:lang w:val="fr-FR"/>
              </w:rPr>
            </w:pPr>
            <w:r>
              <w:rPr>
                <w:color w:val="000000"/>
                <w:sz w:val="19"/>
                <w:szCs w:val="20"/>
                <w:lang w:val="fr-FR"/>
              </w:rPr>
              <w:t xml:space="preserve">216 % </w:t>
            </w:r>
          </w:p>
        </w:tc>
        <w:tc>
          <w:tcPr>
            <w:tcW w:w="1256" w:type="dxa"/>
          </w:tcPr>
          <w:p w:rsidR="00000000" w:rsidRDefault="00000000">
            <w:pPr>
              <w:autoSpaceDE w:val="0"/>
              <w:autoSpaceDN w:val="0"/>
              <w:adjustRightInd w:val="0"/>
              <w:spacing w:before="20" w:after="20"/>
              <w:ind w:right="286"/>
              <w:jc w:val="right"/>
              <w:rPr>
                <w:color w:val="000000"/>
                <w:sz w:val="19"/>
                <w:szCs w:val="20"/>
                <w:lang w:val="fr-FR"/>
              </w:rPr>
            </w:pPr>
            <w:r>
              <w:rPr>
                <w:color w:val="000000"/>
                <w:sz w:val="19"/>
                <w:szCs w:val="20"/>
                <w:lang w:val="fr-FR"/>
              </w:rPr>
              <w:t xml:space="preserve">35 %  </w:t>
            </w:r>
          </w:p>
        </w:tc>
      </w:tr>
      <w:tr w:rsidR="00000000">
        <w:tblPrEx>
          <w:tblCellMar>
            <w:top w:w="0" w:type="dxa"/>
            <w:bottom w:w="0" w:type="dxa"/>
          </w:tblCellMar>
        </w:tblPrEx>
        <w:trPr>
          <w:jc w:val="center"/>
        </w:trPr>
        <w:tc>
          <w:tcPr>
            <w:tcW w:w="2389" w:type="dxa"/>
          </w:tcPr>
          <w:p w:rsidR="00000000" w:rsidRDefault="00000000">
            <w:pPr>
              <w:autoSpaceDE w:val="0"/>
              <w:autoSpaceDN w:val="0"/>
              <w:adjustRightInd w:val="0"/>
              <w:spacing w:before="20" w:after="20"/>
              <w:rPr>
                <w:color w:val="000000"/>
                <w:sz w:val="19"/>
                <w:szCs w:val="20"/>
                <w:lang w:val="fr-FR"/>
              </w:rPr>
            </w:pPr>
            <w:r>
              <w:rPr>
                <w:color w:val="000000"/>
                <w:sz w:val="19"/>
                <w:szCs w:val="20"/>
                <w:lang w:val="fr-FR"/>
              </w:rPr>
              <w:t xml:space="preserve">Revenu total nominal </w:t>
            </w:r>
          </w:p>
        </w:tc>
        <w:tc>
          <w:tcPr>
            <w:tcW w:w="931" w:type="dxa"/>
          </w:tcPr>
          <w:p w:rsidR="00000000" w:rsidRDefault="00000000">
            <w:pPr>
              <w:autoSpaceDE w:val="0"/>
              <w:autoSpaceDN w:val="0"/>
              <w:adjustRightInd w:val="0"/>
              <w:spacing w:before="20" w:after="20"/>
              <w:ind w:right="57"/>
              <w:jc w:val="right"/>
              <w:rPr>
                <w:color w:val="000000"/>
                <w:sz w:val="19"/>
                <w:szCs w:val="20"/>
                <w:lang w:val="fr-FR"/>
              </w:rPr>
            </w:pPr>
            <w:r>
              <w:rPr>
                <w:color w:val="000000"/>
                <w:sz w:val="19"/>
                <w:szCs w:val="20"/>
                <w:lang w:val="fr-FR"/>
              </w:rPr>
              <w:t xml:space="preserve">49 400 </w:t>
            </w:r>
          </w:p>
        </w:tc>
        <w:tc>
          <w:tcPr>
            <w:tcW w:w="931" w:type="dxa"/>
          </w:tcPr>
          <w:p w:rsidR="00000000" w:rsidRDefault="00000000">
            <w:pPr>
              <w:autoSpaceDE w:val="0"/>
              <w:autoSpaceDN w:val="0"/>
              <w:adjustRightInd w:val="0"/>
              <w:spacing w:before="20" w:after="20"/>
              <w:jc w:val="right"/>
              <w:rPr>
                <w:color w:val="000000"/>
                <w:sz w:val="19"/>
                <w:szCs w:val="20"/>
                <w:lang w:val="fr-FR"/>
              </w:rPr>
            </w:pPr>
            <w:r>
              <w:rPr>
                <w:color w:val="000000"/>
                <w:sz w:val="19"/>
                <w:szCs w:val="20"/>
                <w:lang w:val="fr-FR"/>
              </w:rPr>
              <w:t xml:space="preserve">353 667 </w:t>
            </w:r>
          </w:p>
        </w:tc>
        <w:tc>
          <w:tcPr>
            <w:tcW w:w="1117" w:type="dxa"/>
          </w:tcPr>
          <w:p w:rsidR="00000000" w:rsidRDefault="00000000">
            <w:pPr>
              <w:autoSpaceDE w:val="0"/>
              <w:autoSpaceDN w:val="0"/>
              <w:adjustRightInd w:val="0"/>
              <w:spacing w:before="20" w:after="20"/>
              <w:ind w:right="135"/>
              <w:jc w:val="right"/>
              <w:rPr>
                <w:color w:val="000000"/>
                <w:sz w:val="19"/>
                <w:szCs w:val="20"/>
                <w:lang w:val="fr-FR"/>
              </w:rPr>
            </w:pPr>
            <w:r>
              <w:rPr>
                <w:color w:val="000000"/>
                <w:sz w:val="19"/>
                <w:szCs w:val="20"/>
                <w:lang w:val="fr-FR"/>
              </w:rPr>
              <w:t xml:space="preserve">1 234 292 </w:t>
            </w:r>
          </w:p>
        </w:tc>
        <w:tc>
          <w:tcPr>
            <w:tcW w:w="1303" w:type="dxa"/>
          </w:tcPr>
          <w:p w:rsidR="00000000" w:rsidRDefault="00000000">
            <w:pPr>
              <w:autoSpaceDE w:val="0"/>
              <w:autoSpaceDN w:val="0"/>
              <w:adjustRightInd w:val="0"/>
              <w:spacing w:before="20" w:after="20"/>
              <w:ind w:right="343"/>
              <w:jc w:val="right"/>
              <w:rPr>
                <w:color w:val="000000"/>
                <w:sz w:val="19"/>
                <w:szCs w:val="20"/>
                <w:lang w:val="fr-FR"/>
              </w:rPr>
            </w:pPr>
            <w:r>
              <w:rPr>
                <w:color w:val="000000"/>
                <w:sz w:val="19"/>
                <w:szCs w:val="20"/>
                <w:lang w:val="fr-FR"/>
              </w:rPr>
              <w:t xml:space="preserve">616 % </w:t>
            </w:r>
          </w:p>
        </w:tc>
        <w:tc>
          <w:tcPr>
            <w:tcW w:w="1372" w:type="dxa"/>
          </w:tcPr>
          <w:p w:rsidR="00000000" w:rsidRDefault="00000000">
            <w:pPr>
              <w:autoSpaceDE w:val="0"/>
              <w:autoSpaceDN w:val="0"/>
              <w:adjustRightInd w:val="0"/>
              <w:spacing w:before="20" w:after="20"/>
              <w:ind w:right="221"/>
              <w:jc w:val="right"/>
              <w:rPr>
                <w:color w:val="000000"/>
                <w:sz w:val="19"/>
                <w:szCs w:val="20"/>
                <w:lang w:val="fr-FR"/>
              </w:rPr>
            </w:pPr>
            <w:r>
              <w:rPr>
                <w:color w:val="000000"/>
                <w:sz w:val="19"/>
                <w:szCs w:val="20"/>
                <w:lang w:val="fr-FR"/>
              </w:rPr>
              <w:t xml:space="preserve">2 399 % </w:t>
            </w:r>
          </w:p>
        </w:tc>
        <w:tc>
          <w:tcPr>
            <w:tcW w:w="1256" w:type="dxa"/>
          </w:tcPr>
          <w:p w:rsidR="00000000" w:rsidRDefault="00000000">
            <w:pPr>
              <w:autoSpaceDE w:val="0"/>
              <w:autoSpaceDN w:val="0"/>
              <w:adjustRightInd w:val="0"/>
              <w:spacing w:before="20" w:after="20"/>
              <w:ind w:right="286"/>
              <w:jc w:val="right"/>
              <w:rPr>
                <w:color w:val="000000"/>
                <w:sz w:val="19"/>
                <w:szCs w:val="20"/>
                <w:lang w:val="fr-FR"/>
              </w:rPr>
            </w:pPr>
            <w:r>
              <w:rPr>
                <w:color w:val="000000"/>
                <w:sz w:val="19"/>
                <w:szCs w:val="20"/>
                <w:lang w:val="fr-FR"/>
              </w:rPr>
              <w:t xml:space="preserve">249 %  </w:t>
            </w:r>
          </w:p>
        </w:tc>
      </w:tr>
      <w:tr w:rsidR="00000000">
        <w:tblPrEx>
          <w:tblCellMar>
            <w:top w:w="0" w:type="dxa"/>
            <w:bottom w:w="0" w:type="dxa"/>
          </w:tblCellMar>
        </w:tblPrEx>
        <w:trPr>
          <w:jc w:val="center"/>
        </w:trPr>
        <w:tc>
          <w:tcPr>
            <w:tcW w:w="2389" w:type="dxa"/>
          </w:tcPr>
          <w:p w:rsidR="00000000" w:rsidRDefault="00000000">
            <w:pPr>
              <w:autoSpaceDE w:val="0"/>
              <w:autoSpaceDN w:val="0"/>
              <w:adjustRightInd w:val="0"/>
              <w:spacing w:before="20" w:after="20"/>
              <w:rPr>
                <w:color w:val="000000"/>
                <w:sz w:val="19"/>
                <w:szCs w:val="20"/>
                <w:lang w:val="fr-FR"/>
              </w:rPr>
            </w:pPr>
            <w:r>
              <w:rPr>
                <w:color w:val="000000"/>
                <w:sz w:val="19"/>
                <w:szCs w:val="20"/>
                <w:lang w:val="fr-FR"/>
              </w:rPr>
              <w:t xml:space="preserve">Panier de base </w:t>
            </w:r>
          </w:p>
        </w:tc>
        <w:tc>
          <w:tcPr>
            <w:tcW w:w="931" w:type="dxa"/>
          </w:tcPr>
          <w:p w:rsidR="00000000" w:rsidRDefault="00000000">
            <w:pPr>
              <w:autoSpaceDE w:val="0"/>
              <w:autoSpaceDN w:val="0"/>
              <w:adjustRightInd w:val="0"/>
              <w:spacing w:before="20" w:after="20"/>
              <w:ind w:right="57"/>
              <w:jc w:val="right"/>
              <w:rPr>
                <w:color w:val="000000"/>
                <w:sz w:val="19"/>
                <w:szCs w:val="20"/>
                <w:lang w:val="fr-FR"/>
              </w:rPr>
            </w:pPr>
            <w:r>
              <w:rPr>
                <w:color w:val="000000"/>
                <w:sz w:val="19"/>
                <w:szCs w:val="20"/>
                <w:lang w:val="fr-FR"/>
              </w:rPr>
              <w:t xml:space="preserve">124 785 </w:t>
            </w:r>
          </w:p>
        </w:tc>
        <w:tc>
          <w:tcPr>
            <w:tcW w:w="931" w:type="dxa"/>
          </w:tcPr>
          <w:p w:rsidR="00000000" w:rsidRDefault="00000000">
            <w:pPr>
              <w:autoSpaceDE w:val="0"/>
              <w:autoSpaceDN w:val="0"/>
              <w:adjustRightInd w:val="0"/>
              <w:spacing w:before="20" w:after="20"/>
              <w:jc w:val="right"/>
              <w:rPr>
                <w:color w:val="000000"/>
                <w:sz w:val="19"/>
                <w:szCs w:val="20"/>
                <w:lang w:val="fr-FR"/>
              </w:rPr>
            </w:pPr>
            <w:r>
              <w:rPr>
                <w:color w:val="000000"/>
                <w:sz w:val="19"/>
                <w:szCs w:val="20"/>
                <w:lang w:val="fr-FR"/>
              </w:rPr>
              <w:t xml:space="preserve">858 832 </w:t>
            </w:r>
          </w:p>
        </w:tc>
        <w:tc>
          <w:tcPr>
            <w:tcW w:w="1117" w:type="dxa"/>
          </w:tcPr>
          <w:p w:rsidR="00000000" w:rsidRDefault="00000000">
            <w:pPr>
              <w:autoSpaceDE w:val="0"/>
              <w:autoSpaceDN w:val="0"/>
              <w:adjustRightInd w:val="0"/>
              <w:spacing w:before="20" w:after="20"/>
              <w:ind w:right="135"/>
              <w:jc w:val="right"/>
              <w:rPr>
                <w:color w:val="000000"/>
                <w:sz w:val="19"/>
                <w:szCs w:val="20"/>
                <w:lang w:val="fr-FR"/>
              </w:rPr>
            </w:pPr>
            <w:r>
              <w:rPr>
                <w:color w:val="000000"/>
                <w:sz w:val="19"/>
                <w:szCs w:val="20"/>
                <w:lang w:val="fr-FR"/>
              </w:rPr>
              <w:t xml:space="preserve">3 990 099 </w:t>
            </w:r>
          </w:p>
        </w:tc>
        <w:tc>
          <w:tcPr>
            <w:tcW w:w="1303" w:type="dxa"/>
          </w:tcPr>
          <w:p w:rsidR="00000000" w:rsidRDefault="00000000">
            <w:pPr>
              <w:autoSpaceDE w:val="0"/>
              <w:autoSpaceDN w:val="0"/>
              <w:adjustRightInd w:val="0"/>
              <w:spacing w:before="20" w:after="20"/>
              <w:ind w:right="343"/>
              <w:jc w:val="right"/>
              <w:rPr>
                <w:color w:val="000000"/>
                <w:sz w:val="19"/>
                <w:szCs w:val="20"/>
                <w:lang w:val="fr-FR"/>
              </w:rPr>
            </w:pPr>
            <w:r>
              <w:rPr>
                <w:color w:val="000000"/>
                <w:sz w:val="19"/>
                <w:szCs w:val="20"/>
                <w:lang w:val="fr-FR"/>
              </w:rPr>
              <w:t xml:space="preserve">588 % </w:t>
            </w:r>
          </w:p>
        </w:tc>
        <w:tc>
          <w:tcPr>
            <w:tcW w:w="1372" w:type="dxa"/>
          </w:tcPr>
          <w:p w:rsidR="00000000" w:rsidRDefault="00000000">
            <w:pPr>
              <w:autoSpaceDE w:val="0"/>
              <w:autoSpaceDN w:val="0"/>
              <w:adjustRightInd w:val="0"/>
              <w:spacing w:before="20" w:after="20"/>
              <w:ind w:right="221"/>
              <w:jc w:val="right"/>
              <w:rPr>
                <w:color w:val="000000"/>
                <w:sz w:val="19"/>
                <w:szCs w:val="20"/>
                <w:lang w:val="fr-FR"/>
              </w:rPr>
            </w:pPr>
            <w:r>
              <w:rPr>
                <w:color w:val="000000"/>
                <w:sz w:val="19"/>
                <w:szCs w:val="20"/>
                <w:lang w:val="fr-FR"/>
              </w:rPr>
              <w:t xml:space="preserve">3 098 % </w:t>
            </w:r>
          </w:p>
        </w:tc>
        <w:tc>
          <w:tcPr>
            <w:tcW w:w="1256" w:type="dxa"/>
          </w:tcPr>
          <w:p w:rsidR="00000000" w:rsidRDefault="00000000">
            <w:pPr>
              <w:autoSpaceDE w:val="0"/>
              <w:autoSpaceDN w:val="0"/>
              <w:adjustRightInd w:val="0"/>
              <w:spacing w:before="20" w:after="20"/>
              <w:ind w:right="286"/>
              <w:jc w:val="right"/>
              <w:rPr>
                <w:color w:val="000000"/>
                <w:sz w:val="19"/>
                <w:szCs w:val="20"/>
                <w:lang w:val="fr-FR"/>
              </w:rPr>
            </w:pPr>
            <w:r>
              <w:rPr>
                <w:color w:val="000000"/>
                <w:sz w:val="19"/>
                <w:szCs w:val="20"/>
                <w:lang w:val="fr-FR"/>
              </w:rPr>
              <w:t xml:space="preserve">365 %  </w:t>
            </w:r>
          </w:p>
        </w:tc>
      </w:tr>
      <w:tr w:rsidR="00000000">
        <w:tblPrEx>
          <w:tblCellMar>
            <w:top w:w="0" w:type="dxa"/>
            <w:bottom w:w="0" w:type="dxa"/>
          </w:tblCellMar>
        </w:tblPrEx>
        <w:trPr>
          <w:jc w:val="center"/>
        </w:trPr>
        <w:tc>
          <w:tcPr>
            <w:tcW w:w="2389" w:type="dxa"/>
          </w:tcPr>
          <w:p w:rsidR="00000000" w:rsidRDefault="00000000">
            <w:pPr>
              <w:autoSpaceDE w:val="0"/>
              <w:autoSpaceDN w:val="0"/>
              <w:adjustRightInd w:val="0"/>
              <w:spacing w:before="20" w:after="20"/>
              <w:rPr>
                <w:color w:val="000000"/>
                <w:sz w:val="19"/>
                <w:szCs w:val="20"/>
                <w:lang w:val="fr-FR"/>
              </w:rPr>
            </w:pPr>
            <w:r>
              <w:rPr>
                <w:color w:val="000000"/>
                <w:sz w:val="19"/>
                <w:szCs w:val="20"/>
                <w:lang w:val="fr-FR"/>
              </w:rPr>
              <w:t>Indice des prix à</w:t>
            </w:r>
            <w:r>
              <w:rPr>
                <w:color w:val="000000"/>
                <w:sz w:val="19"/>
                <w:szCs w:val="20"/>
                <w:lang w:val="fr-FR"/>
              </w:rPr>
              <w:br/>
              <w:t xml:space="preserve">la consommation </w:t>
            </w:r>
          </w:p>
        </w:tc>
        <w:tc>
          <w:tcPr>
            <w:tcW w:w="931" w:type="dxa"/>
            <w:vAlign w:val="center"/>
          </w:tcPr>
          <w:p w:rsidR="00000000" w:rsidRDefault="00000000">
            <w:pPr>
              <w:autoSpaceDE w:val="0"/>
              <w:autoSpaceDN w:val="0"/>
              <w:adjustRightInd w:val="0"/>
              <w:spacing w:before="20" w:after="20"/>
              <w:jc w:val="center"/>
              <w:rPr>
                <w:color w:val="000000"/>
                <w:sz w:val="19"/>
                <w:szCs w:val="20"/>
                <w:lang w:val="fr-FR"/>
              </w:rPr>
            </w:pPr>
            <w:r>
              <w:rPr>
                <w:color w:val="000000"/>
                <w:sz w:val="19"/>
                <w:szCs w:val="20"/>
                <w:lang w:val="fr-FR"/>
              </w:rPr>
              <w:t>17,1</w:t>
            </w:r>
          </w:p>
        </w:tc>
        <w:tc>
          <w:tcPr>
            <w:tcW w:w="931" w:type="dxa"/>
            <w:vAlign w:val="center"/>
          </w:tcPr>
          <w:p w:rsidR="00000000" w:rsidRDefault="00000000">
            <w:pPr>
              <w:autoSpaceDE w:val="0"/>
              <w:autoSpaceDN w:val="0"/>
              <w:adjustRightInd w:val="0"/>
              <w:spacing w:before="20" w:after="20"/>
              <w:jc w:val="center"/>
              <w:rPr>
                <w:color w:val="000000"/>
                <w:sz w:val="19"/>
                <w:szCs w:val="20"/>
                <w:lang w:val="fr-FR"/>
              </w:rPr>
            </w:pPr>
            <w:r>
              <w:rPr>
                <w:color w:val="000000"/>
                <w:sz w:val="19"/>
                <w:szCs w:val="20"/>
                <w:lang w:val="fr-FR"/>
              </w:rPr>
              <w:t>99,5</w:t>
            </w:r>
          </w:p>
        </w:tc>
        <w:tc>
          <w:tcPr>
            <w:tcW w:w="1117" w:type="dxa"/>
            <w:vAlign w:val="center"/>
          </w:tcPr>
          <w:p w:rsidR="00000000" w:rsidRDefault="00000000">
            <w:pPr>
              <w:autoSpaceDE w:val="0"/>
              <w:autoSpaceDN w:val="0"/>
              <w:adjustRightInd w:val="0"/>
              <w:spacing w:before="20" w:after="20"/>
              <w:jc w:val="center"/>
              <w:rPr>
                <w:color w:val="000000"/>
                <w:sz w:val="19"/>
                <w:szCs w:val="20"/>
                <w:lang w:val="fr-FR"/>
              </w:rPr>
            </w:pPr>
            <w:r>
              <w:rPr>
                <w:color w:val="000000"/>
                <w:sz w:val="19"/>
                <w:szCs w:val="20"/>
                <w:lang w:val="fr-FR"/>
              </w:rPr>
              <w:t>448,7</w:t>
            </w:r>
          </w:p>
        </w:tc>
        <w:tc>
          <w:tcPr>
            <w:tcW w:w="1303" w:type="dxa"/>
            <w:vAlign w:val="center"/>
          </w:tcPr>
          <w:p w:rsidR="00000000" w:rsidRDefault="00000000">
            <w:pPr>
              <w:autoSpaceDE w:val="0"/>
              <w:autoSpaceDN w:val="0"/>
              <w:adjustRightInd w:val="0"/>
              <w:spacing w:before="20" w:after="20"/>
              <w:jc w:val="center"/>
              <w:rPr>
                <w:color w:val="000000"/>
                <w:sz w:val="19"/>
                <w:szCs w:val="20"/>
                <w:lang w:val="fr-FR"/>
              </w:rPr>
            </w:pPr>
            <w:r>
              <w:rPr>
                <w:color w:val="000000"/>
                <w:sz w:val="19"/>
                <w:szCs w:val="20"/>
                <w:lang w:val="fr-FR"/>
              </w:rPr>
              <w:t>4,8</w:t>
            </w:r>
          </w:p>
        </w:tc>
        <w:tc>
          <w:tcPr>
            <w:tcW w:w="1372" w:type="dxa"/>
            <w:vAlign w:val="center"/>
          </w:tcPr>
          <w:p w:rsidR="00000000" w:rsidRDefault="00000000">
            <w:pPr>
              <w:autoSpaceDE w:val="0"/>
              <w:autoSpaceDN w:val="0"/>
              <w:adjustRightInd w:val="0"/>
              <w:spacing w:before="20" w:after="20"/>
              <w:ind w:right="221"/>
              <w:jc w:val="center"/>
              <w:rPr>
                <w:color w:val="000000"/>
                <w:sz w:val="19"/>
                <w:szCs w:val="20"/>
                <w:lang w:val="fr-FR"/>
              </w:rPr>
            </w:pPr>
            <w:r>
              <w:rPr>
                <w:color w:val="000000"/>
                <w:sz w:val="19"/>
                <w:szCs w:val="20"/>
                <w:lang w:val="fr-FR"/>
              </w:rPr>
              <w:t>25,2</w:t>
            </w:r>
          </w:p>
        </w:tc>
        <w:tc>
          <w:tcPr>
            <w:tcW w:w="1256" w:type="dxa"/>
            <w:vAlign w:val="center"/>
          </w:tcPr>
          <w:p w:rsidR="00000000" w:rsidRDefault="00000000">
            <w:pPr>
              <w:autoSpaceDE w:val="0"/>
              <w:autoSpaceDN w:val="0"/>
              <w:adjustRightInd w:val="0"/>
              <w:spacing w:before="20" w:after="20"/>
              <w:jc w:val="center"/>
              <w:rPr>
                <w:color w:val="000000"/>
                <w:sz w:val="19"/>
                <w:szCs w:val="20"/>
                <w:lang w:val="fr-FR"/>
              </w:rPr>
            </w:pPr>
            <w:r>
              <w:rPr>
                <w:color w:val="000000"/>
                <w:sz w:val="19"/>
                <w:szCs w:val="20"/>
                <w:lang w:val="fr-FR"/>
              </w:rPr>
              <w:t>3,5</w:t>
            </w:r>
          </w:p>
        </w:tc>
      </w:tr>
      <w:tr w:rsidR="00000000">
        <w:tblPrEx>
          <w:tblCellMar>
            <w:top w:w="0" w:type="dxa"/>
            <w:bottom w:w="0" w:type="dxa"/>
          </w:tblCellMar>
        </w:tblPrEx>
        <w:trPr>
          <w:jc w:val="center"/>
        </w:trPr>
        <w:tc>
          <w:tcPr>
            <w:tcW w:w="2389" w:type="dxa"/>
          </w:tcPr>
          <w:p w:rsidR="00000000" w:rsidRDefault="00000000">
            <w:pPr>
              <w:autoSpaceDE w:val="0"/>
              <w:autoSpaceDN w:val="0"/>
              <w:adjustRightInd w:val="0"/>
              <w:spacing w:before="20" w:after="20"/>
              <w:rPr>
                <w:color w:val="000000"/>
                <w:sz w:val="19"/>
                <w:szCs w:val="20"/>
                <w:lang w:val="fr-FR"/>
              </w:rPr>
            </w:pPr>
            <w:r>
              <w:rPr>
                <w:color w:val="000000"/>
                <w:sz w:val="19"/>
                <w:szCs w:val="20"/>
                <w:lang w:val="fr-FR"/>
              </w:rPr>
              <w:t xml:space="preserve">Revenu familial disponible </w:t>
            </w:r>
          </w:p>
        </w:tc>
        <w:tc>
          <w:tcPr>
            <w:tcW w:w="931" w:type="dxa"/>
          </w:tcPr>
          <w:p w:rsidR="00000000" w:rsidRDefault="00000000">
            <w:pPr>
              <w:autoSpaceDE w:val="0"/>
              <w:autoSpaceDN w:val="0"/>
              <w:adjustRightInd w:val="0"/>
              <w:spacing w:before="20" w:after="20"/>
              <w:ind w:right="57"/>
              <w:jc w:val="right"/>
              <w:rPr>
                <w:color w:val="000000"/>
                <w:sz w:val="19"/>
                <w:szCs w:val="20"/>
                <w:lang w:val="fr-FR"/>
              </w:rPr>
            </w:pPr>
            <w:r>
              <w:rPr>
                <w:color w:val="000000"/>
                <w:sz w:val="19"/>
                <w:szCs w:val="20"/>
                <w:lang w:val="fr-FR"/>
              </w:rPr>
              <w:t xml:space="preserve">79 534 </w:t>
            </w:r>
          </w:p>
        </w:tc>
        <w:tc>
          <w:tcPr>
            <w:tcW w:w="931" w:type="dxa"/>
          </w:tcPr>
          <w:p w:rsidR="00000000" w:rsidRDefault="00000000">
            <w:pPr>
              <w:autoSpaceDE w:val="0"/>
              <w:autoSpaceDN w:val="0"/>
              <w:adjustRightInd w:val="0"/>
              <w:spacing w:before="20" w:after="20"/>
              <w:jc w:val="right"/>
              <w:rPr>
                <w:color w:val="000000"/>
                <w:sz w:val="19"/>
                <w:szCs w:val="20"/>
                <w:lang w:val="fr-FR"/>
              </w:rPr>
            </w:pPr>
            <w:r>
              <w:rPr>
                <w:color w:val="000000"/>
                <w:sz w:val="19"/>
                <w:szCs w:val="20"/>
                <w:lang w:val="fr-FR"/>
              </w:rPr>
              <w:t xml:space="preserve">569 403 </w:t>
            </w:r>
          </w:p>
        </w:tc>
        <w:tc>
          <w:tcPr>
            <w:tcW w:w="1117" w:type="dxa"/>
          </w:tcPr>
          <w:p w:rsidR="00000000" w:rsidRDefault="00000000">
            <w:pPr>
              <w:autoSpaceDE w:val="0"/>
              <w:autoSpaceDN w:val="0"/>
              <w:adjustRightInd w:val="0"/>
              <w:spacing w:before="20" w:after="20"/>
              <w:jc w:val="right"/>
              <w:rPr>
                <w:color w:val="000000"/>
                <w:sz w:val="19"/>
                <w:szCs w:val="20"/>
                <w:lang w:val="fr-FR"/>
              </w:rPr>
            </w:pPr>
            <w:r>
              <w:rPr>
                <w:color w:val="000000"/>
                <w:sz w:val="19"/>
                <w:szCs w:val="20"/>
                <w:lang w:val="fr-FR"/>
              </w:rPr>
              <w:t xml:space="preserve">1 987 210 </w:t>
            </w:r>
          </w:p>
        </w:tc>
        <w:tc>
          <w:tcPr>
            <w:tcW w:w="1303" w:type="dxa"/>
          </w:tcPr>
          <w:p w:rsidR="00000000" w:rsidRDefault="00000000">
            <w:pPr>
              <w:autoSpaceDE w:val="0"/>
              <w:autoSpaceDN w:val="0"/>
              <w:adjustRightInd w:val="0"/>
              <w:spacing w:before="20" w:after="20"/>
              <w:ind w:right="178"/>
              <w:jc w:val="right"/>
              <w:rPr>
                <w:color w:val="000000"/>
                <w:sz w:val="19"/>
                <w:szCs w:val="20"/>
                <w:lang w:val="fr-FR"/>
              </w:rPr>
            </w:pPr>
            <w:r>
              <w:rPr>
                <w:color w:val="000000"/>
                <w:sz w:val="19"/>
                <w:szCs w:val="20"/>
                <w:lang w:val="fr-FR"/>
              </w:rPr>
              <w:t xml:space="preserve">616 % </w:t>
            </w:r>
          </w:p>
        </w:tc>
        <w:tc>
          <w:tcPr>
            <w:tcW w:w="1372" w:type="dxa"/>
          </w:tcPr>
          <w:p w:rsidR="00000000" w:rsidRDefault="00000000">
            <w:pPr>
              <w:autoSpaceDE w:val="0"/>
              <w:autoSpaceDN w:val="0"/>
              <w:adjustRightInd w:val="0"/>
              <w:spacing w:before="20" w:after="20"/>
              <w:ind w:right="221"/>
              <w:jc w:val="right"/>
              <w:rPr>
                <w:color w:val="000000"/>
                <w:sz w:val="19"/>
                <w:szCs w:val="20"/>
                <w:lang w:val="fr-FR"/>
              </w:rPr>
            </w:pPr>
            <w:r>
              <w:rPr>
                <w:color w:val="000000"/>
                <w:sz w:val="19"/>
                <w:szCs w:val="20"/>
                <w:lang w:val="fr-FR"/>
              </w:rPr>
              <w:t xml:space="preserve">2 399 % </w:t>
            </w:r>
          </w:p>
        </w:tc>
        <w:tc>
          <w:tcPr>
            <w:tcW w:w="1256" w:type="dxa"/>
          </w:tcPr>
          <w:p w:rsidR="00000000" w:rsidRDefault="00000000">
            <w:pPr>
              <w:autoSpaceDE w:val="0"/>
              <w:autoSpaceDN w:val="0"/>
              <w:adjustRightInd w:val="0"/>
              <w:spacing w:before="20" w:after="20"/>
              <w:ind w:right="286"/>
              <w:jc w:val="right"/>
              <w:rPr>
                <w:color w:val="000000"/>
                <w:sz w:val="19"/>
                <w:szCs w:val="20"/>
                <w:lang w:val="fr-FR"/>
              </w:rPr>
            </w:pPr>
            <w:r>
              <w:rPr>
                <w:color w:val="000000"/>
                <w:sz w:val="19"/>
                <w:szCs w:val="20"/>
                <w:lang w:val="fr-FR"/>
              </w:rPr>
              <w:t xml:space="preserve">249 %  </w:t>
            </w:r>
          </w:p>
        </w:tc>
      </w:tr>
      <w:tr w:rsidR="00000000">
        <w:tblPrEx>
          <w:tblCellMar>
            <w:top w:w="0" w:type="dxa"/>
            <w:bottom w:w="0" w:type="dxa"/>
          </w:tblCellMar>
        </w:tblPrEx>
        <w:trPr>
          <w:jc w:val="center"/>
        </w:trPr>
        <w:tc>
          <w:tcPr>
            <w:tcW w:w="2389" w:type="dxa"/>
            <w:tcBorders>
              <w:bottom w:val="nil"/>
            </w:tcBorders>
          </w:tcPr>
          <w:p w:rsidR="00000000" w:rsidRDefault="00000000">
            <w:pPr>
              <w:autoSpaceDE w:val="0"/>
              <w:autoSpaceDN w:val="0"/>
              <w:adjustRightInd w:val="0"/>
              <w:spacing w:before="20" w:after="20"/>
              <w:rPr>
                <w:color w:val="000000"/>
                <w:sz w:val="19"/>
                <w:szCs w:val="20"/>
                <w:lang w:val="fr-FR"/>
              </w:rPr>
            </w:pPr>
            <w:r>
              <w:rPr>
                <w:color w:val="000000"/>
                <w:sz w:val="19"/>
                <w:szCs w:val="20"/>
                <w:lang w:val="fr-FR"/>
              </w:rPr>
              <w:t xml:space="preserve">Revenu total réel </w:t>
            </w:r>
          </w:p>
        </w:tc>
        <w:tc>
          <w:tcPr>
            <w:tcW w:w="931" w:type="dxa"/>
            <w:tcBorders>
              <w:bottom w:val="nil"/>
            </w:tcBorders>
          </w:tcPr>
          <w:p w:rsidR="00000000" w:rsidRDefault="00000000">
            <w:pPr>
              <w:autoSpaceDE w:val="0"/>
              <w:autoSpaceDN w:val="0"/>
              <w:adjustRightInd w:val="0"/>
              <w:spacing w:before="20" w:after="20"/>
              <w:ind w:right="57"/>
              <w:jc w:val="right"/>
              <w:rPr>
                <w:color w:val="000000"/>
                <w:sz w:val="19"/>
                <w:szCs w:val="20"/>
                <w:lang w:val="fr-FR"/>
              </w:rPr>
            </w:pPr>
            <w:r>
              <w:rPr>
                <w:color w:val="000000"/>
                <w:sz w:val="19"/>
                <w:szCs w:val="20"/>
                <w:lang w:val="fr-FR"/>
              </w:rPr>
              <w:t xml:space="preserve">288 889 </w:t>
            </w:r>
          </w:p>
        </w:tc>
        <w:tc>
          <w:tcPr>
            <w:tcW w:w="931" w:type="dxa"/>
            <w:tcBorders>
              <w:bottom w:val="nil"/>
            </w:tcBorders>
          </w:tcPr>
          <w:p w:rsidR="00000000" w:rsidRDefault="00000000">
            <w:pPr>
              <w:autoSpaceDE w:val="0"/>
              <w:autoSpaceDN w:val="0"/>
              <w:adjustRightInd w:val="0"/>
              <w:spacing w:before="20" w:after="20"/>
              <w:jc w:val="right"/>
              <w:rPr>
                <w:color w:val="000000"/>
                <w:sz w:val="19"/>
                <w:szCs w:val="20"/>
                <w:lang w:val="fr-FR"/>
              </w:rPr>
            </w:pPr>
            <w:r>
              <w:rPr>
                <w:color w:val="000000"/>
                <w:sz w:val="19"/>
                <w:szCs w:val="20"/>
                <w:lang w:val="fr-FR"/>
              </w:rPr>
              <w:t xml:space="preserve">355 444 </w:t>
            </w:r>
          </w:p>
        </w:tc>
        <w:tc>
          <w:tcPr>
            <w:tcW w:w="1117" w:type="dxa"/>
            <w:tcBorders>
              <w:bottom w:val="nil"/>
            </w:tcBorders>
          </w:tcPr>
          <w:p w:rsidR="00000000" w:rsidRDefault="00000000">
            <w:pPr>
              <w:autoSpaceDE w:val="0"/>
              <w:autoSpaceDN w:val="0"/>
              <w:adjustRightInd w:val="0"/>
              <w:spacing w:before="20" w:after="20"/>
              <w:jc w:val="right"/>
              <w:rPr>
                <w:color w:val="000000"/>
                <w:sz w:val="19"/>
                <w:szCs w:val="20"/>
                <w:lang w:val="fr-FR"/>
              </w:rPr>
            </w:pPr>
            <w:r>
              <w:rPr>
                <w:color w:val="000000"/>
                <w:sz w:val="19"/>
                <w:szCs w:val="20"/>
                <w:lang w:val="fr-FR"/>
              </w:rPr>
              <w:t xml:space="preserve">275 082 </w:t>
            </w:r>
          </w:p>
        </w:tc>
        <w:tc>
          <w:tcPr>
            <w:tcW w:w="1303" w:type="dxa"/>
            <w:tcBorders>
              <w:bottom w:val="nil"/>
            </w:tcBorders>
          </w:tcPr>
          <w:p w:rsidR="00000000" w:rsidRDefault="00000000">
            <w:pPr>
              <w:autoSpaceDE w:val="0"/>
              <w:autoSpaceDN w:val="0"/>
              <w:adjustRightInd w:val="0"/>
              <w:spacing w:before="20" w:after="20"/>
              <w:ind w:right="178"/>
              <w:jc w:val="right"/>
              <w:rPr>
                <w:color w:val="000000"/>
                <w:sz w:val="19"/>
                <w:szCs w:val="20"/>
                <w:lang w:val="fr-FR"/>
              </w:rPr>
            </w:pPr>
            <w:r>
              <w:rPr>
                <w:color w:val="000000"/>
                <w:sz w:val="19"/>
                <w:szCs w:val="20"/>
                <w:lang w:val="fr-FR"/>
              </w:rPr>
              <w:t xml:space="preserve">23 % </w:t>
            </w:r>
          </w:p>
        </w:tc>
        <w:tc>
          <w:tcPr>
            <w:tcW w:w="1372" w:type="dxa"/>
            <w:tcBorders>
              <w:bottom w:val="nil"/>
            </w:tcBorders>
          </w:tcPr>
          <w:p w:rsidR="00000000" w:rsidRDefault="00000000">
            <w:pPr>
              <w:autoSpaceDE w:val="0"/>
              <w:autoSpaceDN w:val="0"/>
              <w:adjustRightInd w:val="0"/>
              <w:spacing w:before="20" w:after="20"/>
              <w:ind w:right="221"/>
              <w:jc w:val="right"/>
              <w:rPr>
                <w:color w:val="000000"/>
                <w:sz w:val="19"/>
                <w:szCs w:val="20"/>
                <w:lang w:val="fr-FR"/>
              </w:rPr>
            </w:pPr>
            <w:r>
              <w:rPr>
                <w:color w:val="000000"/>
                <w:sz w:val="19"/>
                <w:szCs w:val="20"/>
                <w:lang w:val="fr-FR"/>
              </w:rPr>
              <w:t xml:space="preserve">-5 % </w:t>
            </w:r>
          </w:p>
        </w:tc>
        <w:tc>
          <w:tcPr>
            <w:tcW w:w="1256" w:type="dxa"/>
            <w:tcBorders>
              <w:bottom w:val="nil"/>
            </w:tcBorders>
          </w:tcPr>
          <w:p w:rsidR="00000000" w:rsidRDefault="00000000">
            <w:pPr>
              <w:autoSpaceDE w:val="0"/>
              <w:autoSpaceDN w:val="0"/>
              <w:adjustRightInd w:val="0"/>
              <w:spacing w:before="20" w:after="20"/>
              <w:ind w:right="286"/>
              <w:jc w:val="right"/>
              <w:rPr>
                <w:color w:val="000000"/>
                <w:sz w:val="19"/>
                <w:szCs w:val="20"/>
                <w:lang w:val="fr-FR"/>
              </w:rPr>
            </w:pPr>
            <w:r>
              <w:rPr>
                <w:color w:val="000000"/>
                <w:sz w:val="19"/>
                <w:szCs w:val="20"/>
                <w:lang w:val="fr-FR"/>
              </w:rPr>
              <w:t xml:space="preserve">-23 %  </w:t>
            </w:r>
          </w:p>
        </w:tc>
      </w:tr>
      <w:tr w:rsidR="00000000">
        <w:tblPrEx>
          <w:tblCellMar>
            <w:top w:w="0" w:type="dxa"/>
            <w:bottom w:w="0" w:type="dxa"/>
          </w:tblCellMar>
        </w:tblPrEx>
        <w:trPr>
          <w:jc w:val="center"/>
        </w:trPr>
        <w:tc>
          <w:tcPr>
            <w:tcW w:w="2389" w:type="dxa"/>
            <w:tcBorders>
              <w:top w:val="nil"/>
              <w:bottom w:val="single" w:sz="4" w:space="0" w:color="auto"/>
            </w:tcBorders>
          </w:tcPr>
          <w:p w:rsidR="00000000" w:rsidRDefault="00000000">
            <w:pPr>
              <w:autoSpaceDE w:val="0"/>
              <w:autoSpaceDN w:val="0"/>
              <w:adjustRightInd w:val="0"/>
              <w:spacing w:before="20" w:after="20"/>
              <w:rPr>
                <w:color w:val="000000"/>
                <w:sz w:val="19"/>
                <w:szCs w:val="20"/>
                <w:lang w:val="fr-FR"/>
              </w:rPr>
            </w:pPr>
            <w:r>
              <w:rPr>
                <w:color w:val="000000"/>
                <w:sz w:val="19"/>
                <w:szCs w:val="20"/>
                <w:lang w:val="fr-FR"/>
              </w:rPr>
              <w:t xml:space="preserve">Financement du panier </w:t>
            </w:r>
            <w:r>
              <w:rPr>
                <w:color w:val="000000"/>
                <w:sz w:val="19"/>
                <w:szCs w:val="20"/>
                <w:lang w:val="fr-FR"/>
              </w:rPr>
              <w:br/>
              <w:t xml:space="preserve">de base </w:t>
            </w:r>
          </w:p>
        </w:tc>
        <w:tc>
          <w:tcPr>
            <w:tcW w:w="931" w:type="dxa"/>
            <w:tcBorders>
              <w:top w:val="nil"/>
              <w:bottom w:val="single" w:sz="4" w:space="0" w:color="auto"/>
            </w:tcBorders>
            <w:vAlign w:val="center"/>
          </w:tcPr>
          <w:p w:rsidR="00000000" w:rsidRDefault="00000000">
            <w:pPr>
              <w:autoSpaceDE w:val="0"/>
              <w:autoSpaceDN w:val="0"/>
              <w:adjustRightInd w:val="0"/>
              <w:spacing w:before="20" w:after="20"/>
              <w:jc w:val="center"/>
              <w:rPr>
                <w:color w:val="000000"/>
                <w:sz w:val="19"/>
                <w:szCs w:val="20"/>
                <w:lang w:val="fr-FR"/>
              </w:rPr>
            </w:pPr>
            <w:r>
              <w:rPr>
                <w:color w:val="000000"/>
                <w:sz w:val="19"/>
                <w:szCs w:val="20"/>
                <w:lang w:val="fr-FR"/>
              </w:rPr>
              <w:t>63,7 %</w:t>
            </w:r>
          </w:p>
        </w:tc>
        <w:tc>
          <w:tcPr>
            <w:tcW w:w="931" w:type="dxa"/>
            <w:tcBorders>
              <w:top w:val="nil"/>
              <w:bottom w:val="single" w:sz="4" w:space="0" w:color="auto"/>
            </w:tcBorders>
            <w:vAlign w:val="center"/>
          </w:tcPr>
          <w:p w:rsidR="00000000" w:rsidRDefault="00000000">
            <w:pPr>
              <w:autoSpaceDE w:val="0"/>
              <w:autoSpaceDN w:val="0"/>
              <w:adjustRightInd w:val="0"/>
              <w:spacing w:before="20" w:after="20"/>
              <w:jc w:val="center"/>
              <w:rPr>
                <w:color w:val="000000"/>
                <w:sz w:val="19"/>
                <w:szCs w:val="20"/>
                <w:lang w:val="fr-FR"/>
              </w:rPr>
            </w:pPr>
            <w:r>
              <w:rPr>
                <w:color w:val="000000"/>
                <w:sz w:val="19"/>
                <w:szCs w:val="20"/>
                <w:lang w:val="fr-FR"/>
              </w:rPr>
              <w:t>66,3 %</w:t>
            </w:r>
          </w:p>
        </w:tc>
        <w:tc>
          <w:tcPr>
            <w:tcW w:w="1117" w:type="dxa"/>
            <w:tcBorders>
              <w:top w:val="nil"/>
              <w:bottom w:val="single" w:sz="4" w:space="0" w:color="auto"/>
            </w:tcBorders>
            <w:vAlign w:val="center"/>
          </w:tcPr>
          <w:p w:rsidR="00000000" w:rsidRDefault="00000000">
            <w:pPr>
              <w:autoSpaceDE w:val="0"/>
              <w:autoSpaceDN w:val="0"/>
              <w:adjustRightInd w:val="0"/>
              <w:spacing w:before="20" w:after="20"/>
              <w:jc w:val="center"/>
              <w:rPr>
                <w:color w:val="000000"/>
                <w:sz w:val="19"/>
                <w:szCs w:val="20"/>
                <w:lang w:val="fr-FR"/>
              </w:rPr>
            </w:pPr>
            <w:r>
              <w:rPr>
                <w:color w:val="000000"/>
                <w:sz w:val="19"/>
                <w:szCs w:val="20"/>
                <w:lang w:val="fr-FR"/>
              </w:rPr>
              <w:t>49,8 %</w:t>
            </w:r>
          </w:p>
        </w:tc>
        <w:tc>
          <w:tcPr>
            <w:tcW w:w="1303" w:type="dxa"/>
            <w:tcBorders>
              <w:top w:val="nil"/>
              <w:bottom w:val="single" w:sz="4" w:space="0" w:color="auto"/>
            </w:tcBorders>
            <w:vAlign w:val="center"/>
          </w:tcPr>
          <w:p w:rsidR="00000000" w:rsidRDefault="00000000">
            <w:pPr>
              <w:autoSpaceDE w:val="0"/>
              <w:autoSpaceDN w:val="0"/>
              <w:adjustRightInd w:val="0"/>
              <w:spacing w:before="20" w:after="20"/>
              <w:ind w:right="178"/>
              <w:jc w:val="right"/>
              <w:rPr>
                <w:color w:val="000000"/>
                <w:sz w:val="19"/>
                <w:szCs w:val="20"/>
                <w:lang w:val="fr-FR"/>
              </w:rPr>
            </w:pPr>
            <w:r>
              <w:rPr>
                <w:color w:val="000000"/>
                <w:sz w:val="19"/>
                <w:szCs w:val="20"/>
                <w:lang w:val="fr-FR"/>
              </w:rPr>
              <w:t>4 %</w:t>
            </w:r>
          </w:p>
        </w:tc>
        <w:tc>
          <w:tcPr>
            <w:tcW w:w="1372" w:type="dxa"/>
            <w:tcBorders>
              <w:top w:val="nil"/>
              <w:bottom w:val="single" w:sz="4" w:space="0" w:color="auto"/>
            </w:tcBorders>
            <w:vAlign w:val="center"/>
          </w:tcPr>
          <w:p w:rsidR="00000000" w:rsidRDefault="00000000">
            <w:pPr>
              <w:autoSpaceDE w:val="0"/>
              <w:autoSpaceDN w:val="0"/>
              <w:adjustRightInd w:val="0"/>
              <w:spacing w:before="20" w:after="20"/>
              <w:ind w:right="221"/>
              <w:jc w:val="center"/>
              <w:rPr>
                <w:color w:val="000000"/>
                <w:sz w:val="19"/>
                <w:szCs w:val="20"/>
                <w:lang w:val="fr-FR"/>
              </w:rPr>
            </w:pPr>
            <w:r>
              <w:rPr>
                <w:color w:val="000000"/>
                <w:sz w:val="19"/>
                <w:szCs w:val="20"/>
                <w:lang w:val="fr-FR"/>
              </w:rPr>
              <w:t>-21,9 %</w:t>
            </w:r>
          </w:p>
        </w:tc>
        <w:tc>
          <w:tcPr>
            <w:tcW w:w="1256" w:type="dxa"/>
            <w:tcBorders>
              <w:top w:val="nil"/>
              <w:bottom w:val="single" w:sz="4" w:space="0" w:color="auto"/>
            </w:tcBorders>
            <w:vAlign w:val="center"/>
          </w:tcPr>
          <w:p w:rsidR="00000000" w:rsidRDefault="00000000">
            <w:pPr>
              <w:autoSpaceDE w:val="0"/>
              <w:autoSpaceDN w:val="0"/>
              <w:adjustRightInd w:val="0"/>
              <w:spacing w:before="20" w:after="20"/>
              <w:ind w:right="286"/>
              <w:jc w:val="center"/>
              <w:rPr>
                <w:color w:val="000000"/>
                <w:sz w:val="19"/>
                <w:szCs w:val="20"/>
                <w:lang w:val="fr-FR"/>
              </w:rPr>
            </w:pPr>
            <w:r>
              <w:rPr>
                <w:color w:val="000000"/>
                <w:sz w:val="19"/>
                <w:szCs w:val="20"/>
                <w:lang w:val="fr-FR"/>
              </w:rPr>
              <w:t>-24,9 %</w:t>
            </w:r>
          </w:p>
        </w:tc>
      </w:tr>
    </w:tbl>
    <w:p w:rsidR="00000000" w:rsidRDefault="00000000">
      <w:pPr>
        <w:spacing w:before="80" w:after="80"/>
        <w:rPr>
          <w:sz w:val="18"/>
          <w:lang w:val="fr-FR"/>
        </w:rPr>
      </w:pPr>
      <w:r>
        <w:rPr>
          <w:i/>
          <w:iCs/>
          <w:sz w:val="18"/>
          <w:lang w:val="fr-FR"/>
        </w:rPr>
        <w:tab/>
        <w:t>Source</w:t>
      </w:r>
      <w:r>
        <w:rPr>
          <w:sz w:val="18"/>
          <w:lang w:val="fr-FR"/>
        </w:rPr>
        <w:t xml:space="preserve"> :  INEC, pour les données sur l’inflation (Indice urbain des prix à la consommation) et le panier familial de base; Ministère du travail et des ressources humaines : pour les données sur les rémunérations.  </w:t>
      </w:r>
    </w:p>
    <w:p w:rsidR="00000000" w:rsidRDefault="00000000">
      <w:pPr>
        <w:spacing w:before="80" w:after="240"/>
        <w:rPr>
          <w:color w:val="000000"/>
          <w:sz w:val="18"/>
          <w:szCs w:val="20"/>
          <w:lang w:val="fr-FR"/>
        </w:rPr>
      </w:pPr>
      <w:r>
        <w:rPr>
          <w:i/>
          <w:iCs/>
          <w:color w:val="000000"/>
          <w:sz w:val="18"/>
          <w:szCs w:val="20"/>
          <w:lang w:val="fr-FR"/>
        </w:rPr>
        <w:tab/>
        <w:t>Note</w:t>
      </w:r>
      <w:r>
        <w:rPr>
          <w:color w:val="000000"/>
          <w:sz w:val="18"/>
          <w:szCs w:val="20"/>
          <w:lang w:val="fr-FR"/>
        </w:rPr>
        <w:t> :  Coût du panier de base pour un ménage composé de cinq membres.  Revenu familial mensuel disponible, calculé sur la base d’un foyer percevant 1,61 salaire minimal vital.  IPC : Indice urbain des prix à la consommation (source INEC).  Financement du panier de base : revenu familial divisé par le coût du panier familial de base.</w:t>
      </w:r>
    </w:p>
    <w:p w:rsidR="00000000" w:rsidRDefault="00000000">
      <w:pPr>
        <w:pStyle w:val="BodyText"/>
        <w:spacing w:after="240"/>
        <w:jc w:val="left"/>
        <w:rPr>
          <w:color w:val="000000"/>
          <w:szCs w:val="20"/>
          <w:u w:val="none"/>
          <w:lang w:val="fr-FR"/>
        </w:rPr>
      </w:pPr>
      <w:r>
        <w:rPr>
          <w:color w:val="000000"/>
          <w:szCs w:val="20"/>
          <w:u w:val="none"/>
          <w:lang w:val="fr-FR"/>
        </w:rPr>
        <w:t>104.</w:t>
      </w:r>
      <w:r>
        <w:rPr>
          <w:color w:val="000000"/>
          <w:szCs w:val="20"/>
          <w:u w:val="none"/>
          <w:lang w:val="fr-FR"/>
        </w:rPr>
        <w:tab/>
        <w:t>L’évolution du salaire minimum vital et des autres postes qui, de par la loi, font partie du revenu du travailleur en général s’est caractérisée par une augmentation globale de 33 % du salaire minimum vital et de 249 % du revenu total nominal, respectivement, au cours de la période allant de janvier 1995 à décembre 1999.  Quant à l'indice des prix à la consommation, il a augmenté de 351 %, soit un taux supérieur à celui de l'accroissement du revenu nominal, correspondant à une dégradation du revenu réel de l'ordre de -23 %.</w:t>
      </w:r>
    </w:p>
    <w:p w:rsidR="00000000" w:rsidRDefault="00000000">
      <w:pPr>
        <w:pStyle w:val="BodyText"/>
        <w:spacing w:after="240"/>
        <w:jc w:val="left"/>
        <w:rPr>
          <w:u w:val="none"/>
          <w:lang w:val="fr-FR"/>
        </w:rPr>
      </w:pPr>
      <w:r>
        <w:rPr>
          <w:u w:val="none"/>
          <w:lang w:val="fr-FR"/>
        </w:rPr>
        <w:t>105.</w:t>
      </w:r>
      <w:r>
        <w:rPr>
          <w:u w:val="none"/>
          <w:lang w:val="fr-FR"/>
        </w:rPr>
        <w:tab/>
        <w:t>Le panier familial de base et le panier familial de pauvreté constituent des instruments importants pour l’évaluation des besoins essentiels des travailleurs et de leur famille.  C'est l’INEC qui détermine, mensuellement, l'élaboration de ces instruments, sur la base d'une famille type de cinq membres, en prenant en considération les rubriques Alimentation, Logement, Habillement et Divers, avec cette différence que dans le cas du premier panier on évalue les besoins minimums des ménages urbains à revenus moyens et bas, alors que dans le cas du second, on évalue les besoins minimums de subsistance des catégories les plus pauvres de la population.</w:t>
      </w:r>
    </w:p>
    <w:p w:rsidR="00000000" w:rsidRDefault="00000000">
      <w:pPr>
        <w:pStyle w:val="BodyText"/>
        <w:spacing w:after="240"/>
        <w:jc w:val="left"/>
        <w:rPr>
          <w:u w:val="none"/>
          <w:lang w:val="fr-FR"/>
        </w:rPr>
      </w:pPr>
      <w:r>
        <w:rPr>
          <w:u w:val="none"/>
          <w:lang w:val="fr-FR"/>
        </w:rPr>
        <w:t>106.</w:t>
      </w:r>
      <w:r>
        <w:rPr>
          <w:u w:val="none"/>
          <w:lang w:val="fr-FR"/>
        </w:rPr>
        <w:tab/>
        <w:t>On établit le revenu familial sur la base de 1,61 fois le salaire minimum vital, et en le rapportant au coût du panier familial correspondant, on détermine le niveau de financement du panier ou, selon le cas, le déficit de consommation familiale.</w:t>
      </w:r>
    </w:p>
    <w:p w:rsidR="00000000" w:rsidRDefault="00000000">
      <w:pPr>
        <w:pStyle w:val="BodyText"/>
        <w:spacing w:after="240"/>
        <w:jc w:val="left"/>
        <w:rPr>
          <w:u w:val="none"/>
          <w:lang w:val="fr-FR"/>
        </w:rPr>
      </w:pPr>
      <w:r>
        <w:rPr>
          <w:u w:val="none"/>
          <w:lang w:val="fr-FR"/>
        </w:rPr>
        <w:t>107.</w:t>
      </w:r>
      <w:r>
        <w:rPr>
          <w:u w:val="none"/>
          <w:lang w:val="fr-FR"/>
        </w:rPr>
        <w:tab/>
        <w:t>Il convient aussi de noter l'évolution du coût du panier familial, dont la valeur est passée de 858 382 sucres en janvier 1995 à 3 990 099 sucres en décembre 1999, soit une variation globale de 365 %.  Cela signifie que le niveau de financement, qui se situait à 66,3 % en janvier 1995, est tombé à 49,8 % en décembre 1999, soit une détérioration de la consommation de -25 % au cours de la période considérée.</w:t>
      </w:r>
    </w:p>
    <w:p w:rsidR="00000000" w:rsidRDefault="00000000">
      <w:pPr>
        <w:pStyle w:val="BodyText"/>
        <w:spacing w:after="240"/>
        <w:jc w:val="left"/>
        <w:rPr>
          <w:i/>
          <w:iCs/>
          <w:u w:val="none"/>
          <w:lang w:val="fr-FR"/>
        </w:rPr>
      </w:pPr>
      <w:r>
        <w:rPr>
          <w:i/>
          <w:iCs/>
          <w:u w:val="none"/>
          <w:lang w:val="fr-FR"/>
        </w:rPr>
        <w:t>Système de contrôle des salaires</w:t>
      </w:r>
    </w:p>
    <w:p w:rsidR="00000000" w:rsidRDefault="00000000">
      <w:pPr>
        <w:pStyle w:val="BodyText"/>
        <w:spacing w:after="240"/>
        <w:jc w:val="left"/>
        <w:rPr>
          <w:u w:val="none"/>
          <w:lang w:val="fr-FR"/>
        </w:rPr>
      </w:pPr>
      <w:r>
        <w:rPr>
          <w:u w:val="none"/>
          <w:lang w:val="fr-FR"/>
        </w:rPr>
        <w:t>108.</w:t>
      </w:r>
      <w:r>
        <w:rPr>
          <w:u w:val="none"/>
          <w:lang w:val="fr-FR"/>
        </w:rPr>
        <w:tab/>
        <w:t>Les traitements et les salaires sont certes fixés conformément aux dispositions de la loi, mais le contrôle de leur application n'a pas été possible au cours de la période récente pour cause d'austérité budgétaire.  Toutefois, des inspections sont réalisées par l'intermédiaire des services de l'inspection du travail en réponse aux plaintes de travailleurs ou d'employeurs.</w:t>
      </w:r>
    </w:p>
    <w:p w:rsidR="00000000" w:rsidRDefault="00000000">
      <w:pPr>
        <w:pStyle w:val="BodyText"/>
        <w:spacing w:after="240"/>
        <w:jc w:val="left"/>
        <w:rPr>
          <w:u w:val="none"/>
          <w:lang w:val="fr-FR"/>
        </w:rPr>
      </w:pPr>
      <w:r>
        <w:rPr>
          <w:u w:val="none"/>
          <w:lang w:val="fr-FR"/>
        </w:rPr>
        <w:t>109.</w:t>
      </w:r>
      <w:r>
        <w:rPr>
          <w:u w:val="none"/>
          <w:lang w:val="fr-FR"/>
        </w:rPr>
        <w:tab/>
        <w:t>Les services de l'inspection du travail du Ministère du travail et des ressources humaines, qui sont chargés de surveiller et d'exiger la stricte application des dispositions de la loi, assument la fonction de contrôle.  Le salaire minimum vital est ajusté tous les semestres, tandis que les traitements, salaires et tarifs minimums sectoriels le sont annuellement.</w:t>
      </w:r>
    </w:p>
    <w:p w:rsidR="00000000" w:rsidRDefault="00000000">
      <w:pPr>
        <w:pStyle w:val="BodyText"/>
        <w:spacing w:after="240"/>
        <w:jc w:val="left"/>
        <w:rPr>
          <w:i/>
          <w:iCs/>
          <w:u w:val="none"/>
          <w:lang w:val="fr-FR"/>
        </w:rPr>
      </w:pPr>
      <w:r>
        <w:rPr>
          <w:i/>
          <w:iCs/>
          <w:u w:val="none"/>
          <w:lang w:val="fr-FR"/>
        </w:rPr>
        <w:t>Égalité des rémunérations</w:t>
      </w:r>
    </w:p>
    <w:p w:rsidR="00000000" w:rsidRDefault="00000000">
      <w:pPr>
        <w:pStyle w:val="BodyText"/>
        <w:spacing w:after="240"/>
        <w:jc w:val="left"/>
        <w:rPr>
          <w:u w:val="none"/>
          <w:lang w:val="fr-FR"/>
        </w:rPr>
      </w:pPr>
      <w:r>
        <w:rPr>
          <w:u w:val="none"/>
          <w:lang w:val="fr-FR"/>
        </w:rPr>
        <w:t>110.</w:t>
      </w:r>
      <w:r>
        <w:rPr>
          <w:u w:val="none"/>
          <w:lang w:val="fr-FR"/>
        </w:rPr>
        <w:tab/>
        <w:t>La compensation des inégalités n'est pas une pratique commune en Équateur; des mécanismes et techniques sont cependant mis en oeuvre pour intégrer dans toutes les questions nationales les droits garantis par la Constitution en vigueur et par les instruments internationaux pertinents, en tant que conquêtes sociales indispensables à la modernité.</w:t>
      </w:r>
    </w:p>
    <w:p w:rsidR="00000000" w:rsidRDefault="00000000">
      <w:pPr>
        <w:pStyle w:val="BodyText"/>
        <w:spacing w:after="240"/>
        <w:jc w:val="left"/>
        <w:rPr>
          <w:u w:val="none"/>
          <w:lang w:val="fr-FR"/>
        </w:rPr>
      </w:pPr>
      <w:r>
        <w:rPr>
          <w:u w:val="none"/>
          <w:lang w:val="fr-FR"/>
        </w:rPr>
        <w:t>111.</w:t>
      </w:r>
      <w:r>
        <w:rPr>
          <w:u w:val="none"/>
          <w:lang w:val="fr-FR"/>
        </w:rPr>
        <w:tab/>
        <w:t>La Constitution encourage l'accès des femmes au travail rémunéré sur la base de l'égalité des droits et des chances, et lui garantit l’égalité de rémunération pour un travail égal.  Il convient de mentionner en outre que la nouvelle Constitution reconnaît comme travail productif le travail domestique non rémunéré.</w:t>
      </w:r>
    </w:p>
    <w:p w:rsidR="00000000" w:rsidRDefault="00000000">
      <w:pPr>
        <w:pStyle w:val="BodyText"/>
        <w:spacing w:after="240"/>
        <w:jc w:val="left"/>
        <w:rPr>
          <w:u w:val="none"/>
          <w:lang w:val="fr-FR"/>
        </w:rPr>
      </w:pPr>
      <w:r>
        <w:rPr>
          <w:u w:val="none"/>
          <w:lang w:val="fr-FR"/>
        </w:rPr>
        <w:t>112.</w:t>
      </w:r>
      <w:r>
        <w:rPr>
          <w:u w:val="none"/>
          <w:lang w:val="fr-FR"/>
        </w:rPr>
        <w:tab/>
        <w:t>Les salariés du secteur public occupant un même poste ou effectuant un même travail perçoivent, quel que soit leur sexe, la même rémunération.  Les différences qui existent tiennent au fait que la majorité des postes de direction sont occupés par des hommes et, quand on compare les diverses entités du secteur public, on trouve effectivement entre elles des écarts substantiels entre les niveaux de rémunération.</w:t>
      </w:r>
    </w:p>
    <w:p w:rsidR="00000000" w:rsidRDefault="00000000">
      <w:pPr>
        <w:pStyle w:val="BodyText"/>
        <w:spacing w:after="240"/>
        <w:jc w:val="left"/>
        <w:rPr>
          <w:u w:val="none"/>
          <w:lang w:val="fr-FR"/>
        </w:rPr>
      </w:pPr>
      <w:r>
        <w:rPr>
          <w:u w:val="none"/>
          <w:lang w:val="fr-FR"/>
        </w:rPr>
        <w:t>113.</w:t>
      </w:r>
      <w:r>
        <w:rPr>
          <w:u w:val="none"/>
          <w:lang w:val="fr-FR"/>
        </w:rPr>
        <w:tab/>
        <w:t>Le droit à un travail équitablement rémunéré est un droit qui n'admet aucune discrimination.  Les dispositions relatives à la rémunération qui sont adoptées à l'échelle nationale en faveur des travailleurs protégés par le Code du travail s'appliquent de façon générale aux personnes des deux sexes.  En tout état de cause, on s'efforce par l'intermédiaire des commissions sectorielles de rémunérer le facteur travail conformément aux fonctions assumées, en définissant à cet effet les différentes structures professionnelles dans chaque branche d'activité.</w:t>
      </w:r>
    </w:p>
    <w:p w:rsidR="00000000" w:rsidRDefault="00000000">
      <w:pPr>
        <w:pStyle w:val="BodyText"/>
        <w:spacing w:after="240"/>
        <w:jc w:val="left"/>
        <w:rPr>
          <w:u w:val="none"/>
          <w:lang w:val="fr-FR"/>
        </w:rPr>
      </w:pPr>
      <w:r>
        <w:rPr>
          <w:u w:val="none"/>
          <w:lang w:val="fr-FR"/>
        </w:rPr>
        <w:t>114.</w:t>
      </w:r>
      <w:r>
        <w:rPr>
          <w:u w:val="none"/>
          <w:lang w:val="fr-FR"/>
        </w:rPr>
        <w:tab/>
        <w:t>Bien que les traitements et salaires minimums sectoriels soient fixés sans discrimination de sexe, les études réalisées par le CONAMU ont permis de montrer les inégalités de rémunération au détriment des femmes dans l’emploi informel.</w:t>
      </w:r>
    </w:p>
    <w:p w:rsidR="00000000" w:rsidRDefault="00000000">
      <w:pPr>
        <w:pStyle w:val="BodyText"/>
        <w:spacing w:after="240"/>
        <w:jc w:val="left"/>
        <w:rPr>
          <w:u w:val="none"/>
          <w:lang w:val="fr-FR"/>
        </w:rPr>
      </w:pPr>
      <w:r>
        <w:rPr>
          <w:u w:val="none"/>
          <w:lang w:val="fr-FR"/>
        </w:rPr>
        <w:t>115.</w:t>
      </w:r>
      <w:r>
        <w:rPr>
          <w:u w:val="none"/>
          <w:lang w:val="fr-FR"/>
        </w:rPr>
        <w:tab/>
        <w:t>En ce qui concerne les mesures adoptées pour éviter la discrimination à l'égard des femmes confrontées à l'inégalité des rémunérations dans le cas d'un travail de valeur égale, l'article premier de la Loi relative à la protection de la femme au travail du 16 janvier 1997 prévoit le recrutement d'un pourcentage minimum de femmes.</w:t>
      </w:r>
    </w:p>
    <w:p w:rsidR="00000000" w:rsidRDefault="00000000">
      <w:pPr>
        <w:pStyle w:val="BodyText"/>
        <w:spacing w:after="240"/>
        <w:jc w:val="left"/>
        <w:rPr>
          <w:u w:val="none"/>
          <w:lang w:val="fr-FR"/>
        </w:rPr>
      </w:pPr>
      <w:r>
        <w:rPr>
          <w:u w:val="none"/>
          <w:lang w:val="fr-FR"/>
        </w:rPr>
        <w:t>116.</w:t>
      </w:r>
      <w:r>
        <w:rPr>
          <w:u w:val="none"/>
          <w:lang w:val="fr-FR"/>
        </w:rPr>
        <w:tab/>
        <w:t>Un accord conclu entre le CONAMU et le Ministère du travail et des ressources humaines prévoit de coordonner les initiatives d'intérêt commun en vue d'appliquer le principe de l'égalité entre les sexes et de favoriser les femmes en ce qui concerne tant l'accès au marché du travail que les revenus, et partant de réduire les disparités entre les sexes.</w:t>
      </w:r>
    </w:p>
    <w:p w:rsidR="00000000" w:rsidRDefault="00000000">
      <w:pPr>
        <w:pStyle w:val="BodyText"/>
        <w:spacing w:after="240"/>
        <w:jc w:val="left"/>
        <w:rPr>
          <w:u w:val="none"/>
          <w:lang w:val="fr-FR"/>
        </w:rPr>
      </w:pPr>
      <w:r>
        <w:rPr>
          <w:u w:val="none"/>
          <w:lang w:val="fr-FR"/>
        </w:rPr>
        <w:t>117.</w:t>
      </w:r>
      <w:r>
        <w:rPr>
          <w:u w:val="none"/>
          <w:lang w:val="fr-FR"/>
        </w:rPr>
        <w:tab/>
        <w:t>Le Ministère du travail et des ressources humaines s'attache notamment à rassembler, à gérer et à actualiser l'information statistique sur l'accès des femmes à l'emploi et aux salaires; il est ainsi prévu de traiter l'information que possède le ministère en vue de dresser un tableau clair de la situation de la femme en matière d'emploi et de salaire par branche d'activité économique.  Il convient de noter à cet égard que l'on est en train de définir certains éléments du projet en vue de leur exécution immédiate conformément au calendrier établi.</w:t>
      </w:r>
    </w:p>
    <w:p w:rsidR="00000000" w:rsidRDefault="00000000">
      <w:pPr>
        <w:pStyle w:val="BodyText"/>
        <w:spacing w:after="240"/>
        <w:jc w:val="left"/>
        <w:rPr>
          <w:u w:val="none"/>
          <w:lang w:val="fr-FR"/>
        </w:rPr>
      </w:pPr>
      <w:r>
        <w:rPr>
          <w:u w:val="none"/>
          <w:lang w:val="fr-FR"/>
        </w:rPr>
        <w:t>118.</w:t>
      </w:r>
      <w:r>
        <w:rPr>
          <w:u w:val="none"/>
          <w:lang w:val="fr-FR"/>
        </w:rPr>
        <w:tab/>
        <w:t>L'analyse des résultats du traitement de l'information susmentionnée servira de base pour l'application de la Loi relative à la protection de la femme au travail dans ce domaine.</w:t>
      </w:r>
    </w:p>
    <w:p w:rsidR="00000000" w:rsidRDefault="00000000">
      <w:pPr>
        <w:pStyle w:val="BodyText"/>
        <w:spacing w:after="240"/>
        <w:jc w:val="left"/>
        <w:rPr>
          <w:u w:val="none"/>
          <w:lang w:val="fr-FR"/>
        </w:rPr>
      </w:pPr>
      <w:r>
        <w:rPr>
          <w:u w:val="none"/>
          <w:lang w:val="fr-FR"/>
        </w:rPr>
        <w:t>119.</w:t>
      </w:r>
      <w:r>
        <w:rPr>
          <w:u w:val="none"/>
          <w:lang w:val="fr-FR"/>
        </w:rPr>
        <w:tab/>
        <w:t>Les projets spéciaux du Ministère du travail et des ressources humaines en matière d'emploi se traduisent par la création de nouveaux postes de travail à caractère permanent et par l'amélioration de postes existants, contribuant ainsi à l’élévation du niveau de vie et des revenus, au processus de redistribution des ressources en faveur des catégories les plus pauvres de la population, ainsi qu'à la réduction de l'exode rural.</w:t>
      </w:r>
    </w:p>
    <w:p w:rsidR="00000000" w:rsidRDefault="00000000">
      <w:pPr>
        <w:pStyle w:val="BodyText"/>
        <w:spacing w:after="240"/>
        <w:jc w:val="left"/>
        <w:rPr>
          <w:u w:val="none"/>
          <w:lang w:val="fr-FR"/>
        </w:rPr>
      </w:pPr>
      <w:r>
        <w:rPr>
          <w:u w:val="none"/>
          <w:lang w:val="fr-FR"/>
        </w:rPr>
        <w:t>120.</w:t>
      </w:r>
      <w:r>
        <w:rPr>
          <w:u w:val="none"/>
          <w:lang w:val="fr-FR"/>
        </w:rPr>
        <w:tab/>
        <w:t>Des processus de contrôle, de suivi et d'évaluation sont mis au point afin de mesurer tant l'impact et la rentabilité des projets que le nombre de la population directement et indirectement bénéficiaire, ainsi que la réalisation des objectifs et des buts fixés pour chacun des projets.  Des instruments ont été spécialement conçus à cet effet.</w:t>
      </w:r>
    </w:p>
    <w:p w:rsidR="00000000" w:rsidRDefault="00000000">
      <w:pPr>
        <w:pStyle w:val="BodyText"/>
        <w:spacing w:after="240"/>
        <w:jc w:val="left"/>
        <w:rPr>
          <w:i/>
          <w:iCs/>
          <w:u w:val="none"/>
          <w:lang w:val="fr-FR"/>
        </w:rPr>
      </w:pPr>
      <w:r>
        <w:rPr>
          <w:u w:val="none"/>
          <w:lang w:val="fr-FR"/>
        </w:rPr>
        <w:br w:type="page"/>
      </w:r>
      <w:r>
        <w:rPr>
          <w:i/>
          <w:iCs/>
          <w:u w:val="none"/>
          <w:lang w:val="fr-FR"/>
        </w:rPr>
        <w:t>Secteurs public et privé</w:t>
      </w:r>
    </w:p>
    <w:p w:rsidR="00000000" w:rsidRDefault="00000000">
      <w:pPr>
        <w:pStyle w:val="BodyText"/>
        <w:spacing w:after="240"/>
        <w:jc w:val="left"/>
        <w:rPr>
          <w:u w:val="none"/>
          <w:lang w:val="fr-FR"/>
        </w:rPr>
      </w:pPr>
      <w:r>
        <w:rPr>
          <w:u w:val="none"/>
          <w:lang w:val="fr-FR"/>
        </w:rPr>
        <w:t>122.</w:t>
      </w:r>
      <w:r>
        <w:rPr>
          <w:u w:val="none"/>
          <w:lang w:val="fr-FR"/>
        </w:rPr>
        <w:tab/>
        <w:t>Les salaires minimums vitaux et sectoriels fixés pour les travailleurs assujettis au Code du travail sont applicables à l'échelle nationale dans le secteur public comme dans le secteur privé.  Toutefois, dans chaque secteur, certains avantages additionnels d'ordre pécuniaire ou non pécuniaire sont accordés en fonction des possibilités économiques des entreprises ou des ressources budgétaires disponibles.</w:t>
      </w:r>
    </w:p>
    <w:p w:rsidR="00000000" w:rsidRDefault="00000000">
      <w:pPr>
        <w:pStyle w:val="BodyText"/>
        <w:spacing w:after="240"/>
        <w:jc w:val="left"/>
        <w:rPr>
          <w:u w:val="none"/>
          <w:lang w:val="fr-FR"/>
        </w:rPr>
      </w:pPr>
      <w:r>
        <w:rPr>
          <w:u w:val="none"/>
          <w:lang w:val="fr-FR"/>
        </w:rPr>
        <w:t>123.</w:t>
      </w:r>
      <w:r>
        <w:rPr>
          <w:u w:val="none"/>
          <w:lang w:val="fr-FR"/>
        </w:rPr>
        <w:tab/>
        <w:t>Conformément aux dispositions de la loi, les composantes du revenu total des travailleurs des secteurs publics et privés assujettis au Code du travail sont les suivantes :</w:t>
      </w:r>
    </w:p>
    <w:p w:rsidR="00000000" w:rsidRDefault="00000000">
      <w:pPr>
        <w:pStyle w:val="BodyText"/>
        <w:numPr>
          <w:ilvl w:val="0"/>
          <w:numId w:val="22"/>
        </w:numPr>
        <w:spacing w:after="240"/>
        <w:jc w:val="left"/>
        <w:rPr>
          <w:u w:val="none"/>
          <w:lang w:val="fr-FR"/>
        </w:rPr>
      </w:pPr>
      <w:r>
        <w:rPr>
          <w:u w:val="none"/>
          <w:lang w:val="fr-FR"/>
        </w:rPr>
        <w:t>Traitement ou salaire de base : conformément aux dispositions des articles 133 et 119 du Code du travail, l’État garantit l'application, par l'intermédiaire des organismes compétents, du salaire minimum vital ainsi que des traitements, salaires et tarifs minimums par branche d'activité.</w:t>
      </w:r>
    </w:p>
    <w:p w:rsidR="00000000" w:rsidRDefault="00000000">
      <w:pPr>
        <w:pStyle w:val="BodyText"/>
        <w:numPr>
          <w:ilvl w:val="0"/>
          <w:numId w:val="22"/>
        </w:numPr>
        <w:spacing w:after="240"/>
        <w:jc w:val="left"/>
        <w:rPr>
          <w:u w:val="none"/>
          <w:lang w:val="fr-FR"/>
        </w:rPr>
      </w:pPr>
      <w:r>
        <w:rPr>
          <w:u w:val="none"/>
          <w:lang w:val="fr-FR"/>
        </w:rPr>
        <w:t>Indemnité du coût de la vie : y ont droit les travailleurs dont le salaire de base ne dépasse pas 600 000 sucres.  Pour ceux dont le salaire de base est supérieur, l'indemnité est de 205 000 sucres par mois.</w:t>
      </w:r>
    </w:p>
    <w:p w:rsidR="00000000" w:rsidRDefault="00000000">
      <w:pPr>
        <w:pStyle w:val="BodyText"/>
        <w:numPr>
          <w:ilvl w:val="0"/>
          <w:numId w:val="22"/>
        </w:numPr>
        <w:spacing w:after="240"/>
        <w:jc w:val="left"/>
        <w:rPr>
          <w:u w:val="none"/>
          <w:lang w:val="fr-FR"/>
        </w:rPr>
      </w:pPr>
      <w:r>
        <w:rPr>
          <w:u w:val="none"/>
          <w:lang w:val="fr-FR"/>
        </w:rPr>
        <w:t>Allocation complémentaire : d'un montant de 7 millions de sucres par an, elle est versée en dix tranches égales avec le paiement de la seconde quinzaine du traitement ou salaire, sauf les mois de septembre et de décembre (articles 115 à 118 du Code du travail).</w:t>
      </w:r>
    </w:p>
    <w:p w:rsidR="00000000" w:rsidRDefault="00000000">
      <w:pPr>
        <w:pStyle w:val="BodyText"/>
        <w:numPr>
          <w:ilvl w:val="0"/>
          <w:numId w:val="22"/>
        </w:numPr>
        <w:spacing w:after="240"/>
        <w:jc w:val="left"/>
        <w:rPr>
          <w:u w:val="none"/>
          <w:lang w:val="fr-FR"/>
        </w:rPr>
      </w:pPr>
      <w:r>
        <w:rPr>
          <w:u w:val="none"/>
          <w:lang w:val="fr-FR"/>
        </w:rPr>
        <w:t>Seizième salaire : institué par la Loi N° 19 (</w:t>
      </w:r>
      <w:r>
        <w:rPr>
          <w:i/>
          <w:iCs/>
          <w:u w:val="none"/>
          <w:lang w:val="fr-FR"/>
        </w:rPr>
        <w:t>Journal officiel</w:t>
      </w:r>
      <w:r>
        <w:rPr>
          <w:u w:val="none"/>
          <w:lang w:val="fr-FR"/>
        </w:rPr>
        <w:t xml:space="preserve"> N° 90 du 18 décembre 1992).  Il est égal au huitième du salaire de base; nul ne peut percevoir moins que la douzième partie de l'équivalent de deux fois le salaire minimum vital général en vigueur, ni plus que le montant d'un salaire minimum général.</w:t>
      </w:r>
    </w:p>
    <w:p w:rsidR="00000000" w:rsidRDefault="00000000">
      <w:pPr>
        <w:pStyle w:val="BodyText"/>
        <w:numPr>
          <w:ilvl w:val="0"/>
          <w:numId w:val="22"/>
        </w:numPr>
        <w:spacing w:after="240"/>
        <w:jc w:val="left"/>
        <w:rPr>
          <w:u w:val="none"/>
          <w:lang w:val="fr-FR"/>
        </w:rPr>
      </w:pPr>
      <w:r>
        <w:rPr>
          <w:u w:val="none"/>
          <w:lang w:val="fr-FR"/>
        </w:rPr>
        <w:t>Indemnité de transport : y ont droit ceux qui ne bénéficient pas d'un service de transport et gagnent au titre du salaire de base un montant ne dépassant pas l'équivalent de deux fois le salaire minimum vital général en vigueur, à la condition que leur domicile se situe dans un rayon de 1 km du lieu de travail; le montant de l'indemnité est calculé en multipliant le prix du transport urbain en bus déterminé par le Conseil national du transport par quatre trajets quotidiens et par 20 jours travaillés.</w:t>
      </w:r>
    </w:p>
    <w:p w:rsidR="00000000" w:rsidRDefault="00000000">
      <w:pPr>
        <w:pStyle w:val="BodyText"/>
        <w:numPr>
          <w:ilvl w:val="0"/>
          <w:numId w:val="22"/>
        </w:numPr>
        <w:spacing w:after="240"/>
        <w:jc w:val="left"/>
        <w:rPr>
          <w:u w:val="none"/>
          <w:lang w:val="fr-FR"/>
        </w:rPr>
      </w:pPr>
      <w:r>
        <w:rPr>
          <w:u w:val="none"/>
          <w:lang w:val="fr-FR"/>
        </w:rPr>
        <w:t>Treizième salaire : il est égal à la douzième partie du revenu perçu au cours de la période allant du 1er décembre de l'année antérieure au 30 novembre de l'année du paiement, compte tenu du salaire de base, des heures supplémentaires et exceptionnelles, des commissions, etc.  (articles 95, 111 et 112 du Code du travail).  Il est payé jusqu'au 24 décembre.</w:t>
      </w:r>
    </w:p>
    <w:p w:rsidR="00000000" w:rsidRDefault="00000000">
      <w:pPr>
        <w:pStyle w:val="BodyText"/>
        <w:numPr>
          <w:ilvl w:val="0"/>
          <w:numId w:val="22"/>
        </w:numPr>
        <w:spacing w:after="240"/>
        <w:jc w:val="left"/>
        <w:rPr>
          <w:u w:val="none"/>
          <w:lang w:val="fr-FR"/>
        </w:rPr>
      </w:pPr>
      <w:r>
        <w:rPr>
          <w:u w:val="none"/>
          <w:lang w:val="fr-FR"/>
        </w:rPr>
        <w:t>Quatorzième salaire : il est égal à la valeur de deux fois le salaire minimum vital général en vigueur, et versé jusqu'au 15 septembre, de la période allant du 1er septembre de l'année antérieure au 31 août de l'année du paiement (articles 113 et 114 du Code du travail).</w:t>
      </w:r>
    </w:p>
    <w:p w:rsidR="00000000" w:rsidRDefault="00000000">
      <w:pPr>
        <w:pStyle w:val="BodyText"/>
        <w:numPr>
          <w:ilvl w:val="0"/>
          <w:numId w:val="22"/>
        </w:numPr>
        <w:spacing w:after="240"/>
        <w:jc w:val="left"/>
        <w:rPr>
          <w:u w:val="none"/>
          <w:lang w:val="fr-FR"/>
        </w:rPr>
      </w:pPr>
      <w:r>
        <w:rPr>
          <w:u w:val="none"/>
          <w:lang w:val="fr-FR"/>
        </w:rPr>
        <w:t xml:space="preserve">Treizième salaire : d'un montant de 50 000 sucres, payable en cinq versements de 10 000 sucres pendant les sept premiers jours des mois de février, avril, juin, août et octobre. Applicable pour la période du 1er février de l'année antérieure au 31 janvier de l'année du paiement (Loi N° 79, publiée au </w:t>
      </w:r>
      <w:r>
        <w:rPr>
          <w:i/>
          <w:u w:val="none"/>
          <w:lang w:val="fr-FR"/>
        </w:rPr>
        <w:t>Journal officiel</w:t>
      </w:r>
      <w:r>
        <w:rPr>
          <w:u w:val="none"/>
          <w:lang w:val="fr-FR"/>
        </w:rPr>
        <w:t xml:space="preserve"> N° 464 du 22 juin 1990).</w:t>
      </w:r>
    </w:p>
    <w:p w:rsidR="00000000" w:rsidRDefault="00000000">
      <w:pPr>
        <w:pStyle w:val="BodyText"/>
        <w:numPr>
          <w:ilvl w:val="0"/>
          <w:numId w:val="22"/>
        </w:numPr>
        <w:spacing w:after="240"/>
        <w:jc w:val="left"/>
        <w:rPr>
          <w:u w:val="none"/>
          <w:lang w:val="fr-FR"/>
        </w:rPr>
      </w:pPr>
      <w:r>
        <w:rPr>
          <w:u w:val="none"/>
          <w:lang w:val="fr-FR"/>
        </w:rPr>
        <w:t>Fonds de réserve : prestation calculée de la même façon que le treizième salaire, mais en prenant pour référence la période commençant à la date du début de l'activité.  Y a droit tout travailleur qui a accompli deux ans de service; le montant doit être déposé par l'employeur auprès de l’IESS (articles 196 et 201 du Code de travail).</w:t>
      </w:r>
    </w:p>
    <w:p w:rsidR="00000000" w:rsidRDefault="00000000">
      <w:pPr>
        <w:pStyle w:val="BodyText"/>
        <w:numPr>
          <w:ilvl w:val="0"/>
          <w:numId w:val="22"/>
        </w:numPr>
        <w:spacing w:after="240"/>
        <w:jc w:val="left"/>
        <w:rPr>
          <w:u w:val="none"/>
          <w:lang w:val="fr-FR"/>
        </w:rPr>
      </w:pPr>
      <w:r>
        <w:rPr>
          <w:u w:val="none"/>
          <w:lang w:val="fr-FR"/>
        </w:rPr>
        <w:t xml:space="preserve">Bénéfices : les travailleurs du secteur privé ont droit à recevoir une partie des bénéfices annuels de l'entreprise, bénéfices évalués sur la base des déclarations ou liquidations effectuées aux fins de l'impôt sur le revenu (articles 97 à 110 du Code du travail, et modifications correspondantes apportées par la Loi N° 85 publiée au </w:t>
      </w:r>
      <w:r>
        <w:rPr>
          <w:i/>
          <w:iCs/>
          <w:u w:val="none"/>
          <w:lang w:val="fr-FR"/>
        </w:rPr>
        <w:t>Journal officiel</w:t>
      </w:r>
      <w:r>
        <w:rPr>
          <w:u w:val="none"/>
          <w:lang w:val="fr-FR"/>
        </w:rPr>
        <w:t xml:space="preserve"> N° 672 d'avril 1995).  Pour le calcul du montant dû, on prend en considération la période allant du 1er janvier au 31 décembre, le versement étant effectué jusqu’au 15 avril de l'année suivante.</w:t>
      </w:r>
    </w:p>
    <w:p w:rsidR="00000000" w:rsidRDefault="00000000">
      <w:pPr>
        <w:pStyle w:val="BodyText"/>
        <w:keepNext/>
        <w:spacing w:after="240"/>
        <w:jc w:val="left"/>
        <w:rPr>
          <w:i/>
          <w:iCs/>
          <w:u w:val="none"/>
          <w:lang w:val="fr-FR"/>
        </w:rPr>
      </w:pPr>
      <w:r>
        <w:rPr>
          <w:i/>
          <w:iCs/>
          <w:u w:val="none"/>
          <w:lang w:val="fr-FR"/>
        </w:rPr>
        <w:t>Sécurité et santé des travailleurs</w:t>
      </w:r>
    </w:p>
    <w:p w:rsidR="00000000" w:rsidRDefault="00000000">
      <w:pPr>
        <w:pStyle w:val="BodyText"/>
        <w:keepNext/>
        <w:spacing w:after="240"/>
        <w:jc w:val="left"/>
        <w:rPr>
          <w:u w:val="none"/>
          <w:lang w:val="fr-FR"/>
        </w:rPr>
      </w:pPr>
      <w:r>
        <w:rPr>
          <w:u w:val="none"/>
          <w:lang w:val="fr-FR"/>
        </w:rPr>
        <w:t>124.</w:t>
      </w:r>
      <w:r>
        <w:rPr>
          <w:u w:val="none"/>
          <w:lang w:val="fr-FR"/>
        </w:rPr>
        <w:tab/>
        <w:t>Le Ministère du travail et des ressources humaines, au travers de la Direction ou des Sous-directions du travail, et agissant par l'intermédiaire du Département de la sécurité et de l'hygiène du travail et des inspecteurs du travail, est l'autorité chargée de surveiller et de vérifier le respect des dispositions légales en vigueur relative à la santé et à la sécurité du travail dans le pays.</w:t>
      </w:r>
    </w:p>
    <w:p w:rsidR="00000000" w:rsidRDefault="00000000">
      <w:pPr>
        <w:pStyle w:val="BodyText"/>
        <w:spacing w:after="240"/>
        <w:jc w:val="left"/>
        <w:rPr>
          <w:u w:val="none"/>
          <w:lang w:val="fr-FR"/>
        </w:rPr>
      </w:pPr>
      <w:r>
        <w:rPr>
          <w:u w:val="none"/>
          <w:lang w:val="fr-FR"/>
        </w:rPr>
        <w:t>125.</w:t>
      </w:r>
      <w:r>
        <w:rPr>
          <w:u w:val="none"/>
          <w:lang w:val="fr-FR"/>
        </w:rPr>
        <w:tab/>
        <w:t>Le cadre légal en vigueur est le Code du travail (titre IV, "Risques au travail") qui, en son article 416, définit les obligations qu'ont les employeurs et les travailleurs en matière de prévention des risques : "Les employeurs sont tenus d'assurer à leurs employés des conditions de travail qui ne présentent aucun danger pour leur santé ou leur vie.  Les travailleurs sont tenus de respecter les mesures de prévention, de sécurité et d'hygiène prévues dans les règlements et mises en place par l'employeur.  Le non-respect de ces mesures est une cause légitime de rupture du contrat de travail".</w:t>
      </w:r>
    </w:p>
    <w:p w:rsidR="00000000" w:rsidRDefault="00000000">
      <w:pPr>
        <w:pStyle w:val="BodyText"/>
        <w:spacing w:after="240"/>
        <w:jc w:val="left"/>
        <w:rPr>
          <w:u w:val="none"/>
          <w:lang w:val="fr-FR"/>
        </w:rPr>
      </w:pPr>
      <w:r>
        <w:rPr>
          <w:u w:val="none"/>
          <w:lang w:val="fr-FR"/>
        </w:rPr>
        <w:t>126.</w:t>
      </w:r>
      <w:r>
        <w:rPr>
          <w:u w:val="none"/>
          <w:lang w:val="fr-FR"/>
        </w:rPr>
        <w:tab/>
        <w:t>Le Département de la sécurité et de l'hygiène du travail et les inspecteurs du travail ont l'obligation d'exiger des propriétaires d'ateliers ou d'usines et des autres moyens de production le respect des dispositions en vigueur sur les conditions minimales de santé et de sécurité du travail qu'ils doivent appliquer afin de garantir les conditions nécessaires pour que les employeurs et les travailleurs puissent remplir leur fonction.</w:t>
      </w:r>
    </w:p>
    <w:p w:rsidR="00000000" w:rsidRDefault="00000000">
      <w:pPr>
        <w:pStyle w:val="BodyText"/>
        <w:spacing w:after="240"/>
        <w:jc w:val="left"/>
        <w:rPr>
          <w:u w:val="none"/>
          <w:lang w:val="fr-FR"/>
        </w:rPr>
      </w:pPr>
      <w:r>
        <w:rPr>
          <w:u w:val="none"/>
          <w:lang w:val="fr-FR"/>
        </w:rPr>
        <w:t>127.</w:t>
      </w:r>
      <w:r>
        <w:rPr>
          <w:u w:val="none"/>
          <w:lang w:val="fr-FR"/>
        </w:rPr>
        <w:tab/>
        <w:t>La Direction générale ou les Sous-directions du travail adoptent les règlements pertinents définissant les mécanismes de prévention des risques liés au travail qui peuvent être appliqué dans les diverses branches d’activité et veillent à ce que soient mises en pratique les mesures préventives nécessaires pour la santé et la sécurité des travailleurs.</w:t>
      </w:r>
    </w:p>
    <w:p w:rsidR="00000000" w:rsidRDefault="00000000">
      <w:pPr>
        <w:pStyle w:val="BodyText"/>
        <w:spacing w:after="240"/>
        <w:jc w:val="left"/>
        <w:rPr>
          <w:u w:val="none"/>
          <w:lang w:val="fr-FR"/>
        </w:rPr>
      </w:pPr>
      <w:r>
        <w:rPr>
          <w:u w:val="none"/>
          <w:lang w:val="fr-FR"/>
        </w:rPr>
        <w:t>128.</w:t>
      </w:r>
      <w:r>
        <w:rPr>
          <w:u w:val="none"/>
          <w:lang w:val="fr-FR"/>
        </w:rPr>
        <w:tab/>
        <w:t>Dans les entreprises ou le travail est très exposé aux risques, outre les règles relatives à la prévention des risques définies dans le Code du travail,  les dispositions ou normes spécifiées par l’IESS sont aussi applicables (article 418,  434 et 438 du Code du travail).</w:t>
      </w:r>
    </w:p>
    <w:p w:rsidR="00000000" w:rsidRDefault="00000000">
      <w:pPr>
        <w:pStyle w:val="BodyText"/>
        <w:spacing w:after="240"/>
        <w:jc w:val="left"/>
        <w:rPr>
          <w:u w:val="none"/>
          <w:lang w:val="fr-FR"/>
        </w:rPr>
      </w:pPr>
      <w:r>
        <w:rPr>
          <w:u w:val="none"/>
          <w:lang w:val="fr-FR"/>
        </w:rPr>
        <w:t>129.</w:t>
      </w:r>
      <w:r>
        <w:rPr>
          <w:u w:val="none"/>
          <w:lang w:val="fr-FR"/>
        </w:rPr>
        <w:tab/>
        <w:t>L’article 443 du Code du travail habilite le Ministère du travail et des ressources humaines à décider "la suspension des activités ou la fermeture des lieux ou moyens collectifs de travail, lorsqu’ils menacent ou affectent la santé et la sécurité des travailleurs, ou s’ils enfreignent les mesures de sécurité et d’hygiène prévues, sans préjuger des autres sanctions légales.  Cette décision nécessite l’avis préalable du chef du Département de la sécurité et de l’hygiène du travail".</w:t>
      </w:r>
    </w:p>
    <w:p w:rsidR="00000000" w:rsidRDefault="00000000">
      <w:pPr>
        <w:pStyle w:val="BodyText"/>
        <w:spacing w:after="240"/>
        <w:jc w:val="left"/>
        <w:rPr>
          <w:u w:val="none"/>
          <w:lang w:val="fr-FR"/>
        </w:rPr>
      </w:pPr>
      <w:r>
        <w:rPr>
          <w:u w:val="none"/>
          <w:lang w:val="fr-FR"/>
        </w:rPr>
        <w:t>130.</w:t>
      </w:r>
      <w:r>
        <w:rPr>
          <w:u w:val="none"/>
          <w:lang w:val="fr-FR"/>
        </w:rPr>
        <w:tab/>
        <w:t>Les règlements ci-après sont actuellement en vigueur en matière de sécurité au travail :</w:t>
      </w:r>
    </w:p>
    <w:p w:rsidR="00000000" w:rsidRDefault="00000000">
      <w:pPr>
        <w:pStyle w:val="BodyText"/>
        <w:numPr>
          <w:ilvl w:val="0"/>
          <w:numId w:val="121"/>
        </w:numPr>
        <w:spacing w:after="240"/>
        <w:jc w:val="left"/>
        <w:rPr>
          <w:u w:val="none"/>
          <w:lang w:val="fr-FR"/>
        </w:rPr>
      </w:pPr>
      <w:r>
        <w:rPr>
          <w:u w:val="none"/>
          <w:lang w:val="fr-FR"/>
        </w:rPr>
        <w:t>Règlement des services médicaux d’entreprise;</w:t>
      </w:r>
    </w:p>
    <w:p w:rsidR="00000000" w:rsidRDefault="00000000">
      <w:pPr>
        <w:pStyle w:val="BodyText"/>
        <w:numPr>
          <w:ilvl w:val="0"/>
          <w:numId w:val="121"/>
        </w:numPr>
        <w:spacing w:after="240"/>
        <w:jc w:val="left"/>
        <w:rPr>
          <w:u w:val="none"/>
          <w:lang w:val="fr-FR"/>
        </w:rPr>
      </w:pPr>
      <w:r>
        <w:rPr>
          <w:u w:val="none"/>
          <w:lang w:val="fr-FR"/>
        </w:rPr>
        <w:t>Règlement relatif à la sécurité et à la santé des travailleurs et à l’amélioration de l’environnement du travail (</w:t>
      </w:r>
      <w:r>
        <w:rPr>
          <w:i/>
          <w:iCs/>
          <w:u w:val="none"/>
          <w:lang w:val="fr-FR"/>
        </w:rPr>
        <w:t>Journal officiel</w:t>
      </w:r>
      <w:r>
        <w:rPr>
          <w:u w:val="none"/>
          <w:lang w:val="fr-FR"/>
        </w:rPr>
        <w:t xml:space="preserve"> N° 565 du 17 novembre 1986, et modifications publiées au </w:t>
      </w:r>
      <w:r>
        <w:rPr>
          <w:i/>
          <w:iCs/>
          <w:u w:val="none"/>
          <w:lang w:val="fr-FR"/>
        </w:rPr>
        <w:t>Journal officiel</w:t>
      </w:r>
      <w:r>
        <w:rPr>
          <w:iCs/>
          <w:u w:val="none"/>
          <w:lang w:val="fr-FR"/>
        </w:rPr>
        <w:t xml:space="preserve"> N° </w:t>
      </w:r>
      <w:r>
        <w:rPr>
          <w:u w:val="none"/>
          <w:lang w:val="fr-FR"/>
        </w:rPr>
        <w:t>997 du 10 août 1988);</w:t>
      </w:r>
    </w:p>
    <w:p w:rsidR="00000000" w:rsidRDefault="00000000">
      <w:pPr>
        <w:pStyle w:val="BodyText"/>
        <w:numPr>
          <w:ilvl w:val="0"/>
          <w:numId w:val="121"/>
        </w:numPr>
        <w:spacing w:after="240"/>
        <w:jc w:val="left"/>
        <w:rPr>
          <w:u w:val="none"/>
          <w:lang w:val="fr-FR"/>
        </w:rPr>
      </w:pPr>
      <w:r>
        <w:rPr>
          <w:u w:val="none"/>
          <w:lang w:val="fr-FR"/>
        </w:rPr>
        <w:t>Règlement relatif à la sécurité dans les  mines (</w:t>
      </w:r>
      <w:r>
        <w:rPr>
          <w:i/>
          <w:iCs/>
          <w:u w:val="none"/>
          <w:lang w:val="fr-FR"/>
        </w:rPr>
        <w:t>Journal officiel</w:t>
      </w:r>
      <w:r>
        <w:rPr>
          <w:u w:val="none"/>
          <w:lang w:val="fr-FR"/>
        </w:rPr>
        <w:t xml:space="preserve"> N° 999 du 30 juillet 1986);</w:t>
      </w:r>
    </w:p>
    <w:p w:rsidR="00000000" w:rsidRDefault="00000000">
      <w:pPr>
        <w:pStyle w:val="BodyText"/>
        <w:numPr>
          <w:ilvl w:val="0"/>
          <w:numId w:val="121"/>
        </w:numPr>
        <w:spacing w:after="240"/>
        <w:jc w:val="left"/>
        <w:rPr>
          <w:u w:val="none"/>
          <w:lang w:val="fr-FR"/>
        </w:rPr>
      </w:pPr>
      <w:r>
        <w:rPr>
          <w:u w:val="none"/>
          <w:lang w:val="fr-FR"/>
        </w:rPr>
        <w:t>Règlements relatifs à la sécurité du travail contre les risques dans les installations de production d’électricité (</w:t>
      </w:r>
      <w:r>
        <w:rPr>
          <w:i/>
          <w:iCs/>
          <w:u w:val="none"/>
          <w:lang w:val="fr-FR"/>
        </w:rPr>
        <w:t>Journal officiel</w:t>
      </w:r>
      <w:r>
        <w:rPr>
          <w:iCs/>
          <w:u w:val="none"/>
          <w:lang w:val="fr-FR"/>
        </w:rPr>
        <w:t xml:space="preserve"> N° </w:t>
      </w:r>
      <w:r>
        <w:rPr>
          <w:u w:val="none"/>
          <w:lang w:val="fr-FR"/>
        </w:rPr>
        <w:t>249 du 3 février 1990);</w:t>
      </w:r>
    </w:p>
    <w:p w:rsidR="00000000" w:rsidRDefault="00000000">
      <w:pPr>
        <w:pStyle w:val="BodyText"/>
        <w:numPr>
          <w:ilvl w:val="0"/>
          <w:numId w:val="121"/>
        </w:numPr>
        <w:spacing w:after="240"/>
        <w:jc w:val="left"/>
        <w:rPr>
          <w:u w:val="none"/>
          <w:lang w:val="fr-FR"/>
        </w:rPr>
      </w:pPr>
      <w:r>
        <w:rPr>
          <w:u w:val="none"/>
          <w:lang w:val="fr-FR"/>
        </w:rPr>
        <w:t>Règlements relatif à la sécurité dans la construction d’ouvrages publics (</w:t>
      </w:r>
      <w:r>
        <w:rPr>
          <w:i/>
          <w:iCs/>
          <w:u w:val="none"/>
          <w:lang w:val="fr-FR"/>
        </w:rPr>
        <w:t>Journal officiel</w:t>
      </w:r>
      <w:r>
        <w:rPr>
          <w:iCs/>
          <w:u w:val="none"/>
          <w:lang w:val="fr-FR"/>
        </w:rPr>
        <w:t xml:space="preserve"> N° </w:t>
      </w:r>
      <w:r>
        <w:rPr>
          <w:u w:val="none"/>
          <w:lang w:val="fr-FR"/>
        </w:rPr>
        <w:t>253 du 9 février 1999).</w:t>
      </w:r>
    </w:p>
    <w:p w:rsidR="00000000" w:rsidRDefault="00000000">
      <w:pPr>
        <w:pStyle w:val="BodyText"/>
        <w:spacing w:after="240"/>
        <w:jc w:val="left"/>
        <w:rPr>
          <w:u w:val="none"/>
          <w:lang w:val="fr-FR"/>
        </w:rPr>
      </w:pPr>
      <w:r>
        <w:rPr>
          <w:u w:val="none"/>
          <w:lang w:val="fr-FR"/>
        </w:rPr>
        <w:t>131.</w:t>
      </w:r>
      <w:r>
        <w:rPr>
          <w:u w:val="none"/>
          <w:lang w:val="fr-FR"/>
        </w:rPr>
        <w:tab/>
        <w:t>Les mesures administratives prises dans ce domaine sont liées à l’application des diverses dispositions légales et réglementaires adoptées en la matière.</w:t>
      </w:r>
    </w:p>
    <w:p w:rsidR="00000000" w:rsidRDefault="00000000">
      <w:pPr>
        <w:pStyle w:val="BodyText"/>
        <w:spacing w:after="360"/>
        <w:jc w:val="left"/>
        <w:rPr>
          <w:u w:val="none"/>
          <w:lang w:val="fr-FR"/>
        </w:rPr>
      </w:pPr>
      <w:r>
        <w:rPr>
          <w:u w:val="none"/>
          <w:lang w:val="fr-FR"/>
        </w:rPr>
        <w:t>132.</w:t>
      </w:r>
      <w:r>
        <w:rPr>
          <w:u w:val="none"/>
          <w:lang w:val="fr-FR"/>
        </w:rPr>
        <w:tab/>
        <w:t>Les mécanismes ou procédures de contrôle de l’application de cette réglementation se fondent sur les plans et projets élaborés par le Ministère du travail et des ressources humaines, et reposent sur les plaintes des travailleurs, des centrales syndicales ou des comités d’entreprise concernant la non-application des règlements.  Les normes en vigueur en matière de sécurité et d’hygiène du travail dans le pays sont applicables à tous les travailleurs, sans exception.</w:t>
      </w:r>
    </w:p>
    <w:p w:rsidR="00000000" w:rsidRDefault="00000000">
      <w:pPr>
        <w:tabs>
          <w:tab w:val="left" w:pos="720"/>
        </w:tabs>
        <w:autoSpaceDE w:val="0"/>
        <w:autoSpaceDN w:val="0"/>
        <w:adjustRightInd w:val="0"/>
        <w:spacing w:after="80"/>
        <w:jc w:val="center"/>
        <w:rPr>
          <w:b/>
          <w:bCs/>
          <w:color w:val="000000"/>
          <w:sz w:val="20"/>
          <w:szCs w:val="22"/>
          <w:lang w:val="fr-FR"/>
        </w:rPr>
      </w:pPr>
      <w:r>
        <w:rPr>
          <w:b/>
          <w:bCs/>
          <w:color w:val="000000"/>
          <w:sz w:val="20"/>
          <w:szCs w:val="22"/>
          <w:lang w:val="fr-FR"/>
        </w:rPr>
        <w:t>Statistiques des accidents du travail et des maladies professionnelles</w:t>
      </w:r>
    </w:p>
    <w:p w:rsidR="00000000" w:rsidRDefault="00000000">
      <w:pPr>
        <w:autoSpaceDE w:val="0"/>
        <w:autoSpaceDN w:val="0"/>
        <w:adjustRightInd w:val="0"/>
        <w:spacing w:after="240"/>
        <w:jc w:val="center"/>
        <w:rPr>
          <w:b/>
          <w:bCs/>
          <w:color w:val="000000"/>
          <w:sz w:val="20"/>
          <w:szCs w:val="22"/>
          <w:lang w:val="fr-FR"/>
        </w:rPr>
      </w:pPr>
      <w:r>
        <w:rPr>
          <w:b/>
          <w:bCs/>
          <w:color w:val="000000"/>
          <w:sz w:val="20"/>
          <w:szCs w:val="22"/>
          <w:lang w:val="fr-FR"/>
        </w:rPr>
        <w:t>Nombre d'accidents du travail et de maladies professionnelles</w:t>
      </w:r>
    </w:p>
    <w:tbl>
      <w:tblPr>
        <w:tblW w:w="8505" w:type="dxa"/>
        <w:jc w:val="center"/>
        <w:tblBorders>
          <w:top w:val="single" w:sz="4" w:space="0" w:color="auto"/>
        </w:tblBorders>
        <w:tblLayout w:type="fixed"/>
        <w:tblCellMar>
          <w:left w:w="40" w:type="dxa"/>
          <w:right w:w="40" w:type="dxa"/>
        </w:tblCellMar>
        <w:tblLook w:val="0000" w:firstRow="0" w:lastRow="0" w:firstColumn="0" w:lastColumn="0" w:noHBand="0" w:noVBand="0"/>
      </w:tblPr>
      <w:tblGrid>
        <w:gridCol w:w="1246"/>
        <w:gridCol w:w="1488"/>
        <w:gridCol w:w="1538"/>
        <w:gridCol w:w="1324"/>
        <w:gridCol w:w="1155"/>
        <w:gridCol w:w="1754"/>
      </w:tblGrid>
      <w:tr w:rsidR="00000000">
        <w:tblPrEx>
          <w:tblCellMar>
            <w:top w:w="0" w:type="dxa"/>
            <w:bottom w:w="0" w:type="dxa"/>
          </w:tblCellMar>
        </w:tblPrEx>
        <w:trPr>
          <w:cantSplit/>
          <w:jc w:val="center"/>
        </w:trPr>
        <w:tc>
          <w:tcPr>
            <w:tcW w:w="1011"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Année</w:t>
            </w:r>
          </w:p>
        </w:tc>
        <w:tc>
          <w:tcPr>
            <w:tcW w:w="3529" w:type="dxa"/>
            <w:gridSpan w:val="3"/>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Type d'incapacité</w:t>
            </w:r>
          </w:p>
        </w:tc>
        <w:tc>
          <w:tcPr>
            <w:tcW w:w="937"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Total</w:t>
            </w:r>
          </w:p>
        </w:tc>
        <w:tc>
          <w:tcPr>
            <w:tcW w:w="1423"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Nombre d'affiliés</w:t>
            </w:r>
          </w:p>
        </w:tc>
      </w:tr>
      <w:tr w:rsidR="00000000">
        <w:tblPrEx>
          <w:tblCellMar>
            <w:top w:w="0" w:type="dxa"/>
            <w:bottom w:w="0" w:type="dxa"/>
          </w:tblCellMar>
        </w:tblPrEx>
        <w:trPr>
          <w:cantSplit/>
          <w:jc w:val="center"/>
        </w:trPr>
        <w:tc>
          <w:tcPr>
            <w:tcW w:w="1011" w:type="dxa"/>
            <w:vMerge/>
            <w:tcBorders>
              <w:top w:val="nil"/>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p>
        </w:tc>
        <w:tc>
          <w:tcPr>
            <w:tcW w:w="1207"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Temporaire</w:t>
            </w:r>
          </w:p>
        </w:tc>
        <w:tc>
          <w:tcPr>
            <w:tcW w:w="1248"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Permanente</w:t>
            </w:r>
          </w:p>
        </w:tc>
        <w:tc>
          <w:tcPr>
            <w:tcW w:w="1074"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Décès</w:t>
            </w:r>
          </w:p>
        </w:tc>
        <w:tc>
          <w:tcPr>
            <w:tcW w:w="937" w:type="dxa"/>
            <w:vMerge/>
            <w:tcBorders>
              <w:top w:val="nil"/>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p>
        </w:tc>
        <w:tc>
          <w:tcPr>
            <w:tcW w:w="1423" w:type="dxa"/>
            <w:vMerge/>
            <w:tcBorders>
              <w:top w:val="nil"/>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p>
        </w:tc>
      </w:tr>
      <w:tr w:rsidR="00000000">
        <w:tblPrEx>
          <w:tblCellMar>
            <w:top w:w="0" w:type="dxa"/>
            <w:bottom w:w="0" w:type="dxa"/>
          </w:tblCellMar>
        </w:tblPrEx>
        <w:trPr>
          <w:jc w:val="center"/>
        </w:trPr>
        <w:tc>
          <w:tcPr>
            <w:tcW w:w="1011" w:type="dxa"/>
            <w:tcBorders>
              <w:top w:val="single" w:sz="4" w:space="0" w:color="auto"/>
            </w:tcBorders>
          </w:tcPr>
          <w:p w:rsidR="00000000" w:rsidRDefault="00000000">
            <w:pPr>
              <w:autoSpaceDE w:val="0"/>
              <w:autoSpaceDN w:val="0"/>
              <w:adjustRightInd w:val="0"/>
              <w:spacing w:before="60" w:after="60"/>
              <w:jc w:val="both"/>
              <w:rPr>
                <w:color w:val="000000"/>
                <w:sz w:val="20"/>
                <w:szCs w:val="22"/>
                <w:lang w:val="fr-FR"/>
              </w:rPr>
            </w:pPr>
            <w:r>
              <w:rPr>
                <w:color w:val="000000"/>
                <w:sz w:val="20"/>
                <w:szCs w:val="22"/>
                <w:lang w:val="fr-FR"/>
              </w:rPr>
              <w:t xml:space="preserve">1990 </w:t>
            </w:r>
          </w:p>
        </w:tc>
        <w:tc>
          <w:tcPr>
            <w:tcW w:w="1207" w:type="dxa"/>
            <w:tcBorders>
              <w:top w:val="single" w:sz="4" w:space="0" w:color="auto"/>
            </w:tcBorders>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4 185 </w:t>
            </w:r>
          </w:p>
        </w:tc>
        <w:tc>
          <w:tcPr>
            <w:tcW w:w="1248" w:type="dxa"/>
            <w:tcBorders>
              <w:top w:val="single" w:sz="4" w:space="0" w:color="auto"/>
            </w:tcBorders>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224 </w:t>
            </w:r>
          </w:p>
        </w:tc>
        <w:tc>
          <w:tcPr>
            <w:tcW w:w="1074" w:type="dxa"/>
            <w:tcBorders>
              <w:top w:val="single" w:sz="4" w:space="0" w:color="auto"/>
            </w:tcBorders>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192 </w:t>
            </w:r>
          </w:p>
        </w:tc>
        <w:tc>
          <w:tcPr>
            <w:tcW w:w="937" w:type="dxa"/>
            <w:tcBorders>
              <w:top w:val="single" w:sz="4" w:space="0" w:color="auto"/>
            </w:tcBorders>
          </w:tcPr>
          <w:p w:rsidR="00000000" w:rsidRDefault="00000000">
            <w:pPr>
              <w:autoSpaceDE w:val="0"/>
              <w:autoSpaceDN w:val="0"/>
              <w:adjustRightInd w:val="0"/>
              <w:spacing w:before="60" w:after="60"/>
              <w:ind w:right="325"/>
              <w:jc w:val="right"/>
              <w:rPr>
                <w:color w:val="000000"/>
                <w:sz w:val="20"/>
                <w:szCs w:val="22"/>
                <w:lang w:val="fr-FR"/>
              </w:rPr>
            </w:pPr>
            <w:r>
              <w:rPr>
                <w:color w:val="000000"/>
                <w:sz w:val="20"/>
                <w:szCs w:val="22"/>
                <w:lang w:val="fr-FR"/>
              </w:rPr>
              <w:t xml:space="preserve">4 601 </w:t>
            </w:r>
          </w:p>
        </w:tc>
        <w:tc>
          <w:tcPr>
            <w:tcW w:w="1423" w:type="dxa"/>
            <w:tcBorders>
              <w:top w:val="single" w:sz="4" w:space="0" w:color="auto"/>
            </w:tcBorders>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802 140  </w:t>
            </w:r>
          </w:p>
        </w:tc>
      </w:tr>
      <w:tr w:rsidR="00000000">
        <w:tblPrEx>
          <w:tblCellMar>
            <w:top w:w="0" w:type="dxa"/>
            <w:bottom w:w="0" w:type="dxa"/>
          </w:tblCellMar>
        </w:tblPrEx>
        <w:trPr>
          <w:jc w:val="center"/>
        </w:trPr>
        <w:tc>
          <w:tcPr>
            <w:tcW w:w="1011" w:type="dxa"/>
          </w:tcPr>
          <w:p w:rsidR="00000000" w:rsidRDefault="00000000">
            <w:pPr>
              <w:autoSpaceDE w:val="0"/>
              <w:autoSpaceDN w:val="0"/>
              <w:adjustRightInd w:val="0"/>
              <w:spacing w:before="60" w:after="60"/>
              <w:jc w:val="both"/>
              <w:rPr>
                <w:color w:val="000000"/>
                <w:sz w:val="20"/>
                <w:szCs w:val="22"/>
                <w:lang w:val="fr-FR"/>
              </w:rPr>
            </w:pPr>
            <w:r>
              <w:rPr>
                <w:color w:val="000000"/>
                <w:sz w:val="20"/>
                <w:szCs w:val="22"/>
                <w:lang w:val="fr-FR"/>
              </w:rPr>
              <w:t xml:space="preserve">1991 </w:t>
            </w:r>
          </w:p>
        </w:tc>
        <w:tc>
          <w:tcPr>
            <w:tcW w:w="1207" w:type="dxa"/>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4 216 </w:t>
            </w:r>
          </w:p>
        </w:tc>
        <w:tc>
          <w:tcPr>
            <w:tcW w:w="1248" w:type="dxa"/>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330 </w:t>
            </w:r>
          </w:p>
        </w:tc>
        <w:tc>
          <w:tcPr>
            <w:tcW w:w="1074" w:type="dxa"/>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162 </w:t>
            </w:r>
          </w:p>
        </w:tc>
        <w:tc>
          <w:tcPr>
            <w:tcW w:w="937" w:type="dxa"/>
          </w:tcPr>
          <w:p w:rsidR="00000000" w:rsidRDefault="00000000">
            <w:pPr>
              <w:autoSpaceDE w:val="0"/>
              <w:autoSpaceDN w:val="0"/>
              <w:adjustRightInd w:val="0"/>
              <w:spacing w:before="60" w:after="60"/>
              <w:ind w:right="325"/>
              <w:jc w:val="right"/>
              <w:rPr>
                <w:color w:val="000000"/>
                <w:sz w:val="20"/>
                <w:szCs w:val="22"/>
                <w:lang w:val="fr-FR"/>
              </w:rPr>
            </w:pPr>
            <w:r>
              <w:rPr>
                <w:color w:val="000000"/>
                <w:sz w:val="20"/>
                <w:szCs w:val="22"/>
                <w:lang w:val="fr-FR"/>
              </w:rPr>
              <w:t xml:space="preserve">4 708 </w:t>
            </w:r>
          </w:p>
        </w:tc>
        <w:tc>
          <w:tcPr>
            <w:tcW w:w="1423" w:type="dxa"/>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866 018  </w:t>
            </w:r>
          </w:p>
        </w:tc>
      </w:tr>
      <w:tr w:rsidR="00000000">
        <w:tblPrEx>
          <w:tblCellMar>
            <w:top w:w="0" w:type="dxa"/>
            <w:bottom w:w="0" w:type="dxa"/>
          </w:tblCellMar>
        </w:tblPrEx>
        <w:trPr>
          <w:jc w:val="center"/>
        </w:trPr>
        <w:tc>
          <w:tcPr>
            <w:tcW w:w="1011" w:type="dxa"/>
          </w:tcPr>
          <w:p w:rsidR="00000000" w:rsidRDefault="00000000">
            <w:pPr>
              <w:autoSpaceDE w:val="0"/>
              <w:autoSpaceDN w:val="0"/>
              <w:adjustRightInd w:val="0"/>
              <w:spacing w:before="60" w:after="60"/>
              <w:jc w:val="both"/>
              <w:rPr>
                <w:color w:val="000000"/>
                <w:sz w:val="20"/>
                <w:szCs w:val="22"/>
                <w:lang w:val="fr-FR"/>
              </w:rPr>
            </w:pPr>
            <w:r>
              <w:rPr>
                <w:color w:val="000000"/>
                <w:sz w:val="20"/>
                <w:szCs w:val="22"/>
                <w:lang w:val="fr-FR"/>
              </w:rPr>
              <w:t xml:space="preserve">1992 </w:t>
            </w:r>
          </w:p>
        </w:tc>
        <w:tc>
          <w:tcPr>
            <w:tcW w:w="1207" w:type="dxa"/>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3 333 </w:t>
            </w:r>
          </w:p>
        </w:tc>
        <w:tc>
          <w:tcPr>
            <w:tcW w:w="1248" w:type="dxa"/>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290 </w:t>
            </w:r>
          </w:p>
        </w:tc>
        <w:tc>
          <w:tcPr>
            <w:tcW w:w="1074" w:type="dxa"/>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157 </w:t>
            </w:r>
          </w:p>
        </w:tc>
        <w:tc>
          <w:tcPr>
            <w:tcW w:w="937" w:type="dxa"/>
          </w:tcPr>
          <w:p w:rsidR="00000000" w:rsidRDefault="00000000">
            <w:pPr>
              <w:autoSpaceDE w:val="0"/>
              <w:autoSpaceDN w:val="0"/>
              <w:adjustRightInd w:val="0"/>
              <w:spacing w:before="60" w:after="60"/>
              <w:ind w:right="325"/>
              <w:jc w:val="right"/>
              <w:rPr>
                <w:color w:val="000000"/>
                <w:sz w:val="20"/>
                <w:szCs w:val="22"/>
                <w:lang w:val="fr-FR"/>
              </w:rPr>
            </w:pPr>
            <w:r>
              <w:rPr>
                <w:color w:val="000000"/>
                <w:sz w:val="20"/>
                <w:szCs w:val="22"/>
                <w:lang w:val="fr-FR"/>
              </w:rPr>
              <w:t xml:space="preserve">3 780 </w:t>
            </w:r>
          </w:p>
        </w:tc>
        <w:tc>
          <w:tcPr>
            <w:tcW w:w="1423" w:type="dxa"/>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984 596  </w:t>
            </w:r>
          </w:p>
        </w:tc>
      </w:tr>
      <w:tr w:rsidR="00000000">
        <w:tblPrEx>
          <w:tblCellMar>
            <w:top w:w="0" w:type="dxa"/>
            <w:bottom w:w="0" w:type="dxa"/>
          </w:tblCellMar>
        </w:tblPrEx>
        <w:trPr>
          <w:jc w:val="center"/>
        </w:trPr>
        <w:tc>
          <w:tcPr>
            <w:tcW w:w="1011" w:type="dxa"/>
          </w:tcPr>
          <w:p w:rsidR="00000000" w:rsidRDefault="00000000">
            <w:pPr>
              <w:autoSpaceDE w:val="0"/>
              <w:autoSpaceDN w:val="0"/>
              <w:adjustRightInd w:val="0"/>
              <w:spacing w:before="60" w:after="60"/>
              <w:jc w:val="both"/>
              <w:rPr>
                <w:color w:val="000000"/>
                <w:sz w:val="20"/>
                <w:szCs w:val="22"/>
                <w:lang w:val="fr-FR"/>
              </w:rPr>
            </w:pPr>
            <w:r>
              <w:rPr>
                <w:color w:val="000000"/>
                <w:sz w:val="20"/>
                <w:szCs w:val="22"/>
                <w:lang w:val="fr-FR"/>
              </w:rPr>
              <w:t xml:space="preserve">1993 </w:t>
            </w:r>
          </w:p>
        </w:tc>
        <w:tc>
          <w:tcPr>
            <w:tcW w:w="1207" w:type="dxa"/>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4 337 </w:t>
            </w:r>
          </w:p>
        </w:tc>
        <w:tc>
          <w:tcPr>
            <w:tcW w:w="1248" w:type="dxa"/>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343 </w:t>
            </w:r>
          </w:p>
        </w:tc>
        <w:tc>
          <w:tcPr>
            <w:tcW w:w="1074" w:type="dxa"/>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167 </w:t>
            </w:r>
          </w:p>
        </w:tc>
        <w:tc>
          <w:tcPr>
            <w:tcW w:w="937" w:type="dxa"/>
          </w:tcPr>
          <w:p w:rsidR="00000000" w:rsidRDefault="00000000">
            <w:pPr>
              <w:autoSpaceDE w:val="0"/>
              <w:autoSpaceDN w:val="0"/>
              <w:adjustRightInd w:val="0"/>
              <w:spacing w:before="60" w:after="60"/>
              <w:ind w:right="325"/>
              <w:jc w:val="right"/>
              <w:rPr>
                <w:color w:val="000000"/>
                <w:sz w:val="20"/>
                <w:szCs w:val="22"/>
                <w:lang w:val="fr-FR"/>
              </w:rPr>
            </w:pPr>
            <w:r>
              <w:rPr>
                <w:color w:val="000000"/>
                <w:sz w:val="20"/>
                <w:szCs w:val="22"/>
                <w:lang w:val="fr-FR"/>
              </w:rPr>
              <w:t xml:space="preserve">4 847 </w:t>
            </w:r>
          </w:p>
        </w:tc>
        <w:tc>
          <w:tcPr>
            <w:tcW w:w="1423" w:type="dxa"/>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1 056 198  </w:t>
            </w:r>
          </w:p>
        </w:tc>
      </w:tr>
      <w:tr w:rsidR="00000000">
        <w:tblPrEx>
          <w:tblCellMar>
            <w:top w:w="0" w:type="dxa"/>
            <w:bottom w:w="0" w:type="dxa"/>
          </w:tblCellMar>
        </w:tblPrEx>
        <w:trPr>
          <w:jc w:val="center"/>
        </w:trPr>
        <w:tc>
          <w:tcPr>
            <w:tcW w:w="1011" w:type="dxa"/>
            <w:tcBorders>
              <w:bottom w:val="nil"/>
            </w:tcBorders>
          </w:tcPr>
          <w:p w:rsidR="00000000" w:rsidRDefault="00000000">
            <w:pPr>
              <w:autoSpaceDE w:val="0"/>
              <w:autoSpaceDN w:val="0"/>
              <w:adjustRightInd w:val="0"/>
              <w:spacing w:before="60" w:after="60"/>
              <w:jc w:val="both"/>
              <w:rPr>
                <w:color w:val="000000"/>
                <w:sz w:val="20"/>
                <w:szCs w:val="22"/>
                <w:lang w:val="fr-FR"/>
              </w:rPr>
            </w:pPr>
            <w:r>
              <w:rPr>
                <w:color w:val="000000"/>
                <w:sz w:val="20"/>
                <w:szCs w:val="22"/>
                <w:lang w:val="fr-FR"/>
              </w:rPr>
              <w:t xml:space="preserve">1994 </w:t>
            </w:r>
          </w:p>
        </w:tc>
        <w:tc>
          <w:tcPr>
            <w:tcW w:w="1207" w:type="dxa"/>
            <w:tcBorders>
              <w:bottom w:val="nil"/>
            </w:tcBorders>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4 014 </w:t>
            </w:r>
          </w:p>
        </w:tc>
        <w:tc>
          <w:tcPr>
            <w:tcW w:w="1248" w:type="dxa"/>
            <w:tcBorders>
              <w:bottom w:val="nil"/>
            </w:tcBorders>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368 </w:t>
            </w:r>
          </w:p>
        </w:tc>
        <w:tc>
          <w:tcPr>
            <w:tcW w:w="1074" w:type="dxa"/>
            <w:tcBorders>
              <w:bottom w:val="nil"/>
            </w:tcBorders>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170 </w:t>
            </w:r>
          </w:p>
        </w:tc>
        <w:tc>
          <w:tcPr>
            <w:tcW w:w="937" w:type="dxa"/>
            <w:tcBorders>
              <w:bottom w:val="nil"/>
            </w:tcBorders>
          </w:tcPr>
          <w:p w:rsidR="00000000" w:rsidRDefault="00000000">
            <w:pPr>
              <w:autoSpaceDE w:val="0"/>
              <w:autoSpaceDN w:val="0"/>
              <w:adjustRightInd w:val="0"/>
              <w:spacing w:before="60" w:after="60"/>
              <w:ind w:right="325"/>
              <w:jc w:val="right"/>
              <w:rPr>
                <w:color w:val="000000"/>
                <w:sz w:val="20"/>
                <w:szCs w:val="22"/>
                <w:lang w:val="fr-FR"/>
              </w:rPr>
            </w:pPr>
            <w:r>
              <w:rPr>
                <w:color w:val="000000"/>
                <w:sz w:val="20"/>
                <w:szCs w:val="22"/>
                <w:lang w:val="fr-FR"/>
              </w:rPr>
              <w:t xml:space="preserve">4 552 </w:t>
            </w:r>
          </w:p>
        </w:tc>
        <w:tc>
          <w:tcPr>
            <w:tcW w:w="1423" w:type="dxa"/>
            <w:tcBorders>
              <w:bottom w:val="nil"/>
            </w:tcBorders>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1 060 750  </w:t>
            </w:r>
          </w:p>
        </w:tc>
      </w:tr>
      <w:tr w:rsidR="00000000">
        <w:tblPrEx>
          <w:tblCellMar>
            <w:top w:w="0" w:type="dxa"/>
            <w:bottom w:w="0" w:type="dxa"/>
          </w:tblCellMar>
        </w:tblPrEx>
        <w:trPr>
          <w:jc w:val="center"/>
        </w:trPr>
        <w:tc>
          <w:tcPr>
            <w:tcW w:w="1011" w:type="dxa"/>
            <w:tcBorders>
              <w:top w:val="nil"/>
              <w:bottom w:val="single" w:sz="4" w:space="0" w:color="auto"/>
            </w:tcBorders>
          </w:tcPr>
          <w:p w:rsidR="00000000" w:rsidRDefault="00000000">
            <w:pPr>
              <w:tabs>
                <w:tab w:val="left" w:pos="226"/>
              </w:tabs>
              <w:autoSpaceDE w:val="0"/>
              <w:autoSpaceDN w:val="0"/>
              <w:adjustRightInd w:val="0"/>
              <w:spacing w:before="60" w:after="60"/>
              <w:jc w:val="both"/>
              <w:rPr>
                <w:color w:val="000000"/>
                <w:sz w:val="20"/>
                <w:szCs w:val="22"/>
                <w:lang w:val="fr-FR"/>
              </w:rPr>
            </w:pPr>
            <w:r>
              <w:rPr>
                <w:color w:val="000000"/>
                <w:sz w:val="20"/>
                <w:szCs w:val="22"/>
                <w:lang w:val="fr-FR"/>
              </w:rPr>
              <w:tab/>
              <w:t xml:space="preserve">Totaux </w:t>
            </w:r>
          </w:p>
        </w:tc>
        <w:tc>
          <w:tcPr>
            <w:tcW w:w="1207" w:type="dxa"/>
            <w:tcBorders>
              <w:top w:val="nil"/>
              <w:bottom w:val="single" w:sz="4" w:space="0" w:color="auto"/>
            </w:tcBorders>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20 085 </w:t>
            </w:r>
          </w:p>
        </w:tc>
        <w:tc>
          <w:tcPr>
            <w:tcW w:w="1248" w:type="dxa"/>
            <w:tcBorders>
              <w:top w:val="nil"/>
              <w:bottom w:val="single" w:sz="4" w:space="0" w:color="auto"/>
            </w:tcBorders>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1 555 </w:t>
            </w:r>
          </w:p>
        </w:tc>
        <w:tc>
          <w:tcPr>
            <w:tcW w:w="1074" w:type="dxa"/>
            <w:tcBorders>
              <w:top w:val="nil"/>
              <w:bottom w:val="single" w:sz="4" w:space="0" w:color="auto"/>
            </w:tcBorders>
          </w:tcPr>
          <w:p w:rsidR="00000000" w:rsidRDefault="00000000">
            <w:pPr>
              <w:autoSpaceDE w:val="0"/>
              <w:autoSpaceDN w:val="0"/>
              <w:adjustRightInd w:val="0"/>
              <w:spacing w:before="60" w:after="60"/>
              <w:ind w:right="448"/>
              <w:jc w:val="right"/>
              <w:rPr>
                <w:color w:val="000000"/>
                <w:sz w:val="20"/>
                <w:szCs w:val="22"/>
                <w:lang w:val="fr-FR"/>
              </w:rPr>
            </w:pPr>
            <w:r>
              <w:rPr>
                <w:color w:val="000000"/>
                <w:sz w:val="20"/>
                <w:szCs w:val="22"/>
                <w:lang w:val="fr-FR"/>
              </w:rPr>
              <w:t xml:space="preserve">848 </w:t>
            </w:r>
          </w:p>
        </w:tc>
        <w:tc>
          <w:tcPr>
            <w:tcW w:w="937" w:type="dxa"/>
            <w:tcBorders>
              <w:top w:val="nil"/>
              <w:bottom w:val="single" w:sz="4" w:space="0" w:color="auto"/>
            </w:tcBorders>
          </w:tcPr>
          <w:p w:rsidR="00000000" w:rsidRDefault="00000000">
            <w:pPr>
              <w:autoSpaceDE w:val="0"/>
              <w:autoSpaceDN w:val="0"/>
              <w:adjustRightInd w:val="0"/>
              <w:spacing w:before="60" w:after="60"/>
              <w:ind w:right="325"/>
              <w:jc w:val="right"/>
              <w:rPr>
                <w:color w:val="000000"/>
                <w:sz w:val="20"/>
                <w:szCs w:val="22"/>
                <w:lang w:val="fr-FR"/>
              </w:rPr>
            </w:pPr>
            <w:r>
              <w:rPr>
                <w:color w:val="000000"/>
                <w:sz w:val="20"/>
                <w:szCs w:val="22"/>
                <w:lang w:val="fr-FR"/>
              </w:rPr>
              <w:t xml:space="preserve">22 488  </w:t>
            </w:r>
          </w:p>
        </w:tc>
        <w:tc>
          <w:tcPr>
            <w:tcW w:w="1423" w:type="dxa"/>
            <w:tcBorders>
              <w:top w:val="nil"/>
              <w:bottom w:val="single" w:sz="4" w:space="0" w:color="auto"/>
            </w:tcBorders>
          </w:tcPr>
          <w:p w:rsidR="00000000" w:rsidRDefault="00000000">
            <w:pPr>
              <w:autoSpaceDE w:val="0"/>
              <w:autoSpaceDN w:val="0"/>
              <w:adjustRightInd w:val="0"/>
              <w:spacing w:before="60" w:after="60"/>
              <w:ind w:right="448"/>
              <w:jc w:val="right"/>
              <w:rPr>
                <w:color w:val="000000"/>
                <w:sz w:val="20"/>
                <w:szCs w:val="22"/>
                <w:lang w:val="fr-FR"/>
              </w:rPr>
            </w:pPr>
          </w:p>
        </w:tc>
      </w:tr>
    </w:tbl>
    <w:p w:rsidR="00000000" w:rsidRDefault="00000000">
      <w:pPr>
        <w:tabs>
          <w:tab w:val="left" w:pos="720"/>
        </w:tabs>
        <w:autoSpaceDE w:val="0"/>
        <w:autoSpaceDN w:val="0"/>
        <w:adjustRightInd w:val="0"/>
        <w:spacing w:before="80" w:after="240"/>
        <w:jc w:val="both"/>
        <w:rPr>
          <w:color w:val="000000"/>
          <w:sz w:val="20"/>
          <w:szCs w:val="22"/>
          <w:lang w:val="fr-FR"/>
        </w:rPr>
      </w:pPr>
      <w:r>
        <w:rPr>
          <w:i/>
          <w:iCs/>
          <w:color w:val="000000"/>
          <w:sz w:val="20"/>
          <w:szCs w:val="22"/>
          <w:lang w:val="fr-FR"/>
        </w:rPr>
        <w:tab/>
        <w:t>Source</w:t>
      </w:r>
      <w:r>
        <w:rPr>
          <w:color w:val="000000"/>
          <w:sz w:val="20"/>
          <w:szCs w:val="22"/>
          <w:lang w:val="fr-FR"/>
        </w:rPr>
        <w:t xml:space="preserve"> :  IESS.  </w:t>
      </w:r>
    </w:p>
    <w:p w:rsidR="00000000" w:rsidRDefault="00000000">
      <w:pPr>
        <w:autoSpaceDE w:val="0"/>
        <w:autoSpaceDN w:val="0"/>
        <w:adjustRightInd w:val="0"/>
        <w:jc w:val="center"/>
        <w:rPr>
          <w:color w:val="000000"/>
          <w:sz w:val="20"/>
          <w:szCs w:val="22"/>
          <w:lang w:val="fr-FR"/>
        </w:rPr>
      </w:pPr>
      <w:r>
        <w:rPr>
          <w:b/>
          <w:bCs/>
          <w:color w:val="000000"/>
          <w:sz w:val="20"/>
          <w:szCs w:val="22"/>
          <w:lang w:val="fr-FR"/>
        </w:rPr>
        <w:br w:type="page"/>
        <w:t>Nature des accidents du travail et des maladies professionnelles</w:t>
      </w:r>
    </w:p>
    <w:p w:rsidR="00000000" w:rsidRDefault="00000000">
      <w:pPr>
        <w:autoSpaceDE w:val="0"/>
        <w:autoSpaceDN w:val="0"/>
        <w:adjustRightInd w:val="0"/>
        <w:spacing w:after="120"/>
        <w:jc w:val="center"/>
        <w:rPr>
          <w:i/>
          <w:iCs/>
          <w:color w:val="000000"/>
          <w:sz w:val="20"/>
          <w:szCs w:val="22"/>
          <w:lang w:val="fr-FR"/>
        </w:rPr>
      </w:pPr>
      <w:r>
        <w:rPr>
          <w:i/>
          <w:iCs/>
          <w:color w:val="000000"/>
          <w:sz w:val="20"/>
          <w:szCs w:val="22"/>
          <w:lang w:val="fr-FR"/>
        </w:rPr>
        <w:t>(1989-1992)</w:t>
      </w:r>
    </w:p>
    <w:tbl>
      <w:tblPr>
        <w:tblW w:w="9299" w:type="dxa"/>
        <w:jc w:val="center"/>
        <w:tblBorders>
          <w:top w:val="single" w:sz="4" w:space="0" w:color="auto"/>
        </w:tblBorders>
        <w:tblLayout w:type="fixed"/>
        <w:tblCellMar>
          <w:left w:w="40" w:type="dxa"/>
          <w:right w:w="40" w:type="dxa"/>
        </w:tblCellMar>
        <w:tblLook w:val="00AF" w:firstRow="1" w:lastRow="0" w:firstColumn="1" w:lastColumn="0" w:noHBand="0" w:noVBand="0"/>
      </w:tblPr>
      <w:tblGrid>
        <w:gridCol w:w="2471"/>
        <w:gridCol w:w="565"/>
        <w:gridCol w:w="1058"/>
        <w:gridCol w:w="1058"/>
        <w:gridCol w:w="1091"/>
        <w:gridCol w:w="1120"/>
        <w:gridCol w:w="882"/>
        <w:gridCol w:w="1054"/>
      </w:tblGrid>
      <w:tr w:rsidR="00000000">
        <w:tblPrEx>
          <w:tblCellMar>
            <w:top w:w="0" w:type="dxa"/>
            <w:bottom w:w="0" w:type="dxa"/>
          </w:tblCellMar>
        </w:tblPrEx>
        <w:trPr>
          <w:cantSplit/>
          <w:jc w:val="center"/>
        </w:trPr>
        <w:tc>
          <w:tcPr>
            <w:tcW w:w="2471"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i/>
                <w:iCs/>
                <w:sz w:val="19"/>
                <w:szCs w:val="22"/>
                <w:lang w:val="fr-FR"/>
              </w:rPr>
            </w:pPr>
            <w:r>
              <w:rPr>
                <w:i/>
                <w:iCs/>
                <w:color w:val="000000"/>
                <w:sz w:val="19"/>
                <w:szCs w:val="22"/>
                <w:lang w:val="fr-FR"/>
              </w:rPr>
              <w:t>L</w:t>
            </w:r>
            <w:r>
              <w:rPr>
                <w:i/>
                <w:iCs/>
                <w:sz w:val="19"/>
                <w:szCs w:val="22"/>
                <w:lang w:val="fr-FR"/>
              </w:rPr>
              <w:t>ésions et maladies</w:t>
            </w:r>
          </w:p>
        </w:tc>
        <w:tc>
          <w:tcPr>
            <w:tcW w:w="4892" w:type="dxa"/>
            <w:gridSpan w:val="5"/>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i/>
                <w:iCs/>
                <w:sz w:val="19"/>
                <w:szCs w:val="22"/>
                <w:lang w:val="fr-FR"/>
              </w:rPr>
            </w:pPr>
            <w:r>
              <w:rPr>
                <w:i/>
                <w:iCs/>
                <w:sz w:val="19"/>
                <w:szCs w:val="22"/>
                <w:lang w:val="fr-FR"/>
              </w:rPr>
              <w:t>Type d'incapacité</w:t>
            </w:r>
          </w:p>
        </w:tc>
        <w:tc>
          <w:tcPr>
            <w:tcW w:w="1936" w:type="dxa"/>
            <w:gridSpan w:val="2"/>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i/>
                <w:iCs/>
                <w:sz w:val="19"/>
                <w:szCs w:val="22"/>
                <w:lang w:val="fr-FR"/>
              </w:rPr>
            </w:pPr>
            <w:r>
              <w:rPr>
                <w:i/>
                <w:iCs/>
                <w:sz w:val="19"/>
                <w:szCs w:val="22"/>
                <w:lang w:val="fr-FR"/>
              </w:rPr>
              <w:t>Totaux</w:t>
            </w:r>
          </w:p>
        </w:tc>
      </w:tr>
      <w:tr w:rsidR="00000000">
        <w:tblPrEx>
          <w:tblCellMar>
            <w:top w:w="0" w:type="dxa"/>
            <w:bottom w:w="0" w:type="dxa"/>
          </w:tblCellMar>
        </w:tblPrEx>
        <w:trPr>
          <w:cantSplit/>
          <w:jc w:val="center"/>
        </w:trPr>
        <w:tc>
          <w:tcPr>
            <w:tcW w:w="2471" w:type="dxa"/>
            <w:vMerge/>
            <w:tcBorders>
              <w:top w:val="nil"/>
              <w:bottom w:val="single" w:sz="4" w:space="0" w:color="auto"/>
            </w:tcBorders>
            <w:vAlign w:val="center"/>
          </w:tcPr>
          <w:p w:rsidR="00000000" w:rsidRDefault="00000000">
            <w:pPr>
              <w:autoSpaceDE w:val="0"/>
              <w:autoSpaceDN w:val="0"/>
              <w:adjustRightInd w:val="0"/>
              <w:spacing w:before="40" w:after="40"/>
              <w:jc w:val="center"/>
              <w:rPr>
                <w:i/>
                <w:iCs/>
                <w:sz w:val="19"/>
                <w:szCs w:val="22"/>
                <w:lang w:val="fr-FR"/>
              </w:rPr>
            </w:pPr>
          </w:p>
        </w:tc>
        <w:tc>
          <w:tcPr>
            <w:tcW w:w="565"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i/>
                <w:iCs/>
                <w:sz w:val="19"/>
                <w:szCs w:val="22"/>
                <w:lang w:val="fr-FR"/>
              </w:rPr>
            </w:pPr>
            <w:r>
              <w:rPr>
                <w:i/>
                <w:iCs/>
                <w:sz w:val="19"/>
                <w:szCs w:val="22"/>
                <w:lang w:val="fr-FR"/>
              </w:rPr>
              <w:t>Décès</w:t>
            </w:r>
          </w:p>
        </w:tc>
        <w:tc>
          <w:tcPr>
            <w:tcW w:w="1058"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i/>
                <w:iCs/>
                <w:sz w:val="19"/>
                <w:szCs w:val="22"/>
                <w:lang w:val="fr-FR"/>
              </w:rPr>
            </w:pPr>
            <w:r>
              <w:rPr>
                <w:i/>
                <w:iCs/>
                <w:sz w:val="19"/>
                <w:szCs w:val="22"/>
                <w:lang w:val="fr-FR"/>
              </w:rPr>
              <w:t>Absolue permanente</w:t>
            </w:r>
          </w:p>
        </w:tc>
        <w:tc>
          <w:tcPr>
            <w:tcW w:w="1058"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i/>
                <w:iCs/>
                <w:sz w:val="19"/>
                <w:szCs w:val="22"/>
                <w:lang w:val="fr-FR"/>
              </w:rPr>
            </w:pPr>
            <w:r>
              <w:rPr>
                <w:i/>
                <w:iCs/>
                <w:sz w:val="19"/>
                <w:szCs w:val="22"/>
                <w:lang w:val="fr-FR"/>
              </w:rPr>
              <w:t>Totale permanente</w:t>
            </w:r>
          </w:p>
        </w:tc>
        <w:tc>
          <w:tcPr>
            <w:tcW w:w="1091"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i/>
                <w:iCs/>
                <w:sz w:val="19"/>
                <w:szCs w:val="22"/>
                <w:lang w:val="fr-FR"/>
              </w:rPr>
            </w:pPr>
            <w:r>
              <w:rPr>
                <w:i/>
                <w:iCs/>
                <w:sz w:val="19"/>
                <w:szCs w:val="22"/>
                <w:lang w:val="fr-FR"/>
              </w:rPr>
              <w:t>Partielle permanente</w:t>
            </w:r>
          </w:p>
        </w:tc>
        <w:tc>
          <w:tcPr>
            <w:tcW w:w="1120"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i/>
                <w:iCs/>
                <w:sz w:val="19"/>
                <w:szCs w:val="22"/>
                <w:lang w:val="fr-FR"/>
              </w:rPr>
            </w:pPr>
            <w:r>
              <w:rPr>
                <w:i/>
                <w:iCs/>
                <w:sz w:val="19"/>
                <w:szCs w:val="22"/>
                <w:lang w:val="fr-FR"/>
              </w:rPr>
              <w:t>Temporaire</w:t>
            </w:r>
          </w:p>
        </w:tc>
        <w:tc>
          <w:tcPr>
            <w:tcW w:w="882"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i/>
                <w:iCs/>
                <w:sz w:val="19"/>
                <w:szCs w:val="22"/>
                <w:lang w:val="fr-FR"/>
              </w:rPr>
            </w:pPr>
            <w:r>
              <w:rPr>
                <w:i/>
                <w:iCs/>
                <w:sz w:val="19"/>
                <w:szCs w:val="22"/>
                <w:lang w:val="fr-FR"/>
              </w:rPr>
              <w:t>Nombre</w:t>
            </w:r>
          </w:p>
        </w:tc>
        <w:tc>
          <w:tcPr>
            <w:tcW w:w="1054"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i/>
                <w:iCs/>
                <w:sz w:val="19"/>
                <w:szCs w:val="22"/>
                <w:lang w:val="fr-FR"/>
              </w:rPr>
            </w:pPr>
            <w:r>
              <w:rPr>
                <w:i/>
                <w:iCs/>
                <w:sz w:val="19"/>
                <w:szCs w:val="22"/>
                <w:lang w:val="fr-FR"/>
              </w:rPr>
              <w:t>Pourcentage</w:t>
            </w:r>
          </w:p>
        </w:tc>
      </w:tr>
      <w:tr w:rsidR="00000000">
        <w:tblPrEx>
          <w:tblCellMar>
            <w:top w:w="0" w:type="dxa"/>
            <w:bottom w:w="0" w:type="dxa"/>
          </w:tblCellMar>
        </w:tblPrEx>
        <w:trPr>
          <w:jc w:val="center"/>
        </w:trPr>
        <w:tc>
          <w:tcPr>
            <w:tcW w:w="2471" w:type="dxa"/>
            <w:tcBorders>
              <w:top w:val="single" w:sz="4" w:space="0" w:color="auto"/>
            </w:tcBorders>
          </w:tcPr>
          <w:p w:rsidR="00000000" w:rsidRDefault="00000000">
            <w:pPr>
              <w:autoSpaceDE w:val="0"/>
              <w:autoSpaceDN w:val="0"/>
              <w:adjustRightInd w:val="0"/>
              <w:spacing w:before="80" w:after="40"/>
              <w:jc w:val="both"/>
              <w:rPr>
                <w:sz w:val="20"/>
                <w:szCs w:val="22"/>
                <w:lang w:val="fr-FR"/>
              </w:rPr>
            </w:pPr>
            <w:r>
              <w:rPr>
                <w:sz w:val="20"/>
                <w:szCs w:val="22"/>
                <w:lang w:val="fr-FR"/>
              </w:rPr>
              <w:t xml:space="preserve">Fractures </w:t>
            </w:r>
          </w:p>
        </w:tc>
        <w:tc>
          <w:tcPr>
            <w:tcW w:w="565" w:type="dxa"/>
            <w:tcBorders>
              <w:top w:val="single" w:sz="4" w:space="0" w:color="auto"/>
            </w:tcBorders>
          </w:tcPr>
          <w:p w:rsidR="00000000" w:rsidRDefault="00000000">
            <w:pPr>
              <w:autoSpaceDE w:val="0"/>
              <w:autoSpaceDN w:val="0"/>
              <w:adjustRightInd w:val="0"/>
              <w:spacing w:before="80" w:after="40"/>
              <w:ind w:right="57"/>
              <w:jc w:val="right"/>
              <w:rPr>
                <w:sz w:val="20"/>
                <w:szCs w:val="22"/>
                <w:lang w:val="fr-FR"/>
              </w:rPr>
            </w:pPr>
            <w:r>
              <w:rPr>
                <w:sz w:val="20"/>
                <w:szCs w:val="22"/>
                <w:lang w:val="fr-FR"/>
              </w:rPr>
              <w:t xml:space="preserve">157 </w:t>
            </w:r>
          </w:p>
        </w:tc>
        <w:tc>
          <w:tcPr>
            <w:tcW w:w="1058" w:type="dxa"/>
            <w:tcBorders>
              <w:top w:val="single" w:sz="4" w:space="0" w:color="auto"/>
            </w:tcBorders>
          </w:tcPr>
          <w:p w:rsidR="00000000" w:rsidRDefault="00000000">
            <w:pPr>
              <w:autoSpaceDE w:val="0"/>
              <w:autoSpaceDN w:val="0"/>
              <w:adjustRightInd w:val="0"/>
              <w:spacing w:before="80" w:after="40"/>
              <w:ind w:right="454"/>
              <w:jc w:val="right"/>
              <w:rPr>
                <w:sz w:val="20"/>
                <w:szCs w:val="22"/>
                <w:lang w:val="fr-FR"/>
              </w:rPr>
            </w:pPr>
            <w:r>
              <w:rPr>
                <w:sz w:val="20"/>
                <w:szCs w:val="22"/>
                <w:lang w:val="fr-FR"/>
              </w:rPr>
              <w:t xml:space="preserve">17 </w:t>
            </w:r>
          </w:p>
        </w:tc>
        <w:tc>
          <w:tcPr>
            <w:tcW w:w="1058" w:type="dxa"/>
            <w:tcBorders>
              <w:top w:val="single" w:sz="4" w:space="0" w:color="auto"/>
            </w:tcBorders>
          </w:tcPr>
          <w:p w:rsidR="00000000" w:rsidRDefault="00000000">
            <w:pPr>
              <w:autoSpaceDE w:val="0"/>
              <w:autoSpaceDN w:val="0"/>
              <w:adjustRightInd w:val="0"/>
              <w:spacing w:before="80" w:after="40"/>
              <w:ind w:right="454"/>
              <w:jc w:val="right"/>
              <w:rPr>
                <w:sz w:val="20"/>
                <w:szCs w:val="22"/>
                <w:lang w:val="fr-FR"/>
              </w:rPr>
            </w:pPr>
            <w:r>
              <w:rPr>
                <w:sz w:val="20"/>
                <w:szCs w:val="22"/>
                <w:lang w:val="fr-FR"/>
              </w:rPr>
              <w:t xml:space="preserve">4 </w:t>
            </w:r>
          </w:p>
        </w:tc>
        <w:tc>
          <w:tcPr>
            <w:tcW w:w="1091" w:type="dxa"/>
            <w:tcBorders>
              <w:top w:val="single" w:sz="4" w:space="0" w:color="auto"/>
            </w:tcBorders>
          </w:tcPr>
          <w:p w:rsidR="00000000" w:rsidRDefault="00000000">
            <w:pPr>
              <w:autoSpaceDE w:val="0"/>
              <w:autoSpaceDN w:val="0"/>
              <w:adjustRightInd w:val="0"/>
              <w:spacing w:before="80" w:after="40"/>
              <w:ind w:right="454"/>
              <w:jc w:val="right"/>
              <w:rPr>
                <w:sz w:val="20"/>
                <w:szCs w:val="22"/>
                <w:lang w:val="fr-FR"/>
              </w:rPr>
            </w:pPr>
            <w:r>
              <w:rPr>
                <w:sz w:val="20"/>
                <w:szCs w:val="22"/>
                <w:lang w:val="fr-FR"/>
              </w:rPr>
              <w:t xml:space="preserve">103 </w:t>
            </w:r>
          </w:p>
        </w:tc>
        <w:tc>
          <w:tcPr>
            <w:tcW w:w="1120" w:type="dxa"/>
            <w:tcBorders>
              <w:top w:val="single" w:sz="4" w:space="0" w:color="auto"/>
            </w:tcBorders>
          </w:tcPr>
          <w:p w:rsidR="00000000" w:rsidRDefault="00000000">
            <w:pPr>
              <w:autoSpaceDE w:val="0"/>
              <w:autoSpaceDN w:val="0"/>
              <w:adjustRightInd w:val="0"/>
              <w:spacing w:before="80" w:after="40"/>
              <w:ind w:right="340"/>
              <w:jc w:val="right"/>
              <w:rPr>
                <w:sz w:val="20"/>
                <w:szCs w:val="22"/>
                <w:lang w:val="fr-FR"/>
              </w:rPr>
            </w:pPr>
            <w:r>
              <w:rPr>
                <w:sz w:val="20"/>
                <w:szCs w:val="22"/>
                <w:lang w:val="fr-FR"/>
              </w:rPr>
              <w:t xml:space="preserve">2 811 </w:t>
            </w:r>
          </w:p>
        </w:tc>
        <w:tc>
          <w:tcPr>
            <w:tcW w:w="882" w:type="dxa"/>
            <w:tcBorders>
              <w:top w:val="single" w:sz="4" w:space="0" w:color="auto"/>
            </w:tcBorders>
          </w:tcPr>
          <w:p w:rsidR="00000000" w:rsidRDefault="00000000">
            <w:pPr>
              <w:autoSpaceDE w:val="0"/>
              <w:autoSpaceDN w:val="0"/>
              <w:adjustRightInd w:val="0"/>
              <w:spacing w:before="80" w:after="40"/>
              <w:ind w:right="227"/>
              <w:jc w:val="right"/>
              <w:rPr>
                <w:sz w:val="20"/>
                <w:szCs w:val="22"/>
                <w:lang w:val="fr-FR"/>
              </w:rPr>
            </w:pPr>
            <w:r>
              <w:rPr>
                <w:sz w:val="20"/>
                <w:szCs w:val="22"/>
                <w:lang w:val="fr-FR"/>
              </w:rPr>
              <w:t xml:space="preserve">3 092 </w:t>
            </w:r>
          </w:p>
        </w:tc>
        <w:tc>
          <w:tcPr>
            <w:tcW w:w="1054" w:type="dxa"/>
            <w:tcBorders>
              <w:top w:val="single" w:sz="4" w:space="0" w:color="auto"/>
            </w:tcBorders>
            <w:vAlign w:val="center"/>
          </w:tcPr>
          <w:p w:rsidR="00000000" w:rsidRDefault="00000000">
            <w:pPr>
              <w:tabs>
                <w:tab w:val="decimal" w:pos="478"/>
              </w:tabs>
              <w:autoSpaceDE w:val="0"/>
              <w:autoSpaceDN w:val="0"/>
              <w:adjustRightInd w:val="0"/>
              <w:spacing w:before="80" w:after="40"/>
              <w:rPr>
                <w:sz w:val="20"/>
                <w:szCs w:val="22"/>
                <w:lang w:val="fr-FR"/>
              </w:rPr>
            </w:pPr>
            <w:r>
              <w:rPr>
                <w:sz w:val="20"/>
                <w:szCs w:val="22"/>
                <w:lang w:val="fr-FR"/>
              </w:rPr>
              <w:t xml:space="preserve">0,00  </w:t>
            </w:r>
          </w:p>
        </w:tc>
      </w:tr>
      <w:tr w:rsidR="00000000">
        <w:tblPrEx>
          <w:tblCellMar>
            <w:top w:w="0" w:type="dxa"/>
            <w:bottom w:w="0" w:type="dxa"/>
          </w:tblCellMar>
        </w:tblPrEx>
        <w:trPr>
          <w:jc w:val="center"/>
        </w:trPr>
        <w:tc>
          <w:tcPr>
            <w:tcW w:w="2471" w:type="dxa"/>
          </w:tcPr>
          <w:p w:rsidR="00000000" w:rsidRDefault="00000000">
            <w:pPr>
              <w:autoSpaceDE w:val="0"/>
              <w:autoSpaceDN w:val="0"/>
              <w:adjustRightInd w:val="0"/>
              <w:spacing w:before="40" w:after="40"/>
              <w:jc w:val="both"/>
              <w:rPr>
                <w:sz w:val="20"/>
                <w:szCs w:val="22"/>
                <w:lang w:val="fr-FR"/>
              </w:rPr>
            </w:pPr>
            <w:r>
              <w:rPr>
                <w:sz w:val="20"/>
                <w:szCs w:val="22"/>
                <w:lang w:val="fr-FR"/>
              </w:rPr>
              <w:t xml:space="preserve">Luxations </w:t>
            </w:r>
          </w:p>
        </w:tc>
        <w:tc>
          <w:tcPr>
            <w:tcW w:w="565" w:type="dxa"/>
          </w:tcPr>
          <w:p w:rsidR="00000000" w:rsidRDefault="00000000">
            <w:pPr>
              <w:autoSpaceDE w:val="0"/>
              <w:autoSpaceDN w:val="0"/>
              <w:adjustRightInd w:val="0"/>
              <w:spacing w:before="40" w:after="40"/>
              <w:ind w:right="57"/>
              <w:jc w:val="right"/>
              <w:rPr>
                <w:sz w:val="20"/>
                <w:szCs w:val="22"/>
                <w:lang w:val="fr-FR"/>
              </w:rPr>
            </w:pPr>
            <w:r>
              <w:rPr>
                <w:sz w:val="20"/>
                <w:szCs w:val="22"/>
                <w:lang w:val="fr-FR"/>
              </w:rPr>
              <w:t xml:space="preserve">0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0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0 </w:t>
            </w:r>
          </w:p>
        </w:tc>
        <w:tc>
          <w:tcPr>
            <w:tcW w:w="1091"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6 </w:t>
            </w:r>
          </w:p>
        </w:tc>
        <w:tc>
          <w:tcPr>
            <w:tcW w:w="1120" w:type="dxa"/>
          </w:tcPr>
          <w:p w:rsidR="00000000" w:rsidRDefault="00000000">
            <w:pPr>
              <w:autoSpaceDE w:val="0"/>
              <w:autoSpaceDN w:val="0"/>
              <w:adjustRightInd w:val="0"/>
              <w:spacing w:before="40" w:after="40"/>
              <w:ind w:right="340"/>
              <w:jc w:val="right"/>
              <w:rPr>
                <w:sz w:val="20"/>
                <w:szCs w:val="22"/>
                <w:lang w:val="fr-FR"/>
              </w:rPr>
            </w:pPr>
            <w:r>
              <w:rPr>
                <w:sz w:val="20"/>
                <w:szCs w:val="22"/>
                <w:lang w:val="fr-FR"/>
              </w:rPr>
              <w:t xml:space="preserve">248 </w:t>
            </w:r>
          </w:p>
        </w:tc>
        <w:tc>
          <w:tcPr>
            <w:tcW w:w="882" w:type="dxa"/>
          </w:tcPr>
          <w:p w:rsidR="00000000" w:rsidRDefault="00000000">
            <w:pPr>
              <w:autoSpaceDE w:val="0"/>
              <w:autoSpaceDN w:val="0"/>
              <w:adjustRightInd w:val="0"/>
              <w:spacing w:before="40" w:after="40"/>
              <w:ind w:right="227"/>
              <w:jc w:val="right"/>
              <w:rPr>
                <w:sz w:val="20"/>
                <w:szCs w:val="22"/>
                <w:lang w:val="fr-FR"/>
              </w:rPr>
            </w:pPr>
            <w:r>
              <w:rPr>
                <w:sz w:val="20"/>
                <w:szCs w:val="22"/>
                <w:lang w:val="fr-FR"/>
              </w:rPr>
              <w:t xml:space="preserve">254 </w:t>
            </w:r>
          </w:p>
        </w:tc>
        <w:tc>
          <w:tcPr>
            <w:tcW w:w="1054" w:type="dxa"/>
            <w:vAlign w:val="center"/>
          </w:tcPr>
          <w:p w:rsidR="00000000" w:rsidRDefault="00000000">
            <w:pPr>
              <w:tabs>
                <w:tab w:val="decimal" w:pos="478"/>
              </w:tabs>
              <w:autoSpaceDE w:val="0"/>
              <w:autoSpaceDN w:val="0"/>
              <w:adjustRightInd w:val="0"/>
              <w:spacing w:before="40" w:after="40"/>
              <w:rPr>
                <w:sz w:val="20"/>
                <w:szCs w:val="22"/>
                <w:lang w:val="fr-FR"/>
              </w:rPr>
            </w:pPr>
            <w:r>
              <w:rPr>
                <w:sz w:val="20"/>
                <w:szCs w:val="22"/>
                <w:lang w:val="fr-FR"/>
              </w:rPr>
              <w:t xml:space="preserve">1,38  </w:t>
            </w:r>
          </w:p>
        </w:tc>
      </w:tr>
      <w:tr w:rsidR="00000000">
        <w:tblPrEx>
          <w:tblCellMar>
            <w:top w:w="0" w:type="dxa"/>
            <w:bottom w:w="0" w:type="dxa"/>
          </w:tblCellMar>
        </w:tblPrEx>
        <w:trPr>
          <w:jc w:val="center"/>
        </w:trPr>
        <w:tc>
          <w:tcPr>
            <w:tcW w:w="2471" w:type="dxa"/>
          </w:tcPr>
          <w:p w:rsidR="00000000" w:rsidRDefault="00000000">
            <w:pPr>
              <w:autoSpaceDE w:val="0"/>
              <w:autoSpaceDN w:val="0"/>
              <w:adjustRightInd w:val="0"/>
              <w:spacing w:before="40" w:after="40"/>
              <w:jc w:val="both"/>
              <w:rPr>
                <w:sz w:val="20"/>
                <w:szCs w:val="22"/>
                <w:lang w:val="fr-FR"/>
              </w:rPr>
            </w:pPr>
            <w:r>
              <w:rPr>
                <w:sz w:val="20"/>
                <w:szCs w:val="22"/>
                <w:lang w:val="fr-FR"/>
              </w:rPr>
              <w:t>En torses et foulures</w:t>
            </w:r>
          </w:p>
        </w:tc>
        <w:tc>
          <w:tcPr>
            <w:tcW w:w="565" w:type="dxa"/>
          </w:tcPr>
          <w:p w:rsidR="00000000" w:rsidRDefault="00000000">
            <w:pPr>
              <w:autoSpaceDE w:val="0"/>
              <w:autoSpaceDN w:val="0"/>
              <w:adjustRightInd w:val="0"/>
              <w:spacing w:before="40" w:after="40"/>
              <w:ind w:right="57"/>
              <w:jc w:val="right"/>
              <w:rPr>
                <w:sz w:val="20"/>
                <w:szCs w:val="22"/>
                <w:lang w:val="fr-FR"/>
              </w:rPr>
            </w:pPr>
            <w:r>
              <w:rPr>
                <w:sz w:val="20"/>
                <w:szCs w:val="22"/>
                <w:lang w:val="fr-FR"/>
              </w:rPr>
              <w:t xml:space="preserve">0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0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1 </w:t>
            </w:r>
          </w:p>
        </w:tc>
        <w:tc>
          <w:tcPr>
            <w:tcW w:w="1091"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5 </w:t>
            </w:r>
          </w:p>
        </w:tc>
        <w:tc>
          <w:tcPr>
            <w:tcW w:w="1120" w:type="dxa"/>
          </w:tcPr>
          <w:p w:rsidR="00000000" w:rsidRDefault="00000000">
            <w:pPr>
              <w:autoSpaceDE w:val="0"/>
              <w:autoSpaceDN w:val="0"/>
              <w:adjustRightInd w:val="0"/>
              <w:spacing w:before="40" w:after="40"/>
              <w:ind w:right="340"/>
              <w:jc w:val="right"/>
              <w:rPr>
                <w:sz w:val="20"/>
                <w:szCs w:val="22"/>
                <w:lang w:val="fr-FR"/>
              </w:rPr>
            </w:pPr>
            <w:r>
              <w:rPr>
                <w:sz w:val="20"/>
                <w:szCs w:val="22"/>
                <w:lang w:val="fr-FR"/>
              </w:rPr>
              <w:t xml:space="preserve">1 127 </w:t>
            </w:r>
          </w:p>
        </w:tc>
        <w:tc>
          <w:tcPr>
            <w:tcW w:w="882" w:type="dxa"/>
          </w:tcPr>
          <w:p w:rsidR="00000000" w:rsidRDefault="00000000">
            <w:pPr>
              <w:autoSpaceDE w:val="0"/>
              <w:autoSpaceDN w:val="0"/>
              <w:adjustRightInd w:val="0"/>
              <w:spacing w:before="40" w:after="40"/>
              <w:ind w:right="227"/>
              <w:jc w:val="right"/>
              <w:rPr>
                <w:sz w:val="20"/>
                <w:szCs w:val="22"/>
                <w:lang w:val="fr-FR"/>
              </w:rPr>
            </w:pPr>
            <w:r>
              <w:rPr>
                <w:sz w:val="20"/>
                <w:szCs w:val="22"/>
                <w:lang w:val="fr-FR"/>
              </w:rPr>
              <w:t xml:space="preserve">1 133 </w:t>
            </w:r>
          </w:p>
        </w:tc>
        <w:tc>
          <w:tcPr>
            <w:tcW w:w="1054" w:type="dxa"/>
            <w:vAlign w:val="center"/>
          </w:tcPr>
          <w:p w:rsidR="00000000" w:rsidRDefault="00000000">
            <w:pPr>
              <w:tabs>
                <w:tab w:val="decimal" w:pos="478"/>
              </w:tabs>
              <w:autoSpaceDE w:val="0"/>
              <w:autoSpaceDN w:val="0"/>
              <w:adjustRightInd w:val="0"/>
              <w:spacing w:before="40" w:after="40"/>
              <w:rPr>
                <w:sz w:val="20"/>
                <w:szCs w:val="22"/>
                <w:lang w:val="fr-FR"/>
              </w:rPr>
            </w:pPr>
            <w:r>
              <w:rPr>
                <w:sz w:val="20"/>
                <w:szCs w:val="22"/>
                <w:lang w:val="fr-FR"/>
              </w:rPr>
              <w:t xml:space="preserve">6,14  </w:t>
            </w:r>
          </w:p>
        </w:tc>
      </w:tr>
      <w:tr w:rsidR="00000000">
        <w:tblPrEx>
          <w:tblCellMar>
            <w:top w:w="0" w:type="dxa"/>
            <w:bottom w:w="0" w:type="dxa"/>
          </w:tblCellMar>
        </w:tblPrEx>
        <w:trPr>
          <w:jc w:val="center"/>
        </w:trPr>
        <w:tc>
          <w:tcPr>
            <w:tcW w:w="2471" w:type="dxa"/>
          </w:tcPr>
          <w:p w:rsidR="00000000" w:rsidRDefault="00000000">
            <w:pPr>
              <w:autoSpaceDE w:val="0"/>
              <w:autoSpaceDN w:val="0"/>
              <w:adjustRightInd w:val="0"/>
              <w:spacing w:before="40" w:after="40"/>
              <w:rPr>
                <w:sz w:val="20"/>
                <w:szCs w:val="22"/>
                <w:lang w:val="fr-FR"/>
              </w:rPr>
            </w:pPr>
            <w:r>
              <w:rPr>
                <w:sz w:val="20"/>
                <w:szCs w:val="22"/>
                <w:lang w:val="fr-FR"/>
              </w:rPr>
              <w:t xml:space="preserve">Chocs et traumatismes internes </w:t>
            </w:r>
          </w:p>
        </w:tc>
        <w:tc>
          <w:tcPr>
            <w:tcW w:w="565" w:type="dxa"/>
            <w:vAlign w:val="center"/>
          </w:tcPr>
          <w:p w:rsidR="00000000" w:rsidRDefault="00000000">
            <w:pPr>
              <w:autoSpaceDE w:val="0"/>
              <w:autoSpaceDN w:val="0"/>
              <w:adjustRightInd w:val="0"/>
              <w:spacing w:before="40" w:after="40"/>
              <w:ind w:right="57"/>
              <w:jc w:val="right"/>
              <w:rPr>
                <w:sz w:val="20"/>
                <w:szCs w:val="22"/>
                <w:lang w:val="fr-FR"/>
              </w:rPr>
            </w:pPr>
            <w:r>
              <w:rPr>
                <w:sz w:val="20"/>
                <w:szCs w:val="22"/>
                <w:lang w:val="fr-FR"/>
              </w:rPr>
              <w:t xml:space="preserve">349 </w:t>
            </w:r>
          </w:p>
        </w:tc>
        <w:tc>
          <w:tcPr>
            <w:tcW w:w="1058" w:type="dxa"/>
            <w:vAlign w:val="center"/>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20 </w:t>
            </w:r>
          </w:p>
        </w:tc>
        <w:tc>
          <w:tcPr>
            <w:tcW w:w="1058" w:type="dxa"/>
            <w:vAlign w:val="center"/>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22 </w:t>
            </w:r>
          </w:p>
        </w:tc>
        <w:tc>
          <w:tcPr>
            <w:tcW w:w="1091" w:type="dxa"/>
            <w:vAlign w:val="center"/>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111 </w:t>
            </w:r>
          </w:p>
        </w:tc>
        <w:tc>
          <w:tcPr>
            <w:tcW w:w="1120" w:type="dxa"/>
            <w:vAlign w:val="center"/>
          </w:tcPr>
          <w:p w:rsidR="00000000" w:rsidRDefault="00000000">
            <w:pPr>
              <w:autoSpaceDE w:val="0"/>
              <w:autoSpaceDN w:val="0"/>
              <w:adjustRightInd w:val="0"/>
              <w:spacing w:before="40" w:after="40"/>
              <w:ind w:right="340"/>
              <w:jc w:val="right"/>
              <w:rPr>
                <w:sz w:val="20"/>
                <w:szCs w:val="22"/>
                <w:lang w:val="fr-FR"/>
              </w:rPr>
            </w:pPr>
            <w:r>
              <w:rPr>
                <w:sz w:val="20"/>
                <w:szCs w:val="22"/>
                <w:lang w:val="fr-FR"/>
              </w:rPr>
              <w:t xml:space="preserve">225 </w:t>
            </w:r>
          </w:p>
        </w:tc>
        <w:tc>
          <w:tcPr>
            <w:tcW w:w="882" w:type="dxa"/>
            <w:vAlign w:val="center"/>
          </w:tcPr>
          <w:p w:rsidR="00000000" w:rsidRDefault="00000000">
            <w:pPr>
              <w:autoSpaceDE w:val="0"/>
              <w:autoSpaceDN w:val="0"/>
              <w:adjustRightInd w:val="0"/>
              <w:spacing w:before="40" w:after="40"/>
              <w:ind w:right="227"/>
              <w:jc w:val="right"/>
              <w:rPr>
                <w:sz w:val="20"/>
                <w:szCs w:val="22"/>
                <w:lang w:val="fr-FR"/>
              </w:rPr>
            </w:pPr>
            <w:r>
              <w:rPr>
                <w:sz w:val="20"/>
                <w:szCs w:val="22"/>
                <w:lang w:val="fr-FR"/>
              </w:rPr>
              <w:t xml:space="preserve">727 </w:t>
            </w:r>
          </w:p>
        </w:tc>
        <w:tc>
          <w:tcPr>
            <w:tcW w:w="1054" w:type="dxa"/>
            <w:vAlign w:val="center"/>
          </w:tcPr>
          <w:p w:rsidR="00000000" w:rsidRDefault="00000000">
            <w:pPr>
              <w:tabs>
                <w:tab w:val="decimal" w:pos="478"/>
              </w:tabs>
              <w:autoSpaceDE w:val="0"/>
              <w:autoSpaceDN w:val="0"/>
              <w:adjustRightInd w:val="0"/>
              <w:spacing w:before="40" w:after="40"/>
              <w:rPr>
                <w:sz w:val="20"/>
                <w:szCs w:val="22"/>
                <w:lang w:val="fr-FR"/>
              </w:rPr>
            </w:pPr>
            <w:r>
              <w:rPr>
                <w:sz w:val="20"/>
                <w:szCs w:val="22"/>
                <w:lang w:val="fr-FR"/>
              </w:rPr>
              <w:t xml:space="preserve">3,94  </w:t>
            </w:r>
          </w:p>
        </w:tc>
      </w:tr>
      <w:tr w:rsidR="00000000">
        <w:tblPrEx>
          <w:tblCellMar>
            <w:top w:w="0" w:type="dxa"/>
            <w:bottom w:w="0" w:type="dxa"/>
          </w:tblCellMar>
        </w:tblPrEx>
        <w:trPr>
          <w:jc w:val="center"/>
        </w:trPr>
        <w:tc>
          <w:tcPr>
            <w:tcW w:w="2471" w:type="dxa"/>
          </w:tcPr>
          <w:p w:rsidR="00000000" w:rsidRDefault="00000000">
            <w:pPr>
              <w:autoSpaceDE w:val="0"/>
              <w:autoSpaceDN w:val="0"/>
              <w:adjustRightInd w:val="0"/>
              <w:spacing w:before="40" w:after="40"/>
              <w:jc w:val="both"/>
              <w:rPr>
                <w:sz w:val="20"/>
                <w:szCs w:val="22"/>
                <w:lang w:val="fr-FR"/>
              </w:rPr>
            </w:pPr>
            <w:r>
              <w:rPr>
                <w:sz w:val="20"/>
                <w:szCs w:val="22"/>
                <w:lang w:val="fr-FR"/>
              </w:rPr>
              <w:t>Amputations et énucléations</w:t>
            </w:r>
          </w:p>
        </w:tc>
        <w:tc>
          <w:tcPr>
            <w:tcW w:w="565" w:type="dxa"/>
          </w:tcPr>
          <w:p w:rsidR="00000000" w:rsidRDefault="00000000">
            <w:pPr>
              <w:autoSpaceDE w:val="0"/>
              <w:autoSpaceDN w:val="0"/>
              <w:adjustRightInd w:val="0"/>
              <w:spacing w:before="40" w:after="40"/>
              <w:ind w:right="57"/>
              <w:jc w:val="right"/>
              <w:rPr>
                <w:sz w:val="20"/>
                <w:szCs w:val="22"/>
                <w:lang w:val="fr-FR"/>
              </w:rPr>
            </w:pPr>
            <w:r>
              <w:rPr>
                <w:sz w:val="20"/>
                <w:szCs w:val="22"/>
                <w:lang w:val="fr-FR"/>
              </w:rPr>
              <w:t xml:space="preserve">2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4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38 </w:t>
            </w:r>
          </w:p>
        </w:tc>
        <w:tc>
          <w:tcPr>
            <w:tcW w:w="1091"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508 </w:t>
            </w:r>
          </w:p>
        </w:tc>
        <w:tc>
          <w:tcPr>
            <w:tcW w:w="1120" w:type="dxa"/>
          </w:tcPr>
          <w:p w:rsidR="00000000" w:rsidRDefault="00000000">
            <w:pPr>
              <w:autoSpaceDE w:val="0"/>
              <w:autoSpaceDN w:val="0"/>
              <w:adjustRightInd w:val="0"/>
              <w:spacing w:before="40" w:after="40"/>
              <w:ind w:right="340"/>
              <w:jc w:val="right"/>
              <w:rPr>
                <w:sz w:val="20"/>
                <w:szCs w:val="22"/>
                <w:lang w:val="fr-FR"/>
              </w:rPr>
            </w:pPr>
            <w:r>
              <w:rPr>
                <w:sz w:val="20"/>
                <w:szCs w:val="22"/>
                <w:lang w:val="fr-FR"/>
              </w:rPr>
              <w:t xml:space="preserve">106 </w:t>
            </w:r>
          </w:p>
        </w:tc>
        <w:tc>
          <w:tcPr>
            <w:tcW w:w="882" w:type="dxa"/>
          </w:tcPr>
          <w:p w:rsidR="00000000" w:rsidRDefault="00000000">
            <w:pPr>
              <w:autoSpaceDE w:val="0"/>
              <w:autoSpaceDN w:val="0"/>
              <w:adjustRightInd w:val="0"/>
              <w:spacing w:before="40" w:after="40"/>
              <w:ind w:right="227"/>
              <w:jc w:val="right"/>
              <w:rPr>
                <w:sz w:val="20"/>
                <w:szCs w:val="22"/>
                <w:lang w:val="fr-FR"/>
              </w:rPr>
            </w:pPr>
            <w:r>
              <w:rPr>
                <w:sz w:val="20"/>
                <w:szCs w:val="22"/>
                <w:lang w:val="fr-FR"/>
              </w:rPr>
              <w:t xml:space="preserve">658 </w:t>
            </w:r>
          </w:p>
        </w:tc>
        <w:tc>
          <w:tcPr>
            <w:tcW w:w="1054" w:type="dxa"/>
            <w:vAlign w:val="center"/>
          </w:tcPr>
          <w:p w:rsidR="00000000" w:rsidRDefault="00000000">
            <w:pPr>
              <w:tabs>
                <w:tab w:val="decimal" w:pos="478"/>
              </w:tabs>
              <w:autoSpaceDE w:val="0"/>
              <w:autoSpaceDN w:val="0"/>
              <w:adjustRightInd w:val="0"/>
              <w:spacing w:before="40" w:after="40"/>
              <w:rPr>
                <w:sz w:val="20"/>
                <w:szCs w:val="22"/>
                <w:lang w:val="fr-FR"/>
              </w:rPr>
            </w:pPr>
            <w:r>
              <w:rPr>
                <w:sz w:val="20"/>
                <w:szCs w:val="22"/>
                <w:lang w:val="fr-FR"/>
              </w:rPr>
              <w:t xml:space="preserve">3,57  </w:t>
            </w:r>
          </w:p>
        </w:tc>
      </w:tr>
      <w:tr w:rsidR="00000000">
        <w:tblPrEx>
          <w:tblCellMar>
            <w:top w:w="0" w:type="dxa"/>
            <w:bottom w:w="0" w:type="dxa"/>
          </w:tblCellMar>
        </w:tblPrEx>
        <w:trPr>
          <w:jc w:val="center"/>
        </w:trPr>
        <w:tc>
          <w:tcPr>
            <w:tcW w:w="2471" w:type="dxa"/>
          </w:tcPr>
          <w:p w:rsidR="00000000" w:rsidRDefault="00000000">
            <w:pPr>
              <w:autoSpaceDE w:val="0"/>
              <w:autoSpaceDN w:val="0"/>
              <w:adjustRightInd w:val="0"/>
              <w:spacing w:before="40" w:after="40"/>
              <w:jc w:val="both"/>
              <w:rPr>
                <w:sz w:val="20"/>
                <w:szCs w:val="22"/>
                <w:lang w:val="fr-FR"/>
              </w:rPr>
            </w:pPr>
            <w:r>
              <w:rPr>
                <w:sz w:val="20"/>
                <w:szCs w:val="22"/>
                <w:lang w:val="fr-FR"/>
              </w:rPr>
              <w:t xml:space="preserve">Autres blessures </w:t>
            </w:r>
          </w:p>
        </w:tc>
        <w:tc>
          <w:tcPr>
            <w:tcW w:w="565" w:type="dxa"/>
          </w:tcPr>
          <w:p w:rsidR="00000000" w:rsidRDefault="00000000">
            <w:pPr>
              <w:autoSpaceDE w:val="0"/>
              <w:autoSpaceDN w:val="0"/>
              <w:adjustRightInd w:val="0"/>
              <w:spacing w:before="40" w:after="40"/>
              <w:ind w:right="57"/>
              <w:jc w:val="right"/>
              <w:rPr>
                <w:sz w:val="20"/>
                <w:szCs w:val="22"/>
                <w:lang w:val="fr-FR"/>
              </w:rPr>
            </w:pPr>
            <w:r>
              <w:rPr>
                <w:sz w:val="20"/>
                <w:szCs w:val="22"/>
                <w:lang w:val="fr-FR"/>
              </w:rPr>
              <w:t xml:space="preserve">4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12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1 </w:t>
            </w:r>
          </w:p>
        </w:tc>
        <w:tc>
          <w:tcPr>
            <w:tcW w:w="1091"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23 </w:t>
            </w:r>
          </w:p>
        </w:tc>
        <w:tc>
          <w:tcPr>
            <w:tcW w:w="1120" w:type="dxa"/>
          </w:tcPr>
          <w:p w:rsidR="00000000" w:rsidRDefault="00000000">
            <w:pPr>
              <w:autoSpaceDE w:val="0"/>
              <w:autoSpaceDN w:val="0"/>
              <w:adjustRightInd w:val="0"/>
              <w:spacing w:before="40" w:after="40"/>
              <w:ind w:right="340"/>
              <w:jc w:val="right"/>
              <w:rPr>
                <w:sz w:val="20"/>
                <w:szCs w:val="22"/>
                <w:lang w:val="fr-FR"/>
              </w:rPr>
            </w:pPr>
            <w:r>
              <w:rPr>
                <w:sz w:val="20"/>
                <w:szCs w:val="22"/>
                <w:lang w:val="fr-FR"/>
              </w:rPr>
              <w:t xml:space="preserve">4 572 </w:t>
            </w:r>
          </w:p>
        </w:tc>
        <w:tc>
          <w:tcPr>
            <w:tcW w:w="882" w:type="dxa"/>
          </w:tcPr>
          <w:p w:rsidR="00000000" w:rsidRDefault="00000000">
            <w:pPr>
              <w:autoSpaceDE w:val="0"/>
              <w:autoSpaceDN w:val="0"/>
              <w:adjustRightInd w:val="0"/>
              <w:spacing w:before="40" w:after="40"/>
              <w:ind w:right="227"/>
              <w:jc w:val="right"/>
              <w:rPr>
                <w:sz w:val="20"/>
                <w:szCs w:val="22"/>
                <w:lang w:val="fr-FR"/>
              </w:rPr>
            </w:pPr>
            <w:r>
              <w:rPr>
                <w:sz w:val="20"/>
                <w:szCs w:val="22"/>
                <w:lang w:val="fr-FR"/>
              </w:rPr>
              <w:t xml:space="preserve">4 612 </w:t>
            </w:r>
          </w:p>
        </w:tc>
        <w:tc>
          <w:tcPr>
            <w:tcW w:w="1054" w:type="dxa"/>
            <w:vAlign w:val="center"/>
          </w:tcPr>
          <w:p w:rsidR="00000000" w:rsidRDefault="00000000">
            <w:pPr>
              <w:tabs>
                <w:tab w:val="decimal" w:pos="478"/>
              </w:tabs>
              <w:autoSpaceDE w:val="0"/>
              <w:autoSpaceDN w:val="0"/>
              <w:adjustRightInd w:val="0"/>
              <w:spacing w:before="40" w:after="40"/>
              <w:rPr>
                <w:sz w:val="20"/>
                <w:szCs w:val="22"/>
                <w:lang w:val="fr-FR"/>
              </w:rPr>
            </w:pPr>
            <w:r>
              <w:rPr>
                <w:sz w:val="20"/>
                <w:szCs w:val="22"/>
                <w:lang w:val="fr-FR"/>
              </w:rPr>
              <w:t xml:space="preserve">24,99  </w:t>
            </w:r>
          </w:p>
        </w:tc>
      </w:tr>
      <w:tr w:rsidR="00000000">
        <w:tblPrEx>
          <w:tblCellMar>
            <w:top w:w="0" w:type="dxa"/>
            <w:bottom w:w="0" w:type="dxa"/>
          </w:tblCellMar>
        </w:tblPrEx>
        <w:trPr>
          <w:jc w:val="center"/>
        </w:trPr>
        <w:tc>
          <w:tcPr>
            <w:tcW w:w="2471" w:type="dxa"/>
          </w:tcPr>
          <w:p w:rsidR="00000000" w:rsidRDefault="00000000">
            <w:pPr>
              <w:autoSpaceDE w:val="0"/>
              <w:autoSpaceDN w:val="0"/>
              <w:adjustRightInd w:val="0"/>
              <w:spacing w:before="40" w:after="40"/>
              <w:jc w:val="both"/>
              <w:rPr>
                <w:sz w:val="20"/>
                <w:szCs w:val="22"/>
                <w:lang w:val="fr-FR"/>
              </w:rPr>
            </w:pPr>
            <w:r>
              <w:rPr>
                <w:sz w:val="20"/>
                <w:szCs w:val="22"/>
                <w:lang w:val="fr-FR"/>
              </w:rPr>
              <w:t xml:space="preserve">Traumatismes superficiels </w:t>
            </w:r>
          </w:p>
        </w:tc>
        <w:tc>
          <w:tcPr>
            <w:tcW w:w="565" w:type="dxa"/>
          </w:tcPr>
          <w:p w:rsidR="00000000" w:rsidRDefault="00000000">
            <w:pPr>
              <w:autoSpaceDE w:val="0"/>
              <w:autoSpaceDN w:val="0"/>
              <w:adjustRightInd w:val="0"/>
              <w:spacing w:before="40" w:after="40"/>
              <w:ind w:right="57"/>
              <w:jc w:val="right"/>
              <w:rPr>
                <w:sz w:val="20"/>
                <w:szCs w:val="22"/>
                <w:lang w:val="fr-FR"/>
              </w:rPr>
            </w:pPr>
            <w:r>
              <w:rPr>
                <w:sz w:val="20"/>
                <w:szCs w:val="22"/>
                <w:lang w:val="fr-FR"/>
              </w:rPr>
              <w:t xml:space="preserve">0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2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1 </w:t>
            </w:r>
          </w:p>
        </w:tc>
        <w:tc>
          <w:tcPr>
            <w:tcW w:w="1091"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26 </w:t>
            </w:r>
          </w:p>
        </w:tc>
        <w:tc>
          <w:tcPr>
            <w:tcW w:w="1120" w:type="dxa"/>
          </w:tcPr>
          <w:p w:rsidR="00000000" w:rsidRDefault="00000000">
            <w:pPr>
              <w:autoSpaceDE w:val="0"/>
              <w:autoSpaceDN w:val="0"/>
              <w:adjustRightInd w:val="0"/>
              <w:spacing w:before="40" w:after="40"/>
              <w:ind w:right="340"/>
              <w:jc w:val="right"/>
              <w:rPr>
                <w:sz w:val="20"/>
                <w:szCs w:val="22"/>
                <w:lang w:val="fr-FR"/>
              </w:rPr>
            </w:pPr>
            <w:r>
              <w:rPr>
                <w:sz w:val="20"/>
                <w:szCs w:val="22"/>
                <w:lang w:val="fr-FR"/>
              </w:rPr>
              <w:t xml:space="preserve">2 490 </w:t>
            </w:r>
          </w:p>
        </w:tc>
        <w:tc>
          <w:tcPr>
            <w:tcW w:w="882" w:type="dxa"/>
          </w:tcPr>
          <w:p w:rsidR="00000000" w:rsidRDefault="00000000">
            <w:pPr>
              <w:autoSpaceDE w:val="0"/>
              <w:autoSpaceDN w:val="0"/>
              <w:adjustRightInd w:val="0"/>
              <w:spacing w:before="40" w:after="40"/>
              <w:ind w:right="227"/>
              <w:jc w:val="right"/>
              <w:rPr>
                <w:sz w:val="20"/>
                <w:szCs w:val="22"/>
                <w:lang w:val="fr-FR"/>
              </w:rPr>
            </w:pPr>
            <w:r>
              <w:rPr>
                <w:sz w:val="20"/>
                <w:szCs w:val="22"/>
                <w:lang w:val="fr-FR"/>
              </w:rPr>
              <w:t xml:space="preserve">2 519 </w:t>
            </w:r>
          </w:p>
        </w:tc>
        <w:tc>
          <w:tcPr>
            <w:tcW w:w="1054" w:type="dxa"/>
            <w:vAlign w:val="center"/>
          </w:tcPr>
          <w:p w:rsidR="00000000" w:rsidRDefault="00000000">
            <w:pPr>
              <w:tabs>
                <w:tab w:val="decimal" w:pos="478"/>
              </w:tabs>
              <w:autoSpaceDE w:val="0"/>
              <w:autoSpaceDN w:val="0"/>
              <w:adjustRightInd w:val="0"/>
              <w:spacing w:before="40" w:after="40"/>
              <w:rPr>
                <w:sz w:val="20"/>
                <w:szCs w:val="22"/>
                <w:lang w:val="fr-FR"/>
              </w:rPr>
            </w:pPr>
            <w:r>
              <w:rPr>
                <w:sz w:val="20"/>
                <w:szCs w:val="22"/>
                <w:lang w:val="fr-FR"/>
              </w:rPr>
              <w:t xml:space="preserve">13,65  </w:t>
            </w:r>
          </w:p>
        </w:tc>
      </w:tr>
      <w:tr w:rsidR="00000000">
        <w:tblPrEx>
          <w:tblCellMar>
            <w:top w:w="0" w:type="dxa"/>
            <w:bottom w:w="0" w:type="dxa"/>
          </w:tblCellMar>
        </w:tblPrEx>
        <w:trPr>
          <w:jc w:val="center"/>
        </w:trPr>
        <w:tc>
          <w:tcPr>
            <w:tcW w:w="2471" w:type="dxa"/>
          </w:tcPr>
          <w:p w:rsidR="00000000" w:rsidRDefault="00000000">
            <w:pPr>
              <w:autoSpaceDE w:val="0"/>
              <w:autoSpaceDN w:val="0"/>
              <w:adjustRightInd w:val="0"/>
              <w:spacing w:before="40" w:after="40"/>
              <w:jc w:val="both"/>
              <w:rPr>
                <w:sz w:val="20"/>
                <w:szCs w:val="22"/>
                <w:lang w:val="fr-FR"/>
              </w:rPr>
            </w:pPr>
            <w:r>
              <w:rPr>
                <w:sz w:val="20"/>
                <w:szCs w:val="22"/>
                <w:lang w:val="fr-FR"/>
              </w:rPr>
              <w:t xml:space="preserve">Contusions et écrasements </w:t>
            </w:r>
          </w:p>
        </w:tc>
        <w:tc>
          <w:tcPr>
            <w:tcW w:w="565" w:type="dxa"/>
          </w:tcPr>
          <w:p w:rsidR="00000000" w:rsidRDefault="00000000">
            <w:pPr>
              <w:autoSpaceDE w:val="0"/>
              <w:autoSpaceDN w:val="0"/>
              <w:adjustRightInd w:val="0"/>
              <w:spacing w:before="40" w:after="40"/>
              <w:ind w:right="57"/>
              <w:jc w:val="right"/>
              <w:rPr>
                <w:sz w:val="20"/>
                <w:szCs w:val="22"/>
                <w:lang w:val="fr-FR"/>
              </w:rPr>
            </w:pPr>
            <w:r>
              <w:rPr>
                <w:sz w:val="20"/>
                <w:szCs w:val="22"/>
                <w:lang w:val="fr-FR"/>
              </w:rPr>
              <w:t xml:space="preserve">56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7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6 </w:t>
            </w:r>
          </w:p>
        </w:tc>
        <w:tc>
          <w:tcPr>
            <w:tcW w:w="1091"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86 </w:t>
            </w:r>
          </w:p>
        </w:tc>
        <w:tc>
          <w:tcPr>
            <w:tcW w:w="1120" w:type="dxa"/>
          </w:tcPr>
          <w:p w:rsidR="00000000" w:rsidRDefault="00000000">
            <w:pPr>
              <w:autoSpaceDE w:val="0"/>
              <w:autoSpaceDN w:val="0"/>
              <w:adjustRightInd w:val="0"/>
              <w:spacing w:before="40" w:after="40"/>
              <w:ind w:right="340"/>
              <w:jc w:val="right"/>
              <w:rPr>
                <w:sz w:val="20"/>
                <w:szCs w:val="22"/>
                <w:lang w:val="fr-FR"/>
              </w:rPr>
            </w:pPr>
            <w:r>
              <w:rPr>
                <w:sz w:val="20"/>
                <w:szCs w:val="22"/>
                <w:lang w:val="fr-FR"/>
              </w:rPr>
              <w:t xml:space="preserve">3 993 </w:t>
            </w:r>
          </w:p>
        </w:tc>
        <w:tc>
          <w:tcPr>
            <w:tcW w:w="882" w:type="dxa"/>
          </w:tcPr>
          <w:p w:rsidR="00000000" w:rsidRDefault="00000000">
            <w:pPr>
              <w:autoSpaceDE w:val="0"/>
              <w:autoSpaceDN w:val="0"/>
              <w:adjustRightInd w:val="0"/>
              <w:spacing w:before="40" w:after="40"/>
              <w:ind w:right="227"/>
              <w:jc w:val="right"/>
              <w:rPr>
                <w:sz w:val="20"/>
                <w:szCs w:val="22"/>
                <w:lang w:val="fr-FR"/>
              </w:rPr>
            </w:pPr>
            <w:r>
              <w:rPr>
                <w:sz w:val="20"/>
                <w:szCs w:val="22"/>
                <w:lang w:val="fr-FR"/>
              </w:rPr>
              <w:t xml:space="preserve">4 148 </w:t>
            </w:r>
          </w:p>
        </w:tc>
        <w:tc>
          <w:tcPr>
            <w:tcW w:w="1054" w:type="dxa"/>
            <w:vAlign w:val="center"/>
          </w:tcPr>
          <w:p w:rsidR="00000000" w:rsidRDefault="00000000">
            <w:pPr>
              <w:tabs>
                <w:tab w:val="decimal" w:pos="478"/>
              </w:tabs>
              <w:autoSpaceDE w:val="0"/>
              <w:autoSpaceDN w:val="0"/>
              <w:adjustRightInd w:val="0"/>
              <w:spacing w:before="40" w:after="40"/>
              <w:rPr>
                <w:sz w:val="20"/>
                <w:szCs w:val="22"/>
                <w:lang w:val="fr-FR"/>
              </w:rPr>
            </w:pPr>
            <w:r>
              <w:rPr>
                <w:sz w:val="20"/>
                <w:szCs w:val="22"/>
                <w:lang w:val="fr-FR"/>
              </w:rPr>
              <w:t xml:space="preserve">22,48  </w:t>
            </w:r>
          </w:p>
        </w:tc>
      </w:tr>
      <w:tr w:rsidR="00000000">
        <w:tblPrEx>
          <w:tblCellMar>
            <w:top w:w="0" w:type="dxa"/>
            <w:bottom w:w="0" w:type="dxa"/>
          </w:tblCellMar>
        </w:tblPrEx>
        <w:trPr>
          <w:jc w:val="center"/>
        </w:trPr>
        <w:tc>
          <w:tcPr>
            <w:tcW w:w="2471" w:type="dxa"/>
          </w:tcPr>
          <w:p w:rsidR="00000000" w:rsidRDefault="00000000">
            <w:pPr>
              <w:autoSpaceDE w:val="0"/>
              <w:autoSpaceDN w:val="0"/>
              <w:adjustRightInd w:val="0"/>
              <w:spacing w:before="40" w:after="40"/>
              <w:jc w:val="both"/>
              <w:rPr>
                <w:sz w:val="20"/>
                <w:szCs w:val="22"/>
                <w:lang w:val="fr-FR"/>
              </w:rPr>
            </w:pPr>
            <w:r>
              <w:rPr>
                <w:sz w:val="20"/>
                <w:szCs w:val="22"/>
                <w:lang w:val="fr-FR"/>
              </w:rPr>
              <w:t>Brûlures</w:t>
            </w:r>
          </w:p>
        </w:tc>
        <w:tc>
          <w:tcPr>
            <w:tcW w:w="565" w:type="dxa"/>
          </w:tcPr>
          <w:p w:rsidR="00000000" w:rsidRDefault="00000000">
            <w:pPr>
              <w:autoSpaceDE w:val="0"/>
              <w:autoSpaceDN w:val="0"/>
              <w:adjustRightInd w:val="0"/>
              <w:spacing w:before="40" w:after="40"/>
              <w:ind w:right="57"/>
              <w:jc w:val="right"/>
              <w:rPr>
                <w:sz w:val="20"/>
                <w:szCs w:val="22"/>
                <w:lang w:val="fr-FR"/>
              </w:rPr>
            </w:pPr>
            <w:r>
              <w:rPr>
                <w:sz w:val="20"/>
                <w:szCs w:val="22"/>
                <w:lang w:val="fr-FR"/>
              </w:rPr>
              <w:t xml:space="preserve">13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2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0 </w:t>
            </w:r>
          </w:p>
        </w:tc>
        <w:tc>
          <w:tcPr>
            <w:tcW w:w="1091"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25 </w:t>
            </w:r>
          </w:p>
        </w:tc>
        <w:tc>
          <w:tcPr>
            <w:tcW w:w="1120" w:type="dxa"/>
          </w:tcPr>
          <w:p w:rsidR="00000000" w:rsidRDefault="00000000">
            <w:pPr>
              <w:autoSpaceDE w:val="0"/>
              <w:autoSpaceDN w:val="0"/>
              <w:adjustRightInd w:val="0"/>
              <w:spacing w:before="40" w:after="40"/>
              <w:ind w:right="340"/>
              <w:jc w:val="right"/>
              <w:rPr>
                <w:sz w:val="20"/>
                <w:szCs w:val="22"/>
                <w:lang w:val="fr-FR"/>
              </w:rPr>
            </w:pPr>
            <w:r>
              <w:rPr>
                <w:sz w:val="20"/>
                <w:szCs w:val="22"/>
                <w:lang w:val="fr-FR"/>
              </w:rPr>
              <w:t xml:space="preserve">865 </w:t>
            </w:r>
          </w:p>
        </w:tc>
        <w:tc>
          <w:tcPr>
            <w:tcW w:w="882" w:type="dxa"/>
          </w:tcPr>
          <w:p w:rsidR="00000000" w:rsidRDefault="00000000">
            <w:pPr>
              <w:autoSpaceDE w:val="0"/>
              <w:autoSpaceDN w:val="0"/>
              <w:adjustRightInd w:val="0"/>
              <w:spacing w:before="40" w:after="40"/>
              <w:ind w:right="227"/>
              <w:jc w:val="right"/>
              <w:rPr>
                <w:sz w:val="20"/>
                <w:szCs w:val="22"/>
                <w:lang w:val="fr-FR"/>
              </w:rPr>
            </w:pPr>
            <w:r>
              <w:rPr>
                <w:sz w:val="20"/>
                <w:szCs w:val="22"/>
                <w:lang w:val="fr-FR"/>
              </w:rPr>
              <w:t xml:space="preserve">905 </w:t>
            </w:r>
          </w:p>
        </w:tc>
        <w:tc>
          <w:tcPr>
            <w:tcW w:w="1054" w:type="dxa"/>
            <w:vAlign w:val="center"/>
          </w:tcPr>
          <w:p w:rsidR="00000000" w:rsidRDefault="00000000">
            <w:pPr>
              <w:tabs>
                <w:tab w:val="decimal" w:pos="478"/>
              </w:tabs>
              <w:autoSpaceDE w:val="0"/>
              <w:autoSpaceDN w:val="0"/>
              <w:adjustRightInd w:val="0"/>
              <w:spacing w:before="40" w:after="40"/>
              <w:rPr>
                <w:sz w:val="20"/>
                <w:szCs w:val="22"/>
                <w:lang w:val="fr-FR"/>
              </w:rPr>
            </w:pPr>
            <w:r>
              <w:rPr>
                <w:sz w:val="20"/>
                <w:szCs w:val="22"/>
                <w:lang w:val="fr-FR"/>
              </w:rPr>
              <w:t xml:space="preserve">4,90  </w:t>
            </w:r>
          </w:p>
        </w:tc>
      </w:tr>
      <w:tr w:rsidR="00000000">
        <w:tblPrEx>
          <w:tblCellMar>
            <w:top w:w="0" w:type="dxa"/>
            <w:bottom w:w="0" w:type="dxa"/>
          </w:tblCellMar>
        </w:tblPrEx>
        <w:trPr>
          <w:jc w:val="center"/>
        </w:trPr>
        <w:tc>
          <w:tcPr>
            <w:tcW w:w="2471" w:type="dxa"/>
          </w:tcPr>
          <w:p w:rsidR="00000000" w:rsidRDefault="00000000">
            <w:pPr>
              <w:autoSpaceDE w:val="0"/>
              <w:autoSpaceDN w:val="0"/>
              <w:adjustRightInd w:val="0"/>
              <w:spacing w:before="40" w:after="40"/>
              <w:rPr>
                <w:sz w:val="20"/>
                <w:szCs w:val="22"/>
                <w:lang w:val="fr-FR"/>
              </w:rPr>
            </w:pPr>
            <w:r>
              <w:rPr>
                <w:sz w:val="20"/>
                <w:szCs w:val="22"/>
                <w:lang w:val="fr-FR"/>
              </w:rPr>
              <w:t xml:space="preserve">Empoisonnements et intoxications graves </w:t>
            </w:r>
          </w:p>
        </w:tc>
        <w:tc>
          <w:tcPr>
            <w:tcW w:w="565" w:type="dxa"/>
            <w:vAlign w:val="center"/>
          </w:tcPr>
          <w:p w:rsidR="00000000" w:rsidRDefault="00000000">
            <w:pPr>
              <w:autoSpaceDE w:val="0"/>
              <w:autoSpaceDN w:val="0"/>
              <w:adjustRightInd w:val="0"/>
              <w:spacing w:before="40" w:after="40"/>
              <w:ind w:right="57"/>
              <w:jc w:val="right"/>
              <w:rPr>
                <w:sz w:val="20"/>
                <w:szCs w:val="22"/>
                <w:lang w:val="fr-FR"/>
              </w:rPr>
            </w:pPr>
            <w:r>
              <w:rPr>
                <w:sz w:val="20"/>
                <w:szCs w:val="22"/>
                <w:lang w:val="fr-FR"/>
              </w:rPr>
              <w:t xml:space="preserve">0 </w:t>
            </w:r>
          </w:p>
        </w:tc>
        <w:tc>
          <w:tcPr>
            <w:tcW w:w="1058" w:type="dxa"/>
            <w:vAlign w:val="center"/>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0 </w:t>
            </w:r>
          </w:p>
        </w:tc>
        <w:tc>
          <w:tcPr>
            <w:tcW w:w="1058" w:type="dxa"/>
            <w:vAlign w:val="center"/>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0 </w:t>
            </w:r>
          </w:p>
        </w:tc>
        <w:tc>
          <w:tcPr>
            <w:tcW w:w="1091" w:type="dxa"/>
            <w:vAlign w:val="center"/>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1 </w:t>
            </w:r>
          </w:p>
        </w:tc>
        <w:tc>
          <w:tcPr>
            <w:tcW w:w="1120" w:type="dxa"/>
            <w:vAlign w:val="center"/>
          </w:tcPr>
          <w:p w:rsidR="00000000" w:rsidRDefault="00000000">
            <w:pPr>
              <w:autoSpaceDE w:val="0"/>
              <w:autoSpaceDN w:val="0"/>
              <w:adjustRightInd w:val="0"/>
              <w:spacing w:before="40" w:after="40"/>
              <w:ind w:right="340"/>
              <w:jc w:val="right"/>
              <w:rPr>
                <w:sz w:val="20"/>
                <w:szCs w:val="22"/>
                <w:lang w:val="fr-FR"/>
              </w:rPr>
            </w:pPr>
            <w:r>
              <w:rPr>
                <w:sz w:val="20"/>
                <w:szCs w:val="22"/>
                <w:lang w:val="fr-FR"/>
              </w:rPr>
              <w:t xml:space="preserve">7 </w:t>
            </w:r>
          </w:p>
        </w:tc>
        <w:tc>
          <w:tcPr>
            <w:tcW w:w="882" w:type="dxa"/>
            <w:vAlign w:val="center"/>
          </w:tcPr>
          <w:p w:rsidR="00000000" w:rsidRDefault="00000000">
            <w:pPr>
              <w:autoSpaceDE w:val="0"/>
              <w:autoSpaceDN w:val="0"/>
              <w:adjustRightInd w:val="0"/>
              <w:spacing w:before="40" w:after="40"/>
              <w:ind w:right="227"/>
              <w:jc w:val="right"/>
              <w:rPr>
                <w:sz w:val="20"/>
                <w:szCs w:val="22"/>
                <w:lang w:val="fr-FR"/>
              </w:rPr>
            </w:pPr>
            <w:r>
              <w:rPr>
                <w:sz w:val="20"/>
                <w:szCs w:val="22"/>
                <w:lang w:val="fr-FR"/>
              </w:rPr>
              <w:t xml:space="preserve">8 </w:t>
            </w:r>
          </w:p>
        </w:tc>
        <w:tc>
          <w:tcPr>
            <w:tcW w:w="1054" w:type="dxa"/>
            <w:vAlign w:val="center"/>
          </w:tcPr>
          <w:p w:rsidR="00000000" w:rsidRDefault="00000000">
            <w:pPr>
              <w:tabs>
                <w:tab w:val="decimal" w:pos="478"/>
              </w:tabs>
              <w:autoSpaceDE w:val="0"/>
              <w:autoSpaceDN w:val="0"/>
              <w:adjustRightInd w:val="0"/>
              <w:spacing w:before="40" w:after="40"/>
              <w:rPr>
                <w:sz w:val="20"/>
                <w:szCs w:val="22"/>
                <w:lang w:val="fr-FR"/>
              </w:rPr>
            </w:pPr>
            <w:r>
              <w:rPr>
                <w:sz w:val="20"/>
                <w:szCs w:val="22"/>
                <w:lang w:val="fr-FR"/>
              </w:rPr>
              <w:t xml:space="preserve">0,04  </w:t>
            </w:r>
          </w:p>
        </w:tc>
      </w:tr>
      <w:tr w:rsidR="00000000">
        <w:tblPrEx>
          <w:tblCellMar>
            <w:top w:w="0" w:type="dxa"/>
            <w:bottom w:w="0" w:type="dxa"/>
          </w:tblCellMar>
        </w:tblPrEx>
        <w:trPr>
          <w:jc w:val="center"/>
        </w:trPr>
        <w:tc>
          <w:tcPr>
            <w:tcW w:w="2471" w:type="dxa"/>
          </w:tcPr>
          <w:p w:rsidR="00000000" w:rsidRDefault="00000000">
            <w:pPr>
              <w:autoSpaceDE w:val="0"/>
              <w:autoSpaceDN w:val="0"/>
              <w:adjustRightInd w:val="0"/>
              <w:spacing w:before="40" w:after="40"/>
              <w:rPr>
                <w:sz w:val="20"/>
                <w:szCs w:val="22"/>
                <w:lang w:val="fr-FR"/>
              </w:rPr>
            </w:pPr>
            <w:r>
              <w:rPr>
                <w:sz w:val="20"/>
                <w:szCs w:val="22"/>
                <w:lang w:val="fr-FR"/>
              </w:rPr>
              <w:t xml:space="preserve">Effets temps froid et connexes </w:t>
            </w:r>
          </w:p>
        </w:tc>
        <w:tc>
          <w:tcPr>
            <w:tcW w:w="565" w:type="dxa"/>
          </w:tcPr>
          <w:p w:rsidR="00000000" w:rsidRDefault="00000000">
            <w:pPr>
              <w:autoSpaceDE w:val="0"/>
              <w:autoSpaceDN w:val="0"/>
              <w:adjustRightInd w:val="0"/>
              <w:spacing w:before="40" w:after="40"/>
              <w:ind w:right="57"/>
              <w:jc w:val="right"/>
              <w:rPr>
                <w:sz w:val="20"/>
                <w:szCs w:val="22"/>
                <w:lang w:val="fr-FR"/>
              </w:rPr>
            </w:pPr>
            <w:r>
              <w:rPr>
                <w:sz w:val="20"/>
                <w:szCs w:val="22"/>
                <w:lang w:val="fr-FR"/>
              </w:rPr>
              <w:t xml:space="preserve">0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0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0 </w:t>
            </w:r>
          </w:p>
        </w:tc>
        <w:tc>
          <w:tcPr>
            <w:tcW w:w="1091"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0 </w:t>
            </w:r>
          </w:p>
        </w:tc>
        <w:tc>
          <w:tcPr>
            <w:tcW w:w="1120" w:type="dxa"/>
          </w:tcPr>
          <w:p w:rsidR="00000000" w:rsidRDefault="00000000">
            <w:pPr>
              <w:autoSpaceDE w:val="0"/>
              <w:autoSpaceDN w:val="0"/>
              <w:adjustRightInd w:val="0"/>
              <w:spacing w:before="40" w:after="40"/>
              <w:ind w:right="340"/>
              <w:jc w:val="right"/>
              <w:rPr>
                <w:sz w:val="20"/>
                <w:szCs w:val="22"/>
                <w:lang w:val="fr-FR"/>
              </w:rPr>
            </w:pPr>
            <w:r>
              <w:rPr>
                <w:sz w:val="20"/>
                <w:szCs w:val="22"/>
                <w:lang w:val="fr-FR"/>
              </w:rPr>
              <w:t xml:space="preserve">2 </w:t>
            </w:r>
          </w:p>
        </w:tc>
        <w:tc>
          <w:tcPr>
            <w:tcW w:w="882" w:type="dxa"/>
          </w:tcPr>
          <w:p w:rsidR="00000000" w:rsidRDefault="00000000">
            <w:pPr>
              <w:autoSpaceDE w:val="0"/>
              <w:autoSpaceDN w:val="0"/>
              <w:adjustRightInd w:val="0"/>
              <w:spacing w:before="40" w:after="40"/>
              <w:ind w:right="227"/>
              <w:jc w:val="right"/>
              <w:rPr>
                <w:sz w:val="20"/>
                <w:szCs w:val="22"/>
                <w:lang w:val="fr-FR"/>
              </w:rPr>
            </w:pPr>
            <w:r>
              <w:rPr>
                <w:sz w:val="20"/>
                <w:szCs w:val="22"/>
                <w:lang w:val="fr-FR"/>
              </w:rPr>
              <w:t xml:space="preserve">2 </w:t>
            </w:r>
          </w:p>
        </w:tc>
        <w:tc>
          <w:tcPr>
            <w:tcW w:w="1054" w:type="dxa"/>
            <w:vAlign w:val="center"/>
          </w:tcPr>
          <w:p w:rsidR="00000000" w:rsidRDefault="00000000">
            <w:pPr>
              <w:tabs>
                <w:tab w:val="decimal" w:pos="478"/>
              </w:tabs>
              <w:autoSpaceDE w:val="0"/>
              <w:autoSpaceDN w:val="0"/>
              <w:adjustRightInd w:val="0"/>
              <w:spacing w:before="40" w:after="40"/>
              <w:rPr>
                <w:sz w:val="20"/>
                <w:szCs w:val="22"/>
                <w:lang w:val="fr-FR"/>
              </w:rPr>
            </w:pPr>
            <w:r>
              <w:rPr>
                <w:sz w:val="20"/>
                <w:szCs w:val="22"/>
                <w:lang w:val="fr-FR"/>
              </w:rPr>
              <w:t xml:space="preserve">0,01  </w:t>
            </w:r>
          </w:p>
        </w:tc>
      </w:tr>
      <w:tr w:rsidR="00000000">
        <w:tblPrEx>
          <w:tblCellMar>
            <w:top w:w="0" w:type="dxa"/>
            <w:bottom w:w="0" w:type="dxa"/>
          </w:tblCellMar>
        </w:tblPrEx>
        <w:trPr>
          <w:jc w:val="center"/>
        </w:trPr>
        <w:tc>
          <w:tcPr>
            <w:tcW w:w="2471" w:type="dxa"/>
          </w:tcPr>
          <w:p w:rsidR="00000000" w:rsidRDefault="00000000">
            <w:pPr>
              <w:autoSpaceDE w:val="0"/>
              <w:autoSpaceDN w:val="0"/>
              <w:adjustRightInd w:val="0"/>
              <w:spacing w:before="40" w:after="40"/>
              <w:jc w:val="both"/>
              <w:rPr>
                <w:sz w:val="20"/>
                <w:szCs w:val="22"/>
                <w:lang w:val="fr-FR"/>
              </w:rPr>
            </w:pPr>
            <w:r>
              <w:rPr>
                <w:sz w:val="20"/>
                <w:szCs w:val="22"/>
                <w:lang w:val="fr-FR"/>
              </w:rPr>
              <w:t xml:space="preserve">Asphyxie </w:t>
            </w:r>
          </w:p>
        </w:tc>
        <w:tc>
          <w:tcPr>
            <w:tcW w:w="565" w:type="dxa"/>
          </w:tcPr>
          <w:p w:rsidR="00000000" w:rsidRDefault="00000000">
            <w:pPr>
              <w:autoSpaceDE w:val="0"/>
              <w:autoSpaceDN w:val="0"/>
              <w:adjustRightInd w:val="0"/>
              <w:spacing w:before="40" w:after="40"/>
              <w:ind w:right="57"/>
              <w:jc w:val="right"/>
              <w:rPr>
                <w:sz w:val="20"/>
                <w:szCs w:val="22"/>
                <w:lang w:val="fr-FR"/>
              </w:rPr>
            </w:pPr>
            <w:r>
              <w:rPr>
                <w:sz w:val="20"/>
                <w:szCs w:val="22"/>
                <w:lang w:val="fr-FR"/>
              </w:rPr>
              <w:t xml:space="preserve">39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4 </w:t>
            </w:r>
          </w:p>
        </w:tc>
        <w:tc>
          <w:tcPr>
            <w:tcW w:w="1058"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5 </w:t>
            </w:r>
          </w:p>
        </w:tc>
        <w:tc>
          <w:tcPr>
            <w:tcW w:w="1091" w:type="dxa"/>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0 </w:t>
            </w:r>
          </w:p>
        </w:tc>
        <w:tc>
          <w:tcPr>
            <w:tcW w:w="1120" w:type="dxa"/>
          </w:tcPr>
          <w:p w:rsidR="00000000" w:rsidRDefault="00000000">
            <w:pPr>
              <w:autoSpaceDE w:val="0"/>
              <w:autoSpaceDN w:val="0"/>
              <w:adjustRightInd w:val="0"/>
              <w:spacing w:before="40" w:after="40"/>
              <w:ind w:right="340"/>
              <w:jc w:val="right"/>
              <w:rPr>
                <w:sz w:val="20"/>
                <w:szCs w:val="22"/>
                <w:lang w:val="fr-FR"/>
              </w:rPr>
            </w:pPr>
            <w:r>
              <w:rPr>
                <w:sz w:val="20"/>
                <w:szCs w:val="22"/>
                <w:lang w:val="fr-FR"/>
              </w:rPr>
              <w:t xml:space="preserve">36 </w:t>
            </w:r>
          </w:p>
        </w:tc>
        <w:tc>
          <w:tcPr>
            <w:tcW w:w="882" w:type="dxa"/>
          </w:tcPr>
          <w:p w:rsidR="00000000" w:rsidRDefault="00000000">
            <w:pPr>
              <w:autoSpaceDE w:val="0"/>
              <w:autoSpaceDN w:val="0"/>
              <w:adjustRightInd w:val="0"/>
              <w:spacing w:before="40" w:after="40"/>
              <w:ind w:right="227"/>
              <w:jc w:val="right"/>
              <w:rPr>
                <w:sz w:val="20"/>
                <w:szCs w:val="22"/>
                <w:lang w:val="fr-FR"/>
              </w:rPr>
            </w:pPr>
            <w:r>
              <w:rPr>
                <w:sz w:val="20"/>
                <w:szCs w:val="22"/>
                <w:lang w:val="fr-FR"/>
              </w:rPr>
              <w:t xml:space="preserve">84 </w:t>
            </w:r>
          </w:p>
        </w:tc>
        <w:tc>
          <w:tcPr>
            <w:tcW w:w="1054" w:type="dxa"/>
            <w:vAlign w:val="center"/>
          </w:tcPr>
          <w:p w:rsidR="00000000" w:rsidRDefault="00000000">
            <w:pPr>
              <w:tabs>
                <w:tab w:val="decimal" w:pos="478"/>
              </w:tabs>
              <w:autoSpaceDE w:val="0"/>
              <w:autoSpaceDN w:val="0"/>
              <w:adjustRightInd w:val="0"/>
              <w:spacing w:before="40" w:after="40"/>
              <w:rPr>
                <w:sz w:val="20"/>
                <w:szCs w:val="22"/>
                <w:lang w:val="fr-FR"/>
              </w:rPr>
            </w:pPr>
            <w:r>
              <w:rPr>
                <w:sz w:val="20"/>
                <w:szCs w:val="22"/>
                <w:lang w:val="fr-FR"/>
              </w:rPr>
              <w:t xml:space="preserve">0,46  </w:t>
            </w:r>
          </w:p>
        </w:tc>
      </w:tr>
      <w:tr w:rsidR="00000000">
        <w:tblPrEx>
          <w:tblCellMar>
            <w:top w:w="0" w:type="dxa"/>
            <w:bottom w:w="0" w:type="dxa"/>
          </w:tblCellMar>
        </w:tblPrEx>
        <w:trPr>
          <w:jc w:val="center"/>
        </w:trPr>
        <w:tc>
          <w:tcPr>
            <w:tcW w:w="2471" w:type="dxa"/>
            <w:tcBorders>
              <w:bottom w:val="nil"/>
            </w:tcBorders>
          </w:tcPr>
          <w:p w:rsidR="00000000" w:rsidRDefault="00000000">
            <w:pPr>
              <w:autoSpaceDE w:val="0"/>
              <w:autoSpaceDN w:val="0"/>
              <w:adjustRightInd w:val="0"/>
              <w:spacing w:before="40" w:after="40"/>
              <w:jc w:val="both"/>
              <w:rPr>
                <w:sz w:val="20"/>
                <w:szCs w:val="22"/>
                <w:lang w:val="fr-FR"/>
              </w:rPr>
            </w:pPr>
            <w:r>
              <w:rPr>
                <w:sz w:val="20"/>
                <w:szCs w:val="22"/>
                <w:lang w:val="fr-FR"/>
              </w:rPr>
              <w:t xml:space="preserve">Effets électricité </w:t>
            </w:r>
          </w:p>
        </w:tc>
        <w:tc>
          <w:tcPr>
            <w:tcW w:w="565" w:type="dxa"/>
            <w:tcBorders>
              <w:bottom w:val="nil"/>
            </w:tcBorders>
          </w:tcPr>
          <w:p w:rsidR="00000000" w:rsidRDefault="00000000">
            <w:pPr>
              <w:autoSpaceDE w:val="0"/>
              <w:autoSpaceDN w:val="0"/>
              <w:adjustRightInd w:val="0"/>
              <w:spacing w:before="40" w:after="40"/>
              <w:ind w:right="57"/>
              <w:jc w:val="right"/>
              <w:rPr>
                <w:sz w:val="20"/>
                <w:szCs w:val="22"/>
                <w:lang w:val="fr-FR"/>
              </w:rPr>
            </w:pPr>
            <w:r>
              <w:rPr>
                <w:sz w:val="20"/>
                <w:szCs w:val="22"/>
                <w:lang w:val="fr-FR"/>
              </w:rPr>
              <w:t xml:space="preserve">18 </w:t>
            </w:r>
          </w:p>
        </w:tc>
        <w:tc>
          <w:tcPr>
            <w:tcW w:w="1058" w:type="dxa"/>
            <w:tcBorders>
              <w:bottom w:val="nil"/>
            </w:tcBorders>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1 </w:t>
            </w:r>
          </w:p>
        </w:tc>
        <w:tc>
          <w:tcPr>
            <w:tcW w:w="1058" w:type="dxa"/>
            <w:tcBorders>
              <w:bottom w:val="nil"/>
            </w:tcBorders>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2 </w:t>
            </w:r>
          </w:p>
        </w:tc>
        <w:tc>
          <w:tcPr>
            <w:tcW w:w="1091" w:type="dxa"/>
            <w:tcBorders>
              <w:bottom w:val="nil"/>
            </w:tcBorders>
          </w:tcPr>
          <w:p w:rsidR="00000000" w:rsidRDefault="00000000">
            <w:pPr>
              <w:autoSpaceDE w:val="0"/>
              <w:autoSpaceDN w:val="0"/>
              <w:adjustRightInd w:val="0"/>
              <w:spacing w:before="40" w:after="40"/>
              <w:ind w:right="454"/>
              <w:jc w:val="right"/>
              <w:rPr>
                <w:sz w:val="20"/>
                <w:szCs w:val="22"/>
                <w:lang w:val="fr-FR"/>
              </w:rPr>
            </w:pPr>
            <w:r>
              <w:rPr>
                <w:sz w:val="20"/>
                <w:szCs w:val="22"/>
                <w:lang w:val="fr-FR"/>
              </w:rPr>
              <w:t xml:space="preserve">16 </w:t>
            </w:r>
          </w:p>
        </w:tc>
        <w:tc>
          <w:tcPr>
            <w:tcW w:w="1120" w:type="dxa"/>
            <w:tcBorders>
              <w:bottom w:val="nil"/>
            </w:tcBorders>
          </w:tcPr>
          <w:p w:rsidR="00000000" w:rsidRDefault="00000000">
            <w:pPr>
              <w:autoSpaceDE w:val="0"/>
              <w:autoSpaceDN w:val="0"/>
              <w:adjustRightInd w:val="0"/>
              <w:spacing w:before="40" w:after="40"/>
              <w:ind w:right="340"/>
              <w:jc w:val="right"/>
              <w:rPr>
                <w:sz w:val="20"/>
                <w:szCs w:val="22"/>
                <w:lang w:val="fr-FR"/>
              </w:rPr>
            </w:pPr>
            <w:r>
              <w:rPr>
                <w:sz w:val="20"/>
                <w:szCs w:val="22"/>
                <w:lang w:val="fr-FR"/>
              </w:rPr>
              <w:t xml:space="preserve">276 </w:t>
            </w:r>
          </w:p>
        </w:tc>
        <w:tc>
          <w:tcPr>
            <w:tcW w:w="882" w:type="dxa"/>
            <w:tcBorders>
              <w:bottom w:val="nil"/>
            </w:tcBorders>
          </w:tcPr>
          <w:p w:rsidR="00000000" w:rsidRDefault="00000000">
            <w:pPr>
              <w:autoSpaceDE w:val="0"/>
              <w:autoSpaceDN w:val="0"/>
              <w:adjustRightInd w:val="0"/>
              <w:spacing w:before="40" w:after="40"/>
              <w:ind w:right="227"/>
              <w:jc w:val="right"/>
              <w:rPr>
                <w:sz w:val="20"/>
                <w:szCs w:val="22"/>
                <w:lang w:val="fr-FR"/>
              </w:rPr>
            </w:pPr>
            <w:r>
              <w:rPr>
                <w:sz w:val="20"/>
                <w:szCs w:val="22"/>
                <w:lang w:val="fr-FR"/>
              </w:rPr>
              <w:t xml:space="preserve">313 </w:t>
            </w:r>
          </w:p>
        </w:tc>
        <w:tc>
          <w:tcPr>
            <w:tcW w:w="1054" w:type="dxa"/>
            <w:tcBorders>
              <w:bottom w:val="nil"/>
            </w:tcBorders>
            <w:vAlign w:val="center"/>
          </w:tcPr>
          <w:p w:rsidR="00000000" w:rsidRDefault="00000000">
            <w:pPr>
              <w:tabs>
                <w:tab w:val="decimal" w:pos="478"/>
              </w:tabs>
              <w:autoSpaceDE w:val="0"/>
              <w:autoSpaceDN w:val="0"/>
              <w:adjustRightInd w:val="0"/>
              <w:spacing w:before="40" w:after="40"/>
              <w:rPr>
                <w:sz w:val="20"/>
                <w:szCs w:val="22"/>
                <w:lang w:val="fr-FR"/>
              </w:rPr>
            </w:pPr>
            <w:r>
              <w:rPr>
                <w:sz w:val="20"/>
                <w:szCs w:val="22"/>
                <w:lang w:val="fr-FR"/>
              </w:rPr>
              <w:t xml:space="preserve">1,70  </w:t>
            </w:r>
          </w:p>
        </w:tc>
      </w:tr>
      <w:tr w:rsidR="00000000">
        <w:tblPrEx>
          <w:tblCellMar>
            <w:top w:w="0" w:type="dxa"/>
            <w:bottom w:w="0" w:type="dxa"/>
          </w:tblCellMar>
        </w:tblPrEx>
        <w:trPr>
          <w:jc w:val="center"/>
        </w:trPr>
        <w:tc>
          <w:tcPr>
            <w:tcW w:w="2471" w:type="dxa"/>
            <w:tcBorders>
              <w:top w:val="nil"/>
              <w:bottom w:val="single" w:sz="4" w:space="0" w:color="auto"/>
            </w:tcBorders>
          </w:tcPr>
          <w:p w:rsidR="00000000" w:rsidRDefault="00000000">
            <w:pPr>
              <w:tabs>
                <w:tab w:val="left" w:pos="263"/>
              </w:tabs>
              <w:autoSpaceDE w:val="0"/>
              <w:autoSpaceDN w:val="0"/>
              <w:adjustRightInd w:val="0"/>
              <w:spacing w:before="40" w:after="80"/>
              <w:jc w:val="both"/>
              <w:rPr>
                <w:sz w:val="20"/>
                <w:szCs w:val="22"/>
                <w:lang w:val="fr-FR"/>
              </w:rPr>
            </w:pPr>
            <w:r>
              <w:rPr>
                <w:sz w:val="20"/>
                <w:szCs w:val="22"/>
                <w:lang w:val="fr-FR"/>
              </w:rPr>
              <w:tab/>
              <w:t xml:space="preserve">Totaux </w:t>
            </w:r>
          </w:p>
        </w:tc>
        <w:tc>
          <w:tcPr>
            <w:tcW w:w="565" w:type="dxa"/>
            <w:tcBorders>
              <w:top w:val="nil"/>
              <w:bottom w:val="single" w:sz="4" w:space="0" w:color="auto"/>
            </w:tcBorders>
          </w:tcPr>
          <w:p w:rsidR="00000000" w:rsidRDefault="00000000">
            <w:pPr>
              <w:autoSpaceDE w:val="0"/>
              <w:autoSpaceDN w:val="0"/>
              <w:adjustRightInd w:val="0"/>
              <w:spacing w:before="40" w:after="80"/>
              <w:ind w:right="57"/>
              <w:jc w:val="right"/>
              <w:rPr>
                <w:sz w:val="20"/>
                <w:szCs w:val="22"/>
                <w:lang w:val="fr-FR"/>
              </w:rPr>
            </w:pPr>
            <w:r>
              <w:rPr>
                <w:sz w:val="20"/>
                <w:szCs w:val="22"/>
                <w:lang w:val="fr-FR"/>
              </w:rPr>
              <w:t xml:space="preserve">638 </w:t>
            </w:r>
          </w:p>
        </w:tc>
        <w:tc>
          <w:tcPr>
            <w:tcW w:w="1058" w:type="dxa"/>
            <w:tcBorders>
              <w:top w:val="nil"/>
              <w:bottom w:val="single" w:sz="4" w:space="0" w:color="auto"/>
            </w:tcBorders>
          </w:tcPr>
          <w:p w:rsidR="00000000" w:rsidRDefault="00000000">
            <w:pPr>
              <w:autoSpaceDE w:val="0"/>
              <w:autoSpaceDN w:val="0"/>
              <w:adjustRightInd w:val="0"/>
              <w:spacing w:before="40" w:after="80"/>
              <w:ind w:right="454"/>
              <w:jc w:val="right"/>
              <w:rPr>
                <w:sz w:val="20"/>
                <w:szCs w:val="22"/>
                <w:lang w:val="fr-FR"/>
              </w:rPr>
            </w:pPr>
            <w:r>
              <w:rPr>
                <w:sz w:val="20"/>
                <w:szCs w:val="22"/>
                <w:lang w:val="fr-FR"/>
              </w:rPr>
              <w:t xml:space="preserve">69 </w:t>
            </w:r>
          </w:p>
        </w:tc>
        <w:tc>
          <w:tcPr>
            <w:tcW w:w="1058" w:type="dxa"/>
            <w:tcBorders>
              <w:top w:val="nil"/>
              <w:bottom w:val="single" w:sz="4" w:space="0" w:color="auto"/>
            </w:tcBorders>
          </w:tcPr>
          <w:p w:rsidR="00000000" w:rsidRDefault="00000000">
            <w:pPr>
              <w:autoSpaceDE w:val="0"/>
              <w:autoSpaceDN w:val="0"/>
              <w:adjustRightInd w:val="0"/>
              <w:spacing w:before="40" w:after="80"/>
              <w:ind w:right="454"/>
              <w:jc w:val="right"/>
              <w:rPr>
                <w:sz w:val="20"/>
                <w:szCs w:val="22"/>
                <w:lang w:val="fr-FR"/>
              </w:rPr>
            </w:pPr>
            <w:r>
              <w:rPr>
                <w:sz w:val="20"/>
                <w:szCs w:val="22"/>
                <w:lang w:val="fr-FR"/>
              </w:rPr>
              <w:t xml:space="preserve">80 </w:t>
            </w:r>
          </w:p>
        </w:tc>
        <w:tc>
          <w:tcPr>
            <w:tcW w:w="1091" w:type="dxa"/>
            <w:tcBorders>
              <w:top w:val="nil"/>
              <w:bottom w:val="single" w:sz="4" w:space="0" w:color="auto"/>
            </w:tcBorders>
          </w:tcPr>
          <w:p w:rsidR="00000000" w:rsidRDefault="00000000">
            <w:pPr>
              <w:autoSpaceDE w:val="0"/>
              <w:autoSpaceDN w:val="0"/>
              <w:adjustRightInd w:val="0"/>
              <w:spacing w:before="40" w:after="80"/>
              <w:ind w:right="454"/>
              <w:jc w:val="right"/>
              <w:rPr>
                <w:sz w:val="20"/>
                <w:szCs w:val="22"/>
                <w:lang w:val="fr-FR"/>
              </w:rPr>
            </w:pPr>
            <w:r>
              <w:rPr>
                <w:sz w:val="20"/>
                <w:szCs w:val="22"/>
                <w:lang w:val="fr-FR"/>
              </w:rPr>
              <w:t xml:space="preserve">910 </w:t>
            </w:r>
          </w:p>
        </w:tc>
        <w:tc>
          <w:tcPr>
            <w:tcW w:w="1120" w:type="dxa"/>
            <w:tcBorders>
              <w:top w:val="nil"/>
              <w:bottom w:val="single" w:sz="4" w:space="0" w:color="auto"/>
            </w:tcBorders>
          </w:tcPr>
          <w:p w:rsidR="00000000" w:rsidRDefault="00000000">
            <w:pPr>
              <w:autoSpaceDE w:val="0"/>
              <w:autoSpaceDN w:val="0"/>
              <w:adjustRightInd w:val="0"/>
              <w:spacing w:before="40" w:after="80"/>
              <w:ind w:right="340"/>
              <w:jc w:val="right"/>
              <w:rPr>
                <w:sz w:val="20"/>
                <w:szCs w:val="22"/>
                <w:lang w:val="fr-FR"/>
              </w:rPr>
            </w:pPr>
            <w:r>
              <w:rPr>
                <w:sz w:val="20"/>
                <w:szCs w:val="22"/>
                <w:lang w:val="fr-FR"/>
              </w:rPr>
              <w:t xml:space="preserve">16 758 </w:t>
            </w:r>
          </w:p>
        </w:tc>
        <w:tc>
          <w:tcPr>
            <w:tcW w:w="882" w:type="dxa"/>
            <w:tcBorders>
              <w:top w:val="nil"/>
              <w:bottom w:val="single" w:sz="4" w:space="0" w:color="auto"/>
            </w:tcBorders>
          </w:tcPr>
          <w:p w:rsidR="00000000" w:rsidRDefault="00000000">
            <w:pPr>
              <w:autoSpaceDE w:val="0"/>
              <w:autoSpaceDN w:val="0"/>
              <w:adjustRightInd w:val="0"/>
              <w:spacing w:before="40" w:after="80"/>
              <w:ind w:right="227"/>
              <w:jc w:val="right"/>
              <w:rPr>
                <w:sz w:val="20"/>
                <w:szCs w:val="22"/>
                <w:lang w:val="fr-FR"/>
              </w:rPr>
            </w:pPr>
            <w:r>
              <w:rPr>
                <w:sz w:val="20"/>
                <w:szCs w:val="22"/>
                <w:lang w:val="fr-FR"/>
              </w:rPr>
              <w:t xml:space="preserve">18 455 </w:t>
            </w:r>
          </w:p>
        </w:tc>
        <w:tc>
          <w:tcPr>
            <w:tcW w:w="1054" w:type="dxa"/>
            <w:tcBorders>
              <w:top w:val="nil"/>
              <w:bottom w:val="single" w:sz="4" w:space="0" w:color="auto"/>
            </w:tcBorders>
            <w:vAlign w:val="center"/>
          </w:tcPr>
          <w:p w:rsidR="00000000" w:rsidRDefault="00000000">
            <w:pPr>
              <w:tabs>
                <w:tab w:val="decimal" w:pos="478"/>
              </w:tabs>
              <w:autoSpaceDE w:val="0"/>
              <w:autoSpaceDN w:val="0"/>
              <w:adjustRightInd w:val="0"/>
              <w:spacing w:before="40" w:after="80"/>
              <w:rPr>
                <w:sz w:val="20"/>
                <w:szCs w:val="22"/>
                <w:lang w:val="fr-FR"/>
              </w:rPr>
            </w:pPr>
            <w:r>
              <w:rPr>
                <w:sz w:val="20"/>
                <w:szCs w:val="22"/>
                <w:lang w:val="fr-FR"/>
              </w:rPr>
              <w:t xml:space="preserve">100,00  </w:t>
            </w:r>
          </w:p>
        </w:tc>
      </w:tr>
    </w:tbl>
    <w:p w:rsidR="00000000" w:rsidRDefault="00000000">
      <w:pPr>
        <w:autoSpaceDE w:val="0"/>
        <w:autoSpaceDN w:val="0"/>
        <w:adjustRightInd w:val="0"/>
        <w:spacing w:after="240"/>
        <w:jc w:val="both"/>
        <w:rPr>
          <w:color w:val="000000"/>
          <w:szCs w:val="22"/>
          <w:lang w:val="fr-FR"/>
        </w:rPr>
      </w:pPr>
    </w:p>
    <w:p w:rsidR="00000000" w:rsidRDefault="00000000">
      <w:pPr>
        <w:autoSpaceDE w:val="0"/>
        <w:autoSpaceDN w:val="0"/>
        <w:adjustRightInd w:val="0"/>
        <w:jc w:val="center"/>
        <w:rPr>
          <w:b/>
          <w:bCs/>
          <w:color w:val="000000"/>
          <w:sz w:val="20"/>
          <w:szCs w:val="22"/>
          <w:lang w:val="fr-FR"/>
        </w:rPr>
      </w:pPr>
      <w:r>
        <w:rPr>
          <w:b/>
          <w:bCs/>
          <w:color w:val="000000"/>
          <w:sz w:val="20"/>
          <w:szCs w:val="22"/>
          <w:lang w:val="fr-FR"/>
        </w:rPr>
        <w:t>Accidents professionnels, évolution et tendance</w:t>
      </w:r>
    </w:p>
    <w:p w:rsidR="00000000" w:rsidRDefault="00000000">
      <w:pPr>
        <w:autoSpaceDE w:val="0"/>
        <w:autoSpaceDN w:val="0"/>
        <w:adjustRightInd w:val="0"/>
        <w:spacing w:after="120"/>
        <w:jc w:val="center"/>
        <w:rPr>
          <w:i/>
          <w:iCs/>
          <w:color w:val="000000"/>
          <w:sz w:val="20"/>
          <w:szCs w:val="22"/>
          <w:lang w:val="fr-FR"/>
        </w:rPr>
      </w:pPr>
      <w:r>
        <w:rPr>
          <w:b/>
          <w:bCs/>
          <w:color w:val="000000"/>
          <w:sz w:val="20"/>
          <w:szCs w:val="22"/>
          <w:lang w:val="fr-FR"/>
        </w:rPr>
        <w:t xml:space="preserve">Indices d’évaluation de la sécurité en Équateur </w:t>
      </w:r>
      <w:r>
        <w:rPr>
          <w:b/>
          <w:bCs/>
          <w:color w:val="000000"/>
          <w:sz w:val="20"/>
          <w:szCs w:val="22"/>
          <w:lang w:val="fr-FR"/>
        </w:rPr>
        <w:br/>
      </w:r>
      <w:r>
        <w:rPr>
          <w:i/>
          <w:iCs/>
          <w:color w:val="000000"/>
          <w:sz w:val="20"/>
          <w:szCs w:val="22"/>
          <w:lang w:val="fr-FR"/>
        </w:rPr>
        <w:t>(affiliés à l’IESS)</w:t>
      </w:r>
    </w:p>
    <w:tbl>
      <w:tblPr>
        <w:tblW w:w="7371" w:type="dxa"/>
        <w:jc w:val="center"/>
        <w:tblBorders>
          <w:top w:val="single" w:sz="4" w:space="0" w:color="auto"/>
        </w:tblBorders>
        <w:tblLayout w:type="fixed"/>
        <w:tblCellMar>
          <w:left w:w="40" w:type="dxa"/>
          <w:right w:w="40" w:type="dxa"/>
        </w:tblCellMar>
        <w:tblLook w:val="0000" w:firstRow="0" w:lastRow="0" w:firstColumn="0" w:lastColumn="0" w:noHBand="0" w:noVBand="0"/>
      </w:tblPr>
      <w:tblGrid>
        <w:gridCol w:w="1814"/>
        <w:gridCol w:w="1852"/>
        <w:gridCol w:w="1852"/>
        <w:gridCol w:w="1853"/>
      </w:tblGrid>
      <w:tr w:rsidR="00000000">
        <w:tblPrEx>
          <w:tblCellMar>
            <w:top w:w="0" w:type="dxa"/>
            <w:bottom w:w="0" w:type="dxa"/>
          </w:tblCellMar>
        </w:tblPrEx>
        <w:trPr>
          <w:jc w:val="center"/>
        </w:trPr>
        <w:tc>
          <w:tcPr>
            <w:tcW w:w="1584"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Année</w:t>
            </w:r>
          </w:p>
        </w:tc>
        <w:tc>
          <w:tcPr>
            <w:tcW w:w="1618"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Indice de fréquence</w:t>
            </w:r>
          </w:p>
        </w:tc>
        <w:tc>
          <w:tcPr>
            <w:tcW w:w="1618"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Indice de gravité</w:t>
            </w:r>
          </w:p>
        </w:tc>
        <w:tc>
          <w:tcPr>
            <w:tcW w:w="1619"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Taux de risque</w:t>
            </w:r>
          </w:p>
        </w:tc>
      </w:tr>
      <w:tr w:rsidR="00000000">
        <w:tblPrEx>
          <w:tblCellMar>
            <w:top w:w="0" w:type="dxa"/>
            <w:bottom w:w="0" w:type="dxa"/>
          </w:tblCellMar>
        </w:tblPrEx>
        <w:trPr>
          <w:jc w:val="center"/>
        </w:trPr>
        <w:tc>
          <w:tcPr>
            <w:tcW w:w="1584" w:type="dxa"/>
            <w:tcBorders>
              <w:top w:val="single" w:sz="4" w:space="0" w:color="auto"/>
            </w:tcBorders>
          </w:tcPr>
          <w:p w:rsidR="00000000" w:rsidRDefault="00000000">
            <w:pPr>
              <w:autoSpaceDE w:val="0"/>
              <w:autoSpaceDN w:val="0"/>
              <w:adjustRightInd w:val="0"/>
              <w:spacing w:before="60" w:after="60"/>
              <w:jc w:val="both"/>
              <w:rPr>
                <w:color w:val="000000"/>
                <w:sz w:val="20"/>
                <w:szCs w:val="22"/>
                <w:lang w:val="fr-FR"/>
              </w:rPr>
            </w:pPr>
            <w:r>
              <w:rPr>
                <w:color w:val="000000"/>
                <w:sz w:val="20"/>
                <w:szCs w:val="22"/>
                <w:lang w:val="fr-FR"/>
              </w:rPr>
              <w:t xml:space="preserve">1988 </w:t>
            </w:r>
          </w:p>
        </w:tc>
        <w:tc>
          <w:tcPr>
            <w:tcW w:w="1618" w:type="dxa"/>
            <w:tcBorders>
              <w:top w:val="single" w:sz="4" w:space="0" w:color="auto"/>
            </w:tcBorders>
          </w:tcPr>
          <w:p w:rsidR="00000000" w:rsidRDefault="00000000">
            <w:pPr>
              <w:tabs>
                <w:tab w:val="decimal" w:pos="763"/>
              </w:tabs>
              <w:autoSpaceDE w:val="0"/>
              <w:autoSpaceDN w:val="0"/>
              <w:adjustRightInd w:val="0"/>
              <w:spacing w:before="60" w:after="60"/>
              <w:rPr>
                <w:color w:val="000000"/>
                <w:sz w:val="20"/>
                <w:szCs w:val="22"/>
                <w:lang w:val="fr-FR"/>
              </w:rPr>
            </w:pPr>
            <w:r>
              <w:rPr>
                <w:color w:val="000000"/>
                <w:sz w:val="20"/>
                <w:szCs w:val="22"/>
                <w:lang w:val="fr-FR"/>
              </w:rPr>
              <w:t xml:space="preserve">2,90 </w:t>
            </w:r>
          </w:p>
        </w:tc>
        <w:tc>
          <w:tcPr>
            <w:tcW w:w="1618" w:type="dxa"/>
            <w:tcBorders>
              <w:top w:val="single" w:sz="4" w:space="0" w:color="auto"/>
            </w:tcBorders>
          </w:tcPr>
          <w:p w:rsidR="00000000" w:rsidRDefault="00000000">
            <w:pPr>
              <w:tabs>
                <w:tab w:val="decimal" w:pos="853"/>
              </w:tabs>
              <w:autoSpaceDE w:val="0"/>
              <w:autoSpaceDN w:val="0"/>
              <w:adjustRightInd w:val="0"/>
              <w:spacing w:before="60" w:after="60"/>
              <w:rPr>
                <w:color w:val="000000"/>
                <w:sz w:val="20"/>
                <w:szCs w:val="22"/>
                <w:lang w:val="fr-FR"/>
              </w:rPr>
            </w:pPr>
            <w:r>
              <w:rPr>
                <w:color w:val="000000"/>
                <w:sz w:val="20"/>
                <w:szCs w:val="22"/>
                <w:lang w:val="fr-FR"/>
              </w:rPr>
              <w:t xml:space="preserve">670,00 </w:t>
            </w:r>
          </w:p>
        </w:tc>
        <w:tc>
          <w:tcPr>
            <w:tcW w:w="1619" w:type="dxa"/>
            <w:tcBorders>
              <w:top w:val="single" w:sz="4" w:space="0" w:color="auto"/>
            </w:tcBorders>
          </w:tcPr>
          <w:p w:rsidR="00000000" w:rsidRDefault="00000000">
            <w:pPr>
              <w:tabs>
                <w:tab w:val="decimal" w:pos="853"/>
              </w:tabs>
              <w:autoSpaceDE w:val="0"/>
              <w:autoSpaceDN w:val="0"/>
              <w:adjustRightInd w:val="0"/>
              <w:spacing w:before="60" w:after="60"/>
              <w:rPr>
                <w:color w:val="000000"/>
                <w:sz w:val="20"/>
                <w:szCs w:val="22"/>
                <w:lang w:val="fr-FR"/>
              </w:rPr>
            </w:pPr>
            <w:r>
              <w:rPr>
                <w:color w:val="000000"/>
                <w:sz w:val="20"/>
                <w:szCs w:val="22"/>
                <w:lang w:val="fr-FR"/>
              </w:rPr>
              <w:t xml:space="preserve">231,30  </w:t>
            </w:r>
          </w:p>
        </w:tc>
      </w:tr>
      <w:tr w:rsidR="00000000">
        <w:tblPrEx>
          <w:tblCellMar>
            <w:top w:w="0" w:type="dxa"/>
            <w:bottom w:w="0" w:type="dxa"/>
          </w:tblCellMar>
        </w:tblPrEx>
        <w:trPr>
          <w:jc w:val="center"/>
        </w:trPr>
        <w:tc>
          <w:tcPr>
            <w:tcW w:w="1584" w:type="dxa"/>
          </w:tcPr>
          <w:p w:rsidR="00000000" w:rsidRDefault="00000000">
            <w:pPr>
              <w:autoSpaceDE w:val="0"/>
              <w:autoSpaceDN w:val="0"/>
              <w:adjustRightInd w:val="0"/>
              <w:spacing w:before="60" w:after="60"/>
              <w:jc w:val="both"/>
              <w:rPr>
                <w:color w:val="000000"/>
                <w:sz w:val="20"/>
                <w:szCs w:val="22"/>
                <w:lang w:val="fr-FR"/>
              </w:rPr>
            </w:pPr>
            <w:r>
              <w:rPr>
                <w:color w:val="000000"/>
                <w:sz w:val="20"/>
                <w:szCs w:val="22"/>
                <w:lang w:val="fr-FR"/>
              </w:rPr>
              <w:t xml:space="preserve">1989 </w:t>
            </w:r>
          </w:p>
        </w:tc>
        <w:tc>
          <w:tcPr>
            <w:tcW w:w="1618" w:type="dxa"/>
          </w:tcPr>
          <w:p w:rsidR="00000000" w:rsidRDefault="00000000">
            <w:pPr>
              <w:tabs>
                <w:tab w:val="decimal" w:pos="763"/>
              </w:tabs>
              <w:autoSpaceDE w:val="0"/>
              <w:autoSpaceDN w:val="0"/>
              <w:adjustRightInd w:val="0"/>
              <w:spacing w:before="60" w:after="60"/>
              <w:rPr>
                <w:color w:val="000000"/>
                <w:sz w:val="20"/>
                <w:szCs w:val="22"/>
                <w:lang w:val="fr-FR"/>
              </w:rPr>
            </w:pPr>
            <w:r>
              <w:rPr>
                <w:color w:val="000000"/>
                <w:sz w:val="20"/>
                <w:szCs w:val="22"/>
                <w:lang w:val="fr-FR"/>
              </w:rPr>
              <w:t xml:space="preserve">3,45 </w:t>
            </w:r>
          </w:p>
        </w:tc>
        <w:tc>
          <w:tcPr>
            <w:tcW w:w="1618" w:type="dxa"/>
          </w:tcPr>
          <w:p w:rsidR="00000000" w:rsidRDefault="00000000">
            <w:pPr>
              <w:tabs>
                <w:tab w:val="decimal" w:pos="853"/>
              </w:tabs>
              <w:autoSpaceDE w:val="0"/>
              <w:autoSpaceDN w:val="0"/>
              <w:adjustRightInd w:val="0"/>
              <w:spacing w:before="60" w:after="60"/>
              <w:rPr>
                <w:color w:val="000000"/>
                <w:sz w:val="20"/>
                <w:szCs w:val="22"/>
                <w:lang w:val="fr-FR"/>
              </w:rPr>
            </w:pPr>
            <w:r>
              <w:rPr>
                <w:color w:val="000000"/>
                <w:sz w:val="20"/>
                <w:szCs w:val="22"/>
                <w:lang w:val="fr-FR"/>
              </w:rPr>
              <w:t xml:space="preserve">735,96 </w:t>
            </w:r>
          </w:p>
        </w:tc>
        <w:tc>
          <w:tcPr>
            <w:tcW w:w="1619" w:type="dxa"/>
          </w:tcPr>
          <w:p w:rsidR="00000000" w:rsidRDefault="00000000">
            <w:pPr>
              <w:tabs>
                <w:tab w:val="decimal" w:pos="853"/>
              </w:tabs>
              <w:autoSpaceDE w:val="0"/>
              <w:autoSpaceDN w:val="0"/>
              <w:adjustRightInd w:val="0"/>
              <w:spacing w:before="60" w:after="60"/>
              <w:rPr>
                <w:color w:val="000000"/>
                <w:sz w:val="20"/>
                <w:szCs w:val="22"/>
                <w:lang w:val="fr-FR"/>
              </w:rPr>
            </w:pPr>
            <w:r>
              <w:rPr>
                <w:color w:val="000000"/>
                <w:sz w:val="20"/>
                <w:szCs w:val="22"/>
                <w:lang w:val="fr-FR"/>
              </w:rPr>
              <w:t xml:space="preserve">210,27  </w:t>
            </w:r>
          </w:p>
        </w:tc>
      </w:tr>
      <w:tr w:rsidR="00000000">
        <w:tblPrEx>
          <w:tblCellMar>
            <w:top w:w="0" w:type="dxa"/>
            <w:bottom w:w="0" w:type="dxa"/>
          </w:tblCellMar>
        </w:tblPrEx>
        <w:trPr>
          <w:jc w:val="center"/>
        </w:trPr>
        <w:tc>
          <w:tcPr>
            <w:tcW w:w="1584" w:type="dxa"/>
          </w:tcPr>
          <w:p w:rsidR="00000000" w:rsidRDefault="00000000">
            <w:pPr>
              <w:autoSpaceDE w:val="0"/>
              <w:autoSpaceDN w:val="0"/>
              <w:adjustRightInd w:val="0"/>
              <w:spacing w:before="60" w:after="60"/>
              <w:jc w:val="both"/>
              <w:rPr>
                <w:color w:val="000000"/>
                <w:sz w:val="20"/>
                <w:szCs w:val="22"/>
                <w:lang w:val="fr-FR"/>
              </w:rPr>
            </w:pPr>
            <w:r>
              <w:rPr>
                <w:color w:val="000000"/>
                <w:sz w:val="20"/>
                <w:szCs w:val="22"/>
                <w:lang w:val="fr-FR"/>
              </w:rPr>
              <w:t xml:space="preserve">1990 </w:t>
            </w:r>
          </w:p>
        </w:tc>
        <w:tc>
          <w:tcPr>
            <w:tcW w:w="1618" w:type="dxa"/>
          </w:tcPr>
          <w:p w:rsidR="00000000" w:rsidRDefault="00000000">
            <w:pPr>
              <w:tabs>
                <w:tab w:val="decimal" w:pos="763"/>
              </w:tabs>
              <w:autoSpaceDE w:val="0"/>
              <w:autoSpaceDN w:val="0"/>
              <w:adjustRightInd w:val="0"/>
              <w:spacing w:before="60" w:after="60"/>
              <w:rPr>
                <w:color w:val="000000"/>
                <w:sz w:val="20"/>
                <w:szCs w:val="22"/>
                <w:lang w:val="fr-FR"/>
              </w:rPr>
            </w:pPr>
            <w:r>
              <w:rPr>
                <w:color w:val="000000"/>
                <w:sz w:val="20"/>
                <w:szCs w:val="22"/>
                <w:lang w:val="fr-FR"/>
              </w:rPr>
              <w:t xml:space="preserve">2,86 </w:t>
            </w:r>
          </w:p>
        </w:tc>
        <w:tc>
          <w:tcPr>
            <w:tcW w:w="1618" w:type="dxa"/>
          </w:tcPr>
          <w:p w:rsidR="00000000" w:rsidRDefault="00000000">
            <w:pPr>
              <w:tabs>
                <w:tab w:val="decimal" w:pos="853"/>
              </w:tabs>
              <w:autoSpaceDE w:val="0"/>
              <w:autoSpaceDN w:val="0"/>
              <w:adjustRightInd w:val="0"/>
              <w:spacing w:before="60" w:after="60"/>
              <w:rPr>
                <w:color w:val="000000"/>
                <w:sz w:val="20"/>
                <w:szCs w:val="22"/>
                <w:lang w:val="fr-FR"/>
              </w:rPr>
            </w:pPr>
            <w:r>
              <w:rPr>
                <w:color w:val="000000"/>
                <w:sz w:val="20"/>
                <w:szCs w:val="22"/>
                <w:lang w:val="fr-FR"/>
              </w:rPr>
              <w:t xml:space="preserve">913,34 </w:t>
            </w:r>
          </w:p>
        </w:tc>
        <w:tc>
          <w:tcPr>
            <w:tcW w:w="1619" w:type="dxa"/>
          </w:tcPr>
          <w:p w:rsidR="00000000" w:rsidRDefault="00000000">
            <w:pPr>
              <w:tabs>
                <w:tab w:val="decimal" w:pos="853"/>
              </w:tabs>
              <w:autoSpaceDE w:val="0"/>
              <w:autoSpaceDN w:val="0"/>
              <w:adjustRightInd w:val="0"/>
              <w:spacing w:before="60" w:after="60"/>
              <w:rPr>
                <w:color w:val="000000"/>
                <w:sz w:val="20"/>
                <w:szCs w:val="22"/>
                <w:lang w:val="fr-FR"/>
              </w:rPr>
            </w:pPr>
            <w:r>
              <w:rPr>
                <w:color w:val="000000"/>
                <w:sz w:val="20"/>
                <w:szCs w:val="22"/>
                <w:lang w:val="fr-FR"/>
              </w:rPr>
              <w:t xml:space="preserve">319,34  </w:t>
            </w:r>
          </w:p>
        </w:tc>
      </w:tr>
      <w:tr w:rsidR="00000000">
        <w:tblPrEx>
          <w:tblCellMar>
            <w:top w:w="0" w:type="dxa"/>
            <w:bottom w:w="0" w:type="dxa"/>
          </w:tblCellMar>
        </w:tblPrEx>
        <w:trPr>
          <w:jc w:val="center"/>
        </w:trPr>
        <w:tc>
          <w:tcPr>
            <w:tcW w:w="1584" w:type="dxa"/>
            <w:tcBorders>
              <w:bottom w:val="nil"/>
            </w:tcBorders>
          </w:tcPr>
          <w:p w:rsidR="00000000" w:rsidRDefault="00000000">
            <w:pPr>
              <w:autoSpaceDE w:val="0"/>
              <w:autoSpaceDN w:val="0"/>
              <w:adjustRightInd w:val="0"/>
              <w:spacing w:before="60" w:after="60"/>
              <w:jc w:val="both"/>
              <w:rPr>
                <w:color w:val="000000"/>
                <w:sz w:val="20"/>
                <w:szCs w:val="22"/>
                <w:lang w:val="fr-FR"/>
              </w:rPr>
            </w:pPr>
            <w:r>
              <w:rPr>
                <w:color w:val="000000"/>
                <w:sz w:val="20"/>
                <w:szCs w:val="22"/>
                <w:lang w:val="fr-FR"/>
              </w:rPr>
              <w:t xml:space="preserve">1991 </w:t>
            </w:r>
          </w:p>
        </w:tc>
        <w:tc>
          <w:tcPr>
            <w:tcW w:w="1618" w:type="dxa"/>
            <w:tcBorders>
              <w:bottom w:val="nil"/>
            </w:tcBorders>
          </w:tcPr>
          <w:p w:rsidR="00000000" w:rsidRDefault="00000000">
            <w:pPr>
              <w:tabs>
                <w:tab w:val="decimal" w:pos="763"/>
              </w:tabs>
              <w:autoSpaceDE w:val="0"/>
              <w:autoSpaceDN w:val="0"/>
              <w:adjustRightInd w:val="0"/>
              <w:spacing w:before="60" w:after="60"/>
              <w:rPr>
                <w:color w:val="000000"/>
                <w:sz w:val="20"/>
                <w:szCs w:val="22"/>
                <w:lang w:val="fr-FR"/>
              </w:rPr>
            </w:pPr>
            <w:r>
              <w:rPr>
                <w:color w:val="000000"/>
                <w:sz w:val="20"/>
                <w:szCs w:val="22"/>
                <w:lang w:val="fr-FR"/>
              </w:rPr>
              <w:t xml:space="preserve">2,71 </w:t>
            </w:r>
          </w:p>
        </w:tc>
        <w:tc>
          <w:tcPr>
            <w:tcW w:w="1618" w:type="dxa"/>
            <w:tcBorders>
              <w:bottom w:val="nil"/>
            </w:tcBorders>
          </w:tcPr>
          <w:p w:rsidR="00000000" w:rsidRDefault="00000000">
            <w:pPr>
              <w:tabs>
                <w:tab w:val="decimal" w:pos="853"/>
              </w:tabs>
              <w:autoSpaceDE w:val="0"/>
              <w:autoSpaceDN w:val="0"/>
              <w:adjustRightInd w:val="0"/>
              <w:spacing w:before="60" w:after="60"/>
              <w:rPr>
                <w:color w:val="000000"/>
                <w:sz w:val="20"/>
                <w:szCs w:val="22"/>
                <w:lang w:val="fr-FR"/>
              </w:rPr>
            </w:pPr>
            <w:r>
              <w:rPr>
                <w:color w:val="000000"/>
                <w:sz w:val="20"/>
                <w:szCs w:val="22"/>
                <w:lang w:val="fr-FR"/>
              </w:rPr>
              <w:t xml:space="preserve">766,91 </w:t>
            </w:r>
          </w:p>
        </w:tc>
        <w:tc>
          <w:tcPr>
            <w:tcW w:w="1619" w:type="dxa"/>
            <w:tcBorders>
              <w:bottom w:val="nil"/>
            </w:tcBorders>
          </w:tcPr>
          <w:p w:rsidR="00000000" w:rsidRDefault="00000000">
            <w:pPr>
              <w:tabs>
                <w:tab w:val="decimal" w:pos="853"/>
              </w:tabs>
              <w:autoSpaceDE w:val="0"/>
              <w:autoSpaceDN w:val="0"/>
              <w:adjustRightInd w:val="0"/>
              <w:spacing w:before="60" w:after="60"/>
              <w:rPr>
                <w:color w:val="000000"/>
                <w:sz w:val="20"/>
                <w:szCs w:val="22"/>
                <w:lang w:val="fr-FR"/>
              </w:rPr>
            </w:pPr>
            <w:r>
              <w:rPr>
                <w:color w:val="000000"/>
                <w:sz w:val="20"/>
                <w:szCs w:val="22"/>
                <w:lang w:val="fr-FR"/>
              </w:rPr>
              <w:t xml:space="preserve">282,99  </w:t>
            </w:r>
          </w:p>
        </w:tc>
      </w:tr>
      <w:tr w:rsidR="00000000">
        <w:tblPrEx>
          <w:tblCellMar>
            <w:top w:w="0" w:type="dxa"/>
            <w:bottom w:w="0" w:type="dxa"/>
          </w:tblCellMar>
        </w:tblPrEx>
        <w:trPr>
          <w:jc w:val="center"/>
        </w:trPr>
        <w:tc>
          <w:tcPr>
            <w:tcW w:w="1584" w:type="dxa"/>
            <w:tcBorders>
              <w:top w:val="nil"/>
              <w:bottom w:val="single" w:sz="4" w:space="0" w:color="auto"/>
            </w:tcBorders>
          </w:tcPr>
          <w:p w:rsidR="00000000" w:rsidRDefault="00000000">
            <w:pPr>
              <w:autoSpaceDE w:val="0"/>
              <w:autoSpaceDN w:val="0"/>
              <w:adjustRightInd w:val="0"/>
              <w:spacing w:before="60" w:after="60"/>
              <w:jc w:val="both"/>
              <w:rPr>
                <w:color w:val="000000"/>
                <w:sz w:val="20"/>
                <w:szCs w:val="22"/>
                <w:lang w:val="fr-FR"/>
              </w:rPr>
            </w:pPr>
            <w:r>
              <w:rPr>
                <w:color w:val="000000"/>
                <w:sz w:val="20"/>
                <w:szCs w:val="22"/>
                <w:lang w:val="fr-FR"/>
              </w:rPr>
              <w:t xml:space="preserve">1992 </w:t>
            </w:r>
          </w:p>
        </w:tc>
        <w:tc>
          <w:tcPr>
            <w:tcW w:w="1618" w:type="dxa"/>
            <w:tcBorders>
              <w:top w:val="nil"/>
              <w:bottom w:val="single" w:sz="4" w:space="0" w:color="auto"/>
            </w:tcBorders>
          </w:tcPr>
          <w:p w:rsidR="00000000" w:rsidRDefault="00000000">
            <w:pPr>
              <w:tabs>
                <w:tab w:val="decimal" w:pos="763"/>
              </w:tabs>
              <w:autoSpaceDE w:val="0"/>
              <w:autoSpaceDN w:val="0"/>
              <w:adjustRightInd w:val="0"/>
              <w:spacing w:before="60" w:after="60"/>
              <w:rPr>
                <w:color w:val="000000"/>
                <w:sz w:val="20"/>
                <w:szCs w:val="22"/>
                <w:lang w:val="fr-FR"/>
              </w:rPr>
            </w:pPr>
            <w:r>
              <w:rPr>
                <w:color w:val="000000"/>
                <w:sz w:val="20"/>
                <w:szCs w:val="22"/>
                <w:lang w:val="fr-FR"/>
              </w:rPr>
              <w:t xml:space="preserve">1,92 </w:t>
            </w:r>
          </w:p>
        </w:tc>
        <w:tc>
          <w:tcPr>
            <w:tcW w:w="1618" w:type="dxa"/>
            <w:tcBorders>
              <w:top w:val="nil"/>
              <w:bottom w:val="single" w:sz="4" w:space="0" w:color="auto"/>
            </w:tcBorders>
          </w:tcPr>
          <w:p w:rsidR="00000000" w:rsidRDefault="00000000">
            <w:pPr>
              <w:tabs>
                <w:tab w:val="decimal" w:pos="853"/>
              </w:tabs>
              <w:autoSpaceDE w:val="0"/>
              <w:autoSpaceDN w:val="0"/>
              <w:adjustRightInd w:val="0"/>
              <w:spacing w:before="60" w:after="60"/>
              <w:rPr>
                <w:color w:val="000000"/>
                <w:sz w:val="20"/>
                <w:szCs w:val="22"/>
                <w:lang w:val="fr-FR"/>
              </w:rPr>
            </w:pPr>
            <w:r>
              <w:rPr>
                <w:color w:val="000000"/>
                <w:sz w:val="20"/>
                <w:szCs w:val="22"/>
                <w:lang w:val="fr-FR"/>
              </w:rPr>
              <w:t xml:space="preserve">594,87 </w:t>
            </w:r>
          </w:p>
        </w:tc>
        <w:tc>
          <w:tcPr>
            <w:tcW w:w="1619" w:type="dxa"/>
            <w:tcBorders>
              <w:top w:val="nil"/>
              <w:bottom w:val="single" w:sz="4" w:space="0" w:color="auto"/>
            </w:tcBorders>
          </w:tcPr>
          <w:p w:rsidR="00000000" w:rsidRDefault="00000000">
            <w:pPr>
              <w:tabs>
                <w:tab w:val="decimal" w:pos="853"/>
              </w:tabs>
              <w:autoSpaceDE w:val="0"/>
              <w:autoSpaceDN w:val="0"/>
              <w:adjustRightInd w:val="0"/>
              <w:spacing w:before="60" w:after="60"/>
              <w:rPr>
                <w:color w:val="000000"/>
                <w:sz w:val="20"/>
                <w:szCs w:val="22"/>
                <w:lang w:val="fr-FR"/>
              </w:rPr>
            </w:pPr>
            <w:r>
              <w:rPr>
                <w:color w:val="000000"/>
                <w:sz w:val="20"/>
                <w:szCs w:val="22"/>
                <w:lang w:val="fr-FR"/>
              </w:rPr>
              <w:t xml:space="preserve">309,82  </w:t>
            </w:r>
          </w:p>
        </w:tc>
      </w:tr>
    </w:tbl>
    <w:p w:rsidR="00000000" w:rsidRDefault="00000000">
      <w:pPr>
        <w:autoSpaceDE w:val="0"/>
        <w:autoSpaceDN w:val="0"/>
        <w:adjustRightInd w:val="0"/>
        <w:ind w:left="720"/>
        <w:jc w:val="both"/>
        <w:rPr>
          <w:color w:val="000000"/>
          <w:szCs w:val="22"/>
          <w:lang w:val="fr-FR"/>
        </w:rPr>
      </w:pPr>
    </w:p>
    <w:tbl>
      <w:tblPr>
        <w:tblW w:w="6804" w:type="dxa"/>
        <w:jc w:val="center"/>
        <w:tblCellMar>
          <w:left w:w="70" w:type="dxa"/>
          <w:right w:w="70" w:type="dxa"/>
        </w:tblCellMar>
        <w:tblLook w:val="0000" w:firstRow="0" w:lastRow="0" w:firstColumn="0" w:lastColumn="0" w:noHBand="0" w:noVBand="0"/>
      </w:tblPr>
      <w:tblGrid>
        <w:gridCol w:w="2412"/>
        <w:gridCol w:w="4392"/>
      </w:tblGrid>
      <w:tr w:rsidR="00000000">
        <w:tblPrEx>
          <w:tblCellMar>
            <w:top w:w="0" w:type="dxa"/>
            <w:bottom w:w="0" w:type="dxa"/>
          </w:tblCellMar>
        </w:tblPrEx>
        <w:trPr>
          <w:jc w:val="center"/>
        </w:trPr>
        <w:tc>
          <w:tcPr>
            <w:tcW w:w="2579" w:type="dxa"/>
            <w:vAlign w:val="center"/>
          </w:tcPr>
          <w:p w:rsidR="00000000" w:rsidRDefault="00000000">
            <w:pPr>
              <w:autoSpaceDE w:val="0"/>
              <w:autoSpaceDN w:val="0"/>
              <w:adjustRightInd w:val="0"/>
              <w:spacing w:before="40" w:after="40"/>
              <w:jc w:val="center"/>
              <w:rPr>
                <w:color w:val="000000"/>
                <w:sz w:val="20"/>
                <w:szCs w:val="22"/>
                <w:lang w:val="fr-FR"/>
              </w:rPr>
            </w:pPr>
            <w:r>
              <w:rPr>
                <w:color w:val="000000"/>
                <w:sz w:val="20"/>
                <w:szCs w:val="22"/>
                <w:lang w:val="fr-FR"/>
              </w:rPr>
              <w:t>Indice de fréquence :</w:t>
            </w:r>
          </w:p>
        </w:tc>
        <w:tc>
          <w:tcPr>
            <w:tcW w:w="4792" w:type="dxa"/>
            <w:tcBorders>
              <w:bottom w:val="single" w:sz="4" w:space="0" w:color="auto"/>
            </w:tcBorders>
            <w:vAlign w:val="center"/>
          </w:tcPr>
          <w:p w:rsidR="00000000" w:rsidRDefault="00000000">
            <w:pPr>
              <w:autoSpaceDE w:val="0"/>
              <w:autoSpaceDN w:val="0"/>
              <w:adjustRightInd w:val="0"/>
              <w:spacing w:before="40" w:after="40"/>
              <w:jc w:val="center"/>
              <w:rPr>
                <w:color w:val="000000"/>
                <w:sz w:val="20"/>
                <w:szCs w:val="22"/>
                <w:lang w:val="fr-FR"/>
              </w:rPr>
            </w:pPr>
            <w:r>
              <w:rPr>
                <w:color w:val="000000"/>
                <w:sz w:val="20"/>
                <w:szCs w:val="22"/>
                <w:lang w:val="fr-FR"/>
              </w:rPr>
              <w:t>IF  = Nombre d'accidents avec congé maladie*10</w:t>
            </w:r>
            <w:r>
              <w:rPr>
                <w:color w:val="000000"/>
                <w:sz w:val="20"/>
                <w:szCs w:val="22"/>
                <w:vertAlign w:val="subscript"/>
                <w:lang w:val="fr-FR"/>
              </w:rPr>
              <w:t>6</w:t>
            </w:r>
          </w:p>
        </w:tc>
      </w:tr>
      <w:tr w:rsidR="00000000">
        <w:tblPrEx>
          <w:tblCellMar>
            <w:top w:w="0" w:type="dxa"/>
            <w:bottom w:w="0" w:type="dxa"/>
          </w:tblCellMar>
        </w:tblPrEx>
        <w:trPr>
          <w:jc w:val="center"/>
        </w:trPr>
        <w:tc>
          <w:tcPr>
            <w:tcW w:w="2582" w:type="dxa"/>
            <w:vAlign w:val="center"/>
          </w:tcPr>
          <w:p w:rsidR="00000000" w:rsidRDefault="00000000">
            <w:pPr>
              <w:autoSpaceDE w:val="0"/>
              <w:autoSpaceDN w:val="0"/>
              <w:adjustRightInd w:val="0"/>
              <w:spacing w:before="40" w:after="40"/>
              <w:jc w:val="center"/>
              <w:rPr>
                <w:color w:val="000000"/>
                <w:sz w:val="20"/>
                <w:szCs w:val="22"/>
                <w:lang w:val="fr-FR"/>
              </w:rPr>
            </w:pPr>
          </w:p>
        </w:tc>
        <w:tc>
          <w:tcPr>
            <w:tcW w:w="4789" w:type="dxa"/>
            <w:tcBorders>
              <w:top w:val="single" w:sz="4" w:space="0" w:color="auto"/>
            </w:tcBorders>
            <w:vAlign w:val="center"/>
          </w:tcPr>
          <w:p w:rsidR="00000000" w:rsidRDefault="00000000">
            <w:pPr>
              <w:autoSpaceDE w:val="0"/>
              <w:autoSpaceDN w:val="0"/>
              <w:adjustRightInd w:val="0"/>
              <w:spacing w:before="40" w:after="40"/>
              <w:jc w:val="center"/>
              <w:rPr>
                <w:color w:val="000000"/>
                <w:sz w:val="20"/>
                <w:szCs w:val="22"/>
                <w:lang w:val="fr-FR"/>
              </w:rPr>
            </w:pPr>
            <w:r>
              <w:rPr>
                <w:color w:val="000000"/>
                <w:sz w:val="20"/>
                <w:szCs w:val="22"/>
                <w:lang w:val="fr-FR"/>
              </w:rPr>
              <w:t>Nombre d'heures travaillées</w:t>
            </w:r>
          </w:p>
        </w:tc>
      </w:tr>
    </w:tbl>
    <w:p w:rsidR="00000000" w:rsidRDefault="00000000">
      <w:pPr>
        <w:autoSpaceDE w:val="0"/>
        <w:autoSpaceDN w:val="0"/>
        <w:adjustRightInd w:val="0"/>
        <w:spacing w:after="120"/>
        <w:jc w:val="center"/>
        <w:rPr>
          <w:b/>
          <w:bCs/>
          <w:color w:val="000000"/>
          <w:sz w:val="20"/>
          <w:szCs w:val="22"/>
          <w:lang w:val="fr-FR"/>
        </w:rPr>
      </w:pPr>
    </w:p>
    <w:p w:rsidR="00000000" w:rsidRDefault="00000000">
      <w:pPr>
        <w:autoSpaceDE w:val="0"/>
        <w:autoSpaceDN w:val="0"/>
        <w:adjustRightInd w:val="0"/>
        <w:spacing w:after="120"/>
        <w:jc w:val="center"/>
        <w:rPr>
          <w:b/>
          <w:bCs/>
          <w:color w:val="000000"/>
          <w:sz w:val="20"/>
          <w:szCs w:val="22"/>
          <w:lang w:val="fr-FR"/>
        </w:rPr>
      </w:pPr>
    </w:p>
    <w:p w:rsidR="00000000" w:rsidRDefault="00000000">
      <w:pPr>
        <w:autoSpaceDE w:val="0"/>
        <w:autoSpaceDN w:val="0"/>
        <w:adjustRightInd w:val="0"/>
        <w:spacing w:after="120"/>
        <w:jc w:val="center"/>
        <w:rPr>
          <w:b/>
          <w:bCs/>
          <w:i/>
          <w:iCs/>
          <w:color w:val="000000"/>
          <w:sz w:val="20"/>
          <w:szCs w:val="22"/>
          <w:lang w:val="fr-FR"/>
        </w:rPr>
      </w:pPr>
      <w:r>
        <w:rPr>
          <w:b/>
          <w:bCs/>
          <w:color w:val="000000"/>
          <w:sz w:val="20"/>
          <w:szCs w:val="22"/>
          <w:lang w:val="fr-FR"/>
        </w:rPr>
        <w:br w:type="page"/>
        <w:t xml:space="preserve">Indice d'incidence </w:t>
      </w:r>
      <w:r>
        <w:rPr>
          <w:b/>
          <w:bCs/>
          <w:color w:val="000000"/>
          <w:sz w:val="20"/>
          <w:szCs w:val="22"/>
          <w:lang w:val="fr-FR"/>
        </w:rPr>
        <w:br/>
      </w:r>
      <w:r>
        <w:rPr>
          <w:b/>
          <w:bCs/>
          <w:i/>
          <w:iCs/>
          <w:color w:val="000000"/>
          <w:sz w:val="20"/>
          <w:szCs w:val="22"/>
          <w:lang w:val="fr-FR"/>
        </w:rPr>
        <w:t>(affiliés à l’IESS)</w:t>
      </w:r>
    </w:p>
    <w:tbl>
      <w:tblPr>
        <w:tblW w:w="7371" w:type="dxa"/>
        <w:jc w:val="center"/>
        <w:tblBorders>
          <w:top w:val="single" w:sz="4" w:space="0" w:color="auto"/>
          <w:bottom w:val="single" w:sz="4" w:space="0" w:color="auto"/>
        </w:tblBorders>
        <w:tblLayout w:type="fixed"/>
        <w:tblCellMar>
          <w:left w:w="40" w:type="dxa"/>
          <w:right w:w="40" w:type="dxa"/>
        </w:tblCellMar>
        <w:tblLook w:val="0000" w:firstRow="0" w:lastRow="0" w:firstColumn="0" w:lastColumn="0" w:noHBand="0" w:noVBand="0"/>
      </w:tblPr>
      <w:tblGrid>
        <w:gridCol w:w="2506"/>
        <w:gridCol w:w="973"/>
        <w:gridCol w:w="973"/>
        <w:gridCol w:w="973"/>
        <w:gridCol w:w="973"/>
        <w:gridCol w:w="973"/>
      </w:tblGrid>
      <w:tr w:rsidR="00000000">
        <w:tblPrEx>
          <w:tblCellMar>
            <w:top w:w="0" w:type="dxa"/>
            <w:bottom w:w="0" w:type="dxa"/>
          </w:tblCellMar>
        </w:tblPrEx>
        <w:trPr>
          <w:jc w:val="center"/>
        </w:trPr>
        <w:tc>
          <w:tcPr>
            <w:tcW w:w="2191"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 xml:space="preserve">  Année </w:t>
            </w:r>
          </w:p>
        </w:tc>
        <w:tc>
          <w:tcPr>
            <w:tcW w:w="851"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 xml:space="preserve">1988 </w:t>
            </w:r>
          </w:p>
        </w:tc>
        <w:tc>
          <w:tcPr>
            <w:tcW w:w="851"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 xml:space="preserve">1989 </w:t>
            </w:r>
          </w:p>
        </w:tc>
        <w:tc>
          <w:tcPr>
            <w:tcW w:w="851"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 xml:space="preserve">1990 </w:t>
            </w:r>
          </w:p>
        </w:tc>
        <w:tc>
          <w:tcPr>
            <w:tcW w:w="851"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 xml:space="preserve">1991 </w:t>
            </w:r>
          </w:p>
        </w:tc>
        <w:tc>
          <w:tcPr>
            <w:tcW w:w="851" w:type="dxa"/>
            <w:tcBorders>
              <w:top w:val="single" w:sz="4" w:space="0" w:color="auto"/>
              <w:bottom w:val="single" w:sz="4" w:space="0" w:color="auto"/>
            </w:tcBorders>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 xml:space="preserve">1992  </w:t>
            </w:r>
          </w:p>
        </w:tc>
      </w:tr>
      <w:tr w:rsidR="00000000">
        <w:tblPrEx>
          <w:tblCellMar>
            <w:top w:w="0" w:type="dxa"/>
            <w:bottom w:w="0" w:type="dxa"/>
          </w:tblCellMar>
        </w:tblPrEx>
        <w:trPr>
          <w:jc w:val="center"/>
        </w:trPr>
        <w:tc>
          <w:tcPr>
            <w:tcW w:w="2191" w:type="dxa"/>
            <w:tcBorders>
              <w:top w:val="single" w:sz="4" w:space="0" w:color="auto"/>
            </w:tcBorders>
          </w:tcPr>
          <w:p w:rsidR="00000000" w:rsidRDefault="00000000">
            <w:pPr>
              <w:autoSpaceDE w:val="0"/>
              <w:autoSpaceDN w:val="0"/>
              <w:adjustRightInd w:val="0"/>
              <w:spacing w:before="80" w:after="80"/>
              <w:jc w:val="both"/>
              <w:rPr>
                <w:color w:val="000000"/>
                <w:sz w:val="20"/>
                <w:szCs w:val="22"/>
                <w:lang w:val="fr-FR"/>
              </w:rPr>
            </w:pPr>
            <w:r>
              <w:rPr>
                <w:color w:val="000000"/>
                <w:sz w:val="20"/>
                <w:szCs w:val="22"/>
                <w:lang w:val="fr-FR"/>
              </w:rPr>
              <w:t xml:space="preserve">Indice d'incidence </w:t>
            </w:r>
          </w:p>
        </w:tc>
        <w:tc>
          <w:tcPr>
            <w:tcW w:w="851" w:type="dxa"/>
            <w:tcBorders>
              <w:top w:val="single" w:sz="4" w:space="0" w:color="auto"/>
            </w:tcBorders>
          </w:tcPr>
          <w:p w:rsidR="00000000" w:rsidRDefault="00000000">
            <w:pPr>
              <w:autoSpaceDE w:val="0"/>
              <w:autoSpaceDN w:val="0"/>
              <w:adjustRightInd w:val="0"/>
              <w:spacing w:before="80" w:after="80"/>
              <w:jc w:val="center"/>
              <w:rPr>
                <w:color w:val="000000"/>
                <w:sz w:val="20"/>
                <w:szCs w:val="22"/>
                <w:lang w:val="fr-FR"/>
              </w:rPr>
            </w:pPr>
            <w:r>
              <w:rPr>
                <w:color w:val="000000"/>
                <w:sz w:val="20"/>
                <w:szCs w:val="22"/>
                <w:lang w:val="fr-FR"/>
              </w:rPr>
              <w:t>0,58</w:t>
            </w:r>
          </w:p>
        </w:tc>
        <w:tc>
          <w:tcPr>
            <w:tcW w:w="851" w:type="dxa"/>
            <w:tcBorders>
              <w:top w:val="single" w:sz="4" w:space="0" w:color="auto"/>
            </w:tcBorders>
          </w:tcPr>
          <w:p w:rsidR="00000000" w:rsidRDefault="00000000">
            <w:pPr>
              <w:autoSpaceDE w:val="0"/>
              <w:autoSpaceDN w:val="0"/>
              <w:adjustRightInd w:val="0"/>
              <w:spacing w:before="80" w:after="80"/>
              <w:jc w:val="center"/>
              <w:rPr>
                <w:color w:val="000000"/>
                <w:sz w:val="20"/>
                <w:szCs w:val="22"/>
                <w:lang w:val="fr-FR"/>
              </w:rPr>
            </w:pPr>
            <w:r>
              <w:rPr>
                <w:color w:val="000000"/>
                <w:sz w:val="20"/>
                <w:szCs w:val="22"/>
                <w:lang w:val="fr-FR"/>
              </w:rPr>
              <w:t>0,69</w:t>
            </w:r>
          </w:p>
        </w:tc>
        <w:tc>
          <w:tcPr>
            <w:tcW w:w="851" w:type="dxa"/>
            <w:tcBorders>
              <w:top w:val="single" w:sz="4" w:space="0" w:color="auto"/>
            </w:tcBorders>
          </w:tcPr>
          <w:p w:rsidR="00000000" w:rsidRDefault="00000000">
            <w:pPr>
              <w:autoSpaceDE w:val="0"/>
              <w:autoSpaceDN w:val="0"/>
              <w:adjustRightInd w:val="0"/>
              <w:spacing w:before="80" w:after="80"/>
              <w:jc w:val="center"/>
              <w:rPr>
                <w:color w:val="000000"/>
                <w:sz w:val="20"/>
                <w:szCs w:val="22"/>
                <w:lang w:val="fr-FR"/>
              </w:rPr>
            </w:pPr>
            <w:r>
              <w:rPr>
                <w:color w:val="000000"/>
                <w:sz w:val="20"/>
                <w:szCs w:val="22"/>
                <w:lang w:val="fr-FR"/>
              </w:rPr>
              <w:t>0,57</w:t>
            </w:r>
          </w:p>
        </w:tc>
        <w:tc>
          <w:tcPr>
            <w:tcW w:w="851" w:type="dxa"/>
            <w:tcBorders>
              <w:top w:val="single" w:sz="4" w:space="0" w:color="auto"/>
            </w:tcBorders>
          </w:tcPr>
          <w:p w:rsidR="00000000" w:rsidRDefault="00000000">
            <w:pPr>
              <w:autoSpaceDE w:val="0"/>
              <w:autoSpaceDN w:val="0"/>
              <w:adjustRightInd w:val="0"/>
              <w:spacing w:before="80" w:after="80"/>
              <w:jc w:val="center"/>
              <w:rPr>
                <w:color w:val="000000"/>
                <w:sz w:val="20"/>
                <w:szCs w:val="22"/>
                <w:lang w:val="fr-FR"/>
              </w:rPr>
            </w:pPr>
            <w:r>
              <w:rPr>
                <w:color w:val="000000"/>
                <w:sz w:val="20"/>
                <w:szCs w:val="22"/>
                <w:lang w:val="fr-FR"/>
              </w:rPr>
              <w:t>0,54</w:t>
            </w:r>
          </w:p>
        </w:tc>
        <w:tc>
          <w:tcPr>
            <w:tcW w:w="851" w:type="dxa"/>
            <w:tcBorders>
              <w:top w:val="single" w:sz="4" w:space="0" w:color="auto"/>
            </w:tcBorders>
          </w:tcPr>
          <w:p w:rsidR="00000000" w:rsidRDefault="00000000">
            <w:pPr>
              <w:autoSpaceDE w:val="0"/>
              <w:autoSpaceDN w:val="0"/>
              <w:adjustRightInd w:val="0"/>
              <w:spacing w:before="80" w:after="80"/>
              <w:jc w:val="center"/>
              <w:rPr>
                <w:color w:val="000000"/>
                <w:sz w:val="20"/>
                <w:szCs w:val="22"/>
                <w:lang w:val="fr-FR"/>
              </w:rPr>
            </w:pPr>
            <w:r>
              <w:rPr>
                <w:color w:val="000000"/>
                <w:sz w:val="20"/>
                <w:szCs w:val="22"/>
                <w:lang w:val="fr-FR"/>
              </w:rPr>
              <w:t>0,38</w:t>
            </w:r>
          </w:p>
        </w:tc>
      </w:tr>
    </w:tbl>
    <w:p w:rsidR="00000000" w:rsidRDefault="00000000">
      <w:pPr>
        <w:autoSpaceDE w:val="0"/>
        <w:autoSpaceDN w:val="0"/>
        <w:adjustRightInd w:val="0"/>
        <w:rPr>
          <w:b/>
          <w:bCs/>
          <w:color w:val="000000"/>
          <w:szCs w:val="22"/>
          <w:lang w:val="fr-FR"/>
        </w:rPr>
      </w:pPr>
    </w:p>
    <w:tbl>
      <w:tblPr>
        <w:tblW w:w="6804" w:type="dxa"/>
        <w:jc w:val="center"/>
        <w:tblCellMar>
          <w:left w:w="70" w:type="dxa"/>
          <w:right w:w="70" w:type="dxa"/>
        </w:tblCellMar>
        <w:tblLook w:val="0000" w:firstRow="0" w:lastRow="0" w:firstColumn="0" w:lastColumn="0" w:noHBand="0" w:noVBand="0"/>
      </w:tblPr>
      <w:tblGrid>
        <w:gridCol w:w="2388"/>
        <w:gridCol w:w="4416"/>
      </w:tblGrid>
      <w:tr w:rsidR="00000000">
        <w:tblPrEx>
          <w:tblCellMar>
            <w:top w:w="0" w:type="dxa"/>
            <w:bottom w:w="0" w:type="dxa"/>
          </w:tblCellMar>
        </w:tblPrEx>
        <w:trPr>
          <w:jc w:val="center"/>
        </w:trPr>
        <w:tc>
          <w:tcPr>
            <w:tcW w:w="2579" w:type="dxa"/>
            <w:vAlign w:val="center"/>
          </w:tcPr>
          <w:p w:rsidR="00000000" w:rsidRDefault="00000000">
            <w:pPr>
              <w:autoSpaceDE w:val="0"/>
              <w:autoSpaceDN w:val="0"/>
              <w:adjustRightInd w:val="0"/>
              <w:spacing w:before="40" w:after="40"/>
              <w:jc w:val="center"/>
              <w:rPr>
                <w:color w:val="000000"/>
                <w:sz w:val="20"/>
                <w:szCs w:val="22"/>
                <w:lang w:val="fr-FR"/>
              </w:rPr>
            </w:pPr>
            <w:r>
              <w:rPr>
                <w:color w:val="000000"/>
                <w:sz w:val="20"/>
                <w:szCs w:val="22"/>
                <w:lang w:val="fr-FR"/>
              </w:rPr>
              <w:t xml:space="preserve">Indice de gravité : </w:t>
            </w:r>
          </w:p>
        </w:tc>
        <w:tc>
          <w:tcPr>
            <w:tcW w:w="4792" w:type="dxa"/>
            <w:tcBorders>
              <w:bottom w:val="single" w:sz="4" w:space="0" w:color="auto"/>
            </w:tcBorders>
            <w:vAlign w:val="center"/>
          </w:tcPr>
          <w:p w:rsidR="00000000" w:rsidRDefault="00000000">
            <w:pPr>
              <w:autoSpaceDE w:val="0"/>
              <w:autoSpaceDN w:val="0"/>
              <w:adjustRightInd w:val="0"/>
              <w:spacing w:before="40" w:after="40"/>
              <w:jc w:val="center"/>
              <w:rPr>
                <w:color w:val="000000"/>
                <w:sz w:val="20"/>
                <w:szCs w:val="22"/>
                <w:lang w:val="fr-FR"/>
              </w:rPr>
            </w:pPr>
            <w:r>
              <w:rPr>
                <w:color w:val="000000"/>
                <w:sz w:val="20"/>
                <w:szCs w:val="22"/>
                <w:lang w:val="fr-FR"/>
              </w:rPr>
              <w:t>IG  = Temps perdu par les accidentés*10</w:t>
            </w:r>
            <w:r>
              <w:rPr>
                <w:color w:val="000000"/>
                <w:sz w:val="20"/>
                <w:szCs w:val="22"/>
                <w:vertAlign w:val="subscript"/>
                <w:lang w:val="fr-FR"/>
              </w:rPr>
              <w:t>6</w:t>
            </w:r>
          </w:p>
        </w:tc>
      </w:tr>
      <w:tr w:rsidR="00000000">
        <w:tblPrEx>
          <w:tblCellMar>
            <w:top w:w="0" w:type="dxa"/>
            <w:bottom w:w="0" w:type="dxa"/>
          </w:tblCellMar>
        </w:tblPrEx>
        <w:trPr>
          <w:jc w:val="center"/>
        </w:trPr>
        <w:tc>
          <w:tcPr>
            <w:tcW w:w="2582" w:type="dxa"/>
            <w:vAlign w:val="center"/>
          </w:tcPr>
          <w:p w:rsidR="00000000" w:rsidRDefault="00000000">
            <w:pPr>
              <w:autoSpaceDE w:val="0"/>
              <w:autoSpaceDN w:val="0"/>
              <w:adjustRightInd w:val="0"/>
              <w:spacing w:before="40" w:after="40"/>
              <w:jc w:val="center"/>
              <w:rPr>
                <w:color w:val="000000"/>
                <w:sz w:val="20"/>
                <w:szCs w:val="22"/>
                <w:lang w:val="fr-FR"/>
              </w:rPr>
            </w:pPr>
          </w:p>
        </w:tc>
        <w:tc>
          <w:tcPr>
            <w:tcW w:w="4789" w:type="dxa"/>
            <w:tcBorders>
              <w:top w:val="single" w:sz="4" w:space="0" w:color="auto"/>
            </w:tcBorders>
            <w:vAlign w:val="center"/>
          </w:tcPr>
          <w:p w:rsidR="00000000" w:rsidRDefault="00000000">
            <w:pPr>
              <w:autoSpaceDE w:val="0"/>
              <w:autoSpaceDN w:val="0"/>
              <w:adjustRightInd w:val="0"/>
              <w:spacing w:before="40" w:after="40"/>
              <w:jc w:val="center"/>
              <w:rPr>
                <w:color w:val="000000"/>
                <w:sz w:val="20"/>
                <w:szCs w:val="22"/>
                <w:lang w:val="fr-FR"/>
              </w:rPr>
            </w:pPr>
            <w:r>
              <w:rPr>
                <w:color w:val="000000"/>
                <w:sz w:val="20"/>
                <w:szCs w:val="22"/>
                <w:lang w:val="fr-FR"/>
              </w:rPr>
              <w:t>Nombre d'heures travaillées</w:t>
            </w:r>
          </w:p>
        </w:tc>
      </w:tr>
    </w:tbl>
    <w:p w:rsidR="00000000" w:rsidRDefault="00000000">
      <w:pPr>
        <w:autoSpaceDE w:val="0"/>
        <w:autoSpaceDN w:val="0"/>
        <w:adjustRightInd w:val="0"/>
        <w:spacing w:after="240"/>
        <w:rPr>
          <w:b/>
          <w:bCs/>
          <w:color w:val="000000"/>
          <w:szCs w:val="22"/>
          <w:lang w:val="fr-FR"/>
        </w:rPr>
      </w:pPr>
    </w:p>
    <w:p w:rsidR="00000000" w:rsidRDefault="00000000">
      <w:pPr>
        <w:autoSpaceDE w:val="0"/>
        <w:autoSpaceDN w:val="0"/>
        <w:adjustRightInd w:val="0"/>
        <w:spacing w:after="120"/>
        <w:jc w:val="center"/>
        <w:rPr>
          <w:i/>
          <w:iCs/>
          <w:color w:val="000000"/>
          <w:sz w:val="20"/>
          <w:szCs w:val="22"/>
          <w:lang w:val="fr-FR"/>
        </w:rPr>
      </w:pPr>
      <w:r>
        <w:rPr>
          <w:b/>
          <w:bCs/>
          <w:color w:val="000000"/>
          <w:sz w:val="20"/>
          <w:szCs w:val="22"/>
          <w:lang w:val="fr-FR"/>
        </w:rPr>
        <w:t xml:space="preserve">Taux de lésions mortelles </w:t>
      </w:r>
      <w:r>
        <w:rPr>
          <w:b/>
          <w:bCs/>
          <w:color w:val="000000"/>
          <w:sz w:val="20"/>
          <w:szCs w:val="22"/>
          <w:lang w:val="fr-FR"/>
        </w:rPr>
        <w:br/>
      </w:r>
      <w:r>
        <w:rPr>
          <w:i/>
          <w:iCs/>
          <w:color w:val="000000"/>
          <w:sz w:val="20"/>
          <w:szCs w:val="22"/>
          <w:lang w:val="fr-FR"/>
        </w:rPr>
        <w:t>(IESS)</w:t>
      </w:r>
    </w:p>
    <w:tbl>
      <w:tblPr>
        <w:tblW w:w="7371" w:type="dxa"/>
        <w:jc w:val="center"/>
        <w:tblBorders>
          <w:top w:val="single" w:sz="4" w:space="0" w:color="auto"/>
          <w:bottom w:val="single" w:sz="4" w:space="0" w:color="auto"/>
        </w:tblBorders>
        <w:tblLayout w:type="fixed"/>
        <w:tblCellMar>
          <w:left w:w="40" w:type="dxa"/>
          <w:right w:w="40" w:type="dxa"/>
        </w:tblCellMar>
        <w:tblLook w:val="0000" w:firstRow="0" w:lastRow="0" w:firstColumn="0" w:lastColumn="0" w:noHBand="0" w:noVBand="0"/>
      </w:tblPr>
      <w:tblGrid>
        <w:gridCol w:w="2563"/>
        <w:gridCol w:w="961"/>
        <w:gridCol w:w="962"/>
        <w:gridCol w:w="961"/>
        <w:gridCol w:w="962"/>
        <w:gridCol w:w="962"/>
      </w:tblGrid>
      <w:tr w:rsidR="00000000">
        <w:tblPrEx>
          <w:tblCellMar>
            <w:top w:w="0" w:type="dxa"/>
            <w:bottom w:w="0" w:type="dxa"/>
          </w:tblCellMar>
        </w:tblPrEx>
        <w:trPr>
          <w:jc w:val="center"/>
        </w:trPr>
        <w:tc>
          <w:tcPr>
            <w:tcW w:w="2699"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Année</w:t>
            </w:r>
          </w:p>
        </w:tc>
        <w:tc>
          <w:tcPr>
            <w:tcW w:w="1009"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1988</w:t>
            </w:r>
          </w:p>
        </w:tc>
        <w:tc>
          <w:tcPr>
            <w:tcW w:w="101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1989</w:t>
            </w:r>
          </w:p>
        </w:tc>
        <w:tc>
          <w:tcPr>
            <w:tcW w:w="1009"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1990</w:t>
            </w:r>
          </w:p>
        </w:tc>
        <w:tc>
          <w:tcPr>
            <w:tcW w:w="101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1991</w:t>
            </w:r>
          </w:p>
        </w:tc>
        <w:tc>
          <w:tcPr>
            <w:tcW w:w="101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1992</w:t>
            </w:r>
          </w:p>
        </w:tc>
      </w:tr>
      <w:tr w:rsidR="00000000">
        <w:tblPrEx>
          <w:tblCellMar>
            <w:top w:w="0" w:type="dxa"/>
            <w:bottom w:w="0" w:type="dxa"/>
          </w:tblCellMar>
        </w:tblPrEx>
        <w:trPr>
          <w:jc w:val="center"/>
        </w:trPr>
        <w:tc>
          <w:tcPr>
            <w:tcW w:w="2699" w:type="dxa"/>
            <w:tcBorders>
              <w:top w:val="single" w:sz="4" w:space="0" w:color="auto"/>
            </w:tcBorders>
          </w:tcPr>
          <w:p w:rsidR="00000000" w:rsidRDefault="00000000">
            <w:pPr>
              <w:autoSpaceDE w:val="0"/>
              <w:autoSpaceDN w:val="0"/>
              <w:adjustRightInd w:val="0"/>
              <w:spacing w:before="80" w:after="80"/>
              <w:jc w:val="both"/>
              <w:rPr>
                <w:color w:val="000000"/>
                <w:sz w:val="20"/>
                <w:szCs w:val="22"/>
                <w:lang w:val="fr-FR"/>
              </w:rPr>
            </w:pPr>
            <w:r>
              <w:rPr>
                <w:color w:val="000000"/>
                <w:sz w:val="20"/>
                <w:szCs w:val="22"/>
                <w:lang w:val="fr-FR"/>
              </w:rPr>
              <w:t xml:space="preserve">Taux de lésions mortelles </w:t>
            </w:r>
          </w:p>
        </w:tc>
        <w:tc>
          <w:tcPr>
            <w:tcW w:w="1009" w:type="dxa"/>
            <w:tcBorders>
              <w:top w:val="single" w:sz="4" w:space="0" w:color="auto"/>
            </w:tcBorders>
          </w:tcPr>
          <w:p w:rsidR="00000000" w:rsidRDefault="00000000">
            <w:pPr>
              <w:autoSpaceDE w:val="0"/>
              <w:autoSpaceDN w:val="0"/>
              <w:adjustRightInd w:val="0"/>
              <w:spacing w:before="80" w:after="80"/>
              <w:jc w:val="center"/>
              <w:rPr>
                <w:color w:val="000000"/>
                <w:sz w:val="20"/>
                <w:szCs w:val="22"/>
                <w:lang w:val="fr-FR"/>
              </w:rPr>
            </w:pPr>
            <w:r>
              <w:rPr>
                <w:color w:val="000000"/>
                <w:sz w:val="20"/>
                <w:szCs w:val="22"/>
                <w:lang w:val="fr-FR"/>
              </w:rPr>
              <w:t>0,081</w:t>
            </w:r>
          </w:p>
        </w:tc>
        <w:tc>
          <w:tcPr>
            <w:tcW w:w="1010" w:type="dxa"/>
            <w:tcBorders>
              <w:top w:val="single" w:sz="4" w:space="0" w:color="auto"/>
            </w:tcBorders>
          </w:tcPr>
          <w:p w:rsidR="00000000" w:rsidRDefault="00000000">
            <w:pPr>
              <w:autoSpaceDE w:val="0"/>
              <w:autoSpaceDN w:val="0"/>
              <w:adjustRightInd w:val="0"/>
              <w:spacing w:before="80" w:after="80"/>
              <w:jc w:val="center"/>
              <w:rPr>
                <w:color w:val="000000"/>
                <w:sz w:val="20"/>
                <w:szCs w:val="22"/>
                <w:lang w:val="fr-FR"/>
              </w:rPr>
            </w:pPr>
            <w:r>
              <w:rPr>
                <w:color w:val="000000"/>
                <w:sz w:val="20"/>
                <w:szCs w:val="22"/>
                <w:lang w:val="fr-FR"/>
              </w:rPr>
              <w:t>0,098</w:t>
            </w:r>
          </w:p>
        </w:tc>
        <w:tc>
          <w:tcPr>
            <w:tcW w:w="1009" w:type="dxa"/>
            <w:tcBorders>
              <w:top w:val="single" w:sz="4" w:space="0" w:color="auto"/>
            </w:tcBorders>
          </w:tcPr>
          <w:p w:rsidR="00000000" w:rsidRDefault="00000000">
            <w:pPr>
              <w:autoSpaceDE w:val="0"/>
              <w:autoSpaceDN w:val="0"/>
              <w:adjustRightInd w:val="0"/>
              <w:spacing w:before="80" w:after="80"/>
              <w:jc w:val="center"/>
              <w:rPr>
                <w:color w:val="000000"/>
                <w:sz w:val="20"/>
                <w:szCs w:val="22"/>
                <w:lang w:val="fr-FR"/>
              </w:rPr>
            </w:pPr>
            <w:r>
              <w:rPr>
                <w:color w:val="000000"/>
                <w:sz w:val="20"/>
                <w:szCs w:val="22"/>
                <w:lang w:val="fr-FR"/>
              </w:rPr>
              <w:t>0,119</w:t>
            </w:r>
          </w:p>
        </w:tc>
        <w:tc>
          <w:tcPr>
            <w:tcW w:w="1010" w:type="dxa"/>
            <w:tcBorders>
              <w:top w:val="single" w:sz="4" w:space="0" w:color="auto"/>
            </w:tcBorders>
          </w:tcPr>
          <w:p w:rsidR="00000000" w:rsidRDefault="00000000">
            <w:pPr>
              <w:autoSpaceDE w:val="0"/>
              <w:autoSpaceDN w:val="0"/>
              <w:adjustRightInd w:val="0"/>
              <w:spacing w:before="80" w:after="80"/>
              <w:jc w:val="center"/>
              <w:rPr>
                <w:color w:val="000000"/>
                <w:sz w:val="20"/>
                <w:szCs w:val="22"/>
                <w:lang w:val="fr-FR"/>
              </w:rPr>
            </w:pPr>
            <w:r>
              <w:rPr>
                <w:color w:val="000000"/>
                <w:sz w:val="20"/>
                <w:szCs w:val="22"/>
                <w:lang w:val="fr-FR"/>
              </w:rPr>
              <w:t>0,093</w:t>
            </w:r>
          </w:p>
        </w:tc>
        <w:tc>
          <w:tcPr>
            <w:tcW w:w="1010" w:type="dxa"/>
            <w:tcBorders>
              <w:top w:val="single" w:sz="4" w:space="0" w:color="auto"/>
            </w:tcBorders>
          </w:tcPr>
          <w:p w:rsidR="00000000" w:rsidRDefault="00000000">
            <w:pPr>
              <w:autoSpaceDE w:val="0"/>
              <w:autoSpaceDN w:val="0"/>
              <w:adjustRightInd w:val="0"/>
              <w:spacing w:before="80" w:after="80"/>
              <w:jc w:val="center"/>
              <w:rPr>
                <w:color w:val="000000"/>
                <w:sz w:val="20"/>
                <w:szCs w:val="22"/>
                <w:lang w:val="fr-FR"/>
              </w:rPr>
            </w:pPr>
            <w:r>
              <w:rPr>
                <w:color w:val="000000"/>
                <w:sz w:val="20"/>
                <w:szCs w:val="22"/>
                <w:lang w:val="fr-FR"/>
              </w:rPr>
              <w:t>0,079</w:t>
            </w:r>
          </w:p>
        </w:tc>
      </w:tr>
    </w:tbl>
    <w:p w:rsidR="00000000" w:rsidRDefault="00000000">
      <w:pPr>
        <w:autoSpaceDE w:val="0"/>
        <w:autoSpaceDN w:val="0"/>
        <w:adjustRightInd w:val="0"/>
        <w:jc w:val="both"/>
        <w:rPr>
          <w:i/>
          <w:iCs/>
          <w:color w:val="000000"/>
          <w:szCs w:val="22"/>
          <w:lang w:val="fr-FR"/>
        </w:rPr>
      </w:pPr>
    </w:p>
    <w:tbl>
      <w:tblPr>
        <w:tblW w:w="6804" w:type="dxa"/>
        <w:jc w:val="center"/>
        <w:tblCellMar>
          <w:left w:w="70" w:type="dxa"/>
          <w:right w:w="70" w:type="dxa"/>
        </w:tblCellMar>
        <w:tblLook w:val="0000" w:firstRow="0" w:lastRow="0" w:firstColumn="0" w:lastColumn="0" w:noHBand="0" w:noVBand="0"/>
      </w:tblPr>
      <w:tblGrid>
        <w:gridCol w:w="2391"/>
        <w:gridCol w:w="4413"/>
      </w:tblGrid>
      <w:tr w:rsidR="00000000">
        <w:tblPrEx>
          <w:tblCellMar>
            <w:top w:w="0" w:type="dxa"/>
            <w:bottom w:w="0" w:type="dxa"/>
          </w:tblCellMar>
        </w:tblPrEx>
        <w:trPr>
          <w:jc w:val="center"/>
        </w:trPr>
        <w:tc>
          <w:tcPr>
            <w:tcW w:w="2579" w:type="dxa"/>
            <w:vAlign w:val="center"/>
          </w:tcPr>
          <w:p w:rsidR="00000000" w:rsidRDefault="00000000">
            <w:pPr>
              <w:autoSpaceDE w:val="0"/>
              <w:autoSpaceDN w:val="0"/>
              <w:adjustRightInd w:val="0"/>
              <w:spacing w:before="40" w:after="40"/>
              <w:jc w:val="center"/>
              <w:rPr>
                <w:color w:val="000000"/>
                <w:sz w:val="20"/>
                <w:szCs w:val="22"/>
                <w:lang w:val="fr-FR"/>
              </w:rPr>
            </w:pPr>
            <w:r>
              <w:rPr>
                <w:color w:val="000000"/>
                <w:sz w:val="20"/>
                <w:szCs w:val="22"/>
                <w:lang w:val="fr-FR"/>
              </w:rPr>
              <w:t>Taux de risque :</w:t>
            </w:r>
          </w:p>
        </w:tc>
        <w:tc>
          <w:tcPr>
            <w:tcW w:w="4792" w:type="dxa"/>
            <w:tcBorders>
              <w:bottom w:val="single" w:sz="4" w:space="0" w:color="auto"/>
            </w:tcBorders>
            <w:vAlign w:val="center"/>
          </w:tcPr>
          <w:p w:rsidR="00000000" w:rsidRDefault="00000000">
            <w:pPr>
              <w:autoSpaceDE w:val="0"/>
              <w:autoSpaceDN w:val="0"/>
              <w:adjustRightInd w:val="0"/>
              <w:spacing w:before="40" w:after="40"/>
              <w:jc w:val="center"/>
              <w:rPr>
                <w:color w:val="000000"/>
                <w:sz w:val="20"/>
                <w:szCs w:val="22"/>
                <w:lang w:val="fr-FR"/>
              </w:rPr>
            </w:pPr>
            <w:r>
              <w:rPr>
                <w:color w:val="000000"/>
                <w:sz w:val="20"/>
                <w:szCs w:val="22"/>
                <w:lang w:val="fr-FR"/>
              </w:rPr>
              <w:t>TR  = Nombre de journées perdues*10</w:t>
            </w:r>
            <w:r>
              <w:rPr>
                <w:color w:val="000000"/>
                <w:sz w:val="20"/>
                <w:szCs w:val="22"/>
                <w:vertAlign w:val="subscript"/>
                <w:lang w:val="fr-FR"/>
              </w:rPr>
              <w:t>6</w:t>
            </w:r>
          </w:p>
        </w:tc>
      </w:tr>
      <w:tr w:rsidR="00000000">
        <w:tblPrEx>
          <w:tblCellMar>
            <w:top w:w="0" w:type="dxa"/>
            <w:bottom w:w="0" w:type="dxa"/>
          </w:tblCellMar>
        </w:tblPrEx>
        <w:trPr>
          <w:jc w:val="center"/>
        </w:trPr>
        <w:tc>
          <w:tcPr>
            <w:tcW w:w="2582" w:type="dxa"/>
            <w:vAlign w:val="center"/>
          </w:tcPr>
          <w:p w:rsidR="00000000" w:rsidRDefault="00000000">
            <w:pPr>
              <w:autoSpaceDE w:val="0"/>
              <w:autoSpaceDN w:val="0"/>
              <w:adjustRightInd w:val="0"/>
              <w:spacing w:before="40" w:after="40"/>
              <w:jc w:val="center"/>
              <w:rPr>
                <w:color w:val="000000"/>
                <w:sz w:val="20"/>
                <w:szCs w:val="22"/>
                <w:lang w:val="fr-FR"/>
              </w:rPr>
            </w:pPr>
          </w:p>
        </w:tc>
        <w:tc>
          <w:tcPr>
            <w:tcW w:w="4789" w:type="dxa"/>
            <w:tcBorders>
              <w:top w:val="single" w:sz="4" w:space="0" w:color="auto"/>
            </w:tcBorders>
            <w:vAlign w:val="center"/>
          </w:tcPr>
          <w:p w:rsidR="00000000" w:rsidRDefault="00000000">
            <w:pPr>
              <w:autoSpaceDE w:val="0"/>
              <w:autoSpaceDN w:val="0"/>
              <w:adjustRightInd w:val="0"/>
              <w:spacing w:before="40" w:after="40"/>
              <w:jc w:val="center"/>
              <w:rPr>
                <w:color w:val="000000"/>
                <w:sz w:val="20"/>
                <w:szCs w:val="22"/>
                <w:lang w:val="fr-FR"/>
              </w:rPr>
            </w:pPr>
            <w:r>
              <w:rPr>
                <w:color w:val="000000"/>
                <w:sz w:val="20"/>
                <w:szCs w:val="22"/>
                <w:lang w:val="fr-FR"/>
              </w:rPr>
              <w:t>Nombre d'accidents</w:t>
            </w:r>
          </w:p>
        </w:tc>
      </w:tr>
    </w:tbl>
    <w:p w:rsidR="00000000" w:rsidRDefault="00000000">
      <w:pPr>
        <w:autoSpaceDE w:val="0"/>
        <w:autoSpaceDN w:val="0"/>
        <w:adjustRightInd w:val="0"/>
        <w:spacing w:before="80" w:after="360"/>
        <w:jc w:val="both"/>
        <w:rPr>
          <w:color w:val="000000"/>
          <w:sz w:val="20"/>
          <w:szCs w:val="22"/>
          <w:lang w:val="fr-FR"/>
        </w:rPr>
      </w:pPr>
      <w:r>
        <w:rPr>
          <w:i/>
          <w:iCs/>
          <w:color w:val="000000"/>
          <w:sz w:val="20"/>
          <w:szCs w:val="22"/>
          <w:lang w:val="fr-FR"/>
        </w:rPr>
        <w:tab/>
      </w:r>
      <w:r>
        <w:rPr>
          <w:i/>
          <w:iCs/>
          <w:color w:val="000000"/>
          <w:sz w:val="20"/>
          <w:szCs w:val="22"/>
          <w:lang w:val="fr-FR"/>
        </w:rPr>
        <w:tab/>
      </w:r>
      <w:r>
        <w:rPr>
          <w:i/>
          <w:iCs/>
          <w:color w:val="000000"/>
          <w:sz w:val="20"/>
          <w:szCs w:val="22"/>
          <w:lang w:val="fr-FR"/>
        </w:rPr>
        <w:tab/>
        <w:t>Source</w:t>
      </w:r>
      <w:r>
        <w:rPr>
          <w:color w:val="000000"/>
          <w:sz w:val="20"/>
          <w:szCs w:val="22"/>
          <w:lang w:val="fr-FR"/>
        </w:rPr>
        <w:t xml:space="preserve"> :  Bulletin statistique des accidents du travail.  </w:t>
      </w:r>
    </w:p>
    <w:p w:rsidR="00000000" w:rsidRDefault="00000000">
      <w:pPr>
        <w:pStyle w:val="BodyText"/>
        <w:spacing w:after="240"/>
        <w:jc w:val="left"/>
        <w:rPr>
          <w:i/>
          <w:iCs/>
          <w:u w:val="none"/>
          <w:lang w:val="fr-FR"/>
        </w:rPr>
      </w:pPr>
      <w:r>
        <w:rPr>
          <w:i/>
          <w:iCs/>
          <w:u w:val="none"/>
          <w:lang w:val="fr-FR"/>
        </w:rPr>
        <w:t>Égalité des chances</w:t>
      </w:r>
    </w:p>
    <w:p w:rsidR="00000000" w:rsidRDefault="00000000">
      <w:pPr>
        <w:pStyle w:val="BodyText"/>
        <w:spacing w:after="240"/>
        <w:jc w:val="left"/>
        <w:rPr>
          <w:u w:val="none"/>
          <w:lang w:val="fr-FR"/>
        </w:rPr>
      </w:pPr>
      <w:r>
        <w:rPr>
          <w:u w:val="none"/>
          <w:lang w:val="fr-FR"/>
        </w:rPr>
        <w:t>133.</w:t>
      </w:r>
      <w:r>
        <w:rPr>
          <w:u w:val="none"/>
          <w:lang w:val="fr-FR"/>
        </w:rPr>
        <w:tab/>
        <w:t>Conformément à l'article 124 de la Constitution, l’entrée comme la promotion dans la fonction publique et la carrière administrative se font par examen et par concours.  Sauf exception, les fonctionnaires sont assujettis à un régime de nomination et de révocation à titre discrétionnaire.  Cette disposition concerne les fonctionnaires des deux sexes.  L’Office de la fonction publique et du développement institutionnel (OSCIDI) a adopté des règles et mesures en vue de l’application de cette disposition.  En vertu de l'article 57 de la Loi de réforme des finances publiques, le Ministère du travail et des ressources humaines établit la classification des fonctionnaires et travailleurs du secteur public pour déterminer quels sont ceux qui doivent être assujettis à la Loi relative à la fonction publique et aux carrières administratives et ceux qui sont assujettis au Code du travail.  Le CONAMU a mis au point des mesures de discrimination positive destinées à intégrer dans les politiques du pays les préoccupations en matière d’égalité des sexes; la modernisation effective de l’État équatorien exige que soient créées les conditions nécessaires à l’épanouissement des personnes sur la base de l’égalité des chances en matière d’éducation et de formation et à l’élimination des traitements discriminatoires; l’égalité des chances de la femme et de l’homme est une question de droit fondamental et une condition essentielle de la justice sociale et du développement.</w:t>
      </w:r>
    </w:p>
    <w:p w:rsidR="00000000" w:rsidRDefault="00000000">
      <w:pPr>
        <w:pStyle w:val="BodyText"/>
        <w:spacing w:after="240"/>
        <w:jc w:val="left"/>
        <w:rPr>
          <w:u w:val="none"/>
          <w:lang w:val="fr-FR"/>
        </w:rPr>
      </w:pPr>
      <w:r>
        <w:rPr>
          <w:u w:val="none"/>
          <w:lang w:val="fr-FR"/>
        </w:rPr>
        <w:t>134.</w:t>
      </w:r>
      <w:r>
        <w:rPr>
          <w:u w:val="none"/>
          <w:lang w:val="fr-FR"/>
        </w:rPr>
        <w:tab/>
        <w:t>L’éducation et la formation sont indispensables pour améliorer la qualité des emplois.  En Équateur, un des principaux organismes responsables de la formation professionnelle est le SECAP, dont les programmes ne tiennent pas encore compte des questions sexospécifiques.  Le système éducatif  joue un rôle efficace en tant que moyen de promotion sociale, en contribuant à la satisfaction des aspirations en matière de revenus ou de prestige et au changement de la structure économique et sociale du pays.</w:t>
      </w:r>
    </w:p>
    <w:p w:rsidR="00000000" w:rsidRDefault="00000000">
      <w:pPr>
        <w:pStyle w:val="BodyText"/>
        <w:spacing w:after="240"/>
        <w:jc w:val="left"/>
        <w:rPr>
          <w:u w:val="none"/>
          <w:lang w:val="fr-FR"/>
        </w:rPr>
      </w:pPr>
      <w:r>
        <w:rPr>
          <w:u w:val="none"/>
          <w:lang w:val="fr-FR"/>
        </w:rPr>
        <w:t>135.</w:t>
      </w:r>
      <w:r>
        <w:rPr>
          <w:u w:val="none"/>
          <w:lang w:val="fr-FR"/>
        </w:rPr>
        <w:tab/>
        <w:t>Le SECAP, entité publique dotée de l’autonomie administrative et financière et disposant d’un patrimoine et de fonds propres, est un organisme spécialisé et technique rattaché au Ministère du travail et des ressources humaines, qui a pour mission principale la formation intensive et accélérée de cadres moyens des secteurs de l’industrie, du commerce et des services.  Pour l’exécution de ses activités de formation professionnelle, il dispose d’un personnel technique et administratif très expérimenté.  Ses équipes d’instructeurs, nationaux et étrangers, sont hautement qualifiées; les instructeurs nationaux se sont spécialisés à l’étranger grâce à des bourses et stages offerts par divers pays.  Quant au personnel étranger présent dans les différents centres opérationnels, il travaille dans le cadre d’accords de coopération technique internationale conclus par le SECAP.  Les cours dispensés sont de courte ou longue durée suivant les besoins de qualification de la main-d’œuvre, en fonction du mode de formation et de la spécialité enseignée.  La formation s’adresse à des travailleurs en activité et couvre toutes les spécialités des secteurs de l’industrie, du commerce et des services.  Sa durée varie de 20 à 240 heures, le but étant d’améliorer les connaissances, les compétences et le savoir-faire du travailleur.</w:t>
      </w:r>
    </w:p>
    <w:p w:rsidR="00000000" w:rsidRDefault="00000000">
      <w:pPr>
        <w:pStyle w:val="BodyText"/>
        <w:spacing w:after="240"/>
        <w:jc w:val="left"/>
        <w:rPr>
          <w:i/>
          <w:iCs/>
          <w:u w:val="none"/>
          <w:lang w:val="fr-FR"/>
        </w:rPr>
      </w:pPr>
      <w:r>
        <w:rPr>
          <w:i/>
          <w:iCs/>
          <w:u w:val="none"/>
          <w:lang w:val="fr-FR"/>
        </w:rPr>
        <w:t>Repos obligatoire</w:t>
      </w:r>
    </w:p>
    <w:p w:rsidR="00000000" w:rsidRDefault="00000000">
      <w:pPr>
        <w:pStyle w:val="BodyText"/>
        <w:spacing w:after="240"/>
        <w:jc w:val="left"/>
        <w:rPr>
          <w:u w:val="none"/>
          <w:lang w:val="fr-FR"/>
        </w:rPr>
      </w:pPr>
      <w:r>
        <w:rPr>
          <w:u w:val="none"/>
          <w:lang w:val="fr-FR"/>
        </w:rPr>
        <w:t>136.</w:t>
      </w:r>
      <w:r>
        <w:rPr>
          <w:u w:val="none"/>
          <w:lang w:val="fr-FR"/>
        </w:rPr>
        <w:tab/>
        <w:t>"Le travailleur assujetti au Code du travail a droit à un congé obligatoire de quinze jours par an.  La liquidation de ce droit se fait en calculant la  vingt-quatrième partie des montants perçus au cours de l’année civile, en tenant compte du salaire de base, des heures supplémentaires et exceptionnelles, des commissions, etc.  (articles 69, 78 et 95 du Code de travail).  Les travailleurs assujettis à la Loi relative à la fonction publique et aux carrières administratives ont droit à 30 jours de congé après onze mois de services ininterrompus au sein de l’institution.  La durée maximale de la journée de travail est de 8 heures,  la durée du travail hebdomadaire ne devant pas excéder 40 heures.  Les samedis et dimanches sont jours de repos forcé et  si, en raison des circonstances, il n’a pas été possible d’interrompre le travail pendant ces jours, un temps égal de la semaine sera désigné à titre de repos compensatoire, après accord entre l’employeur et les salariés"</w:t>
      </w:r>
      <w:r>
        <w:rPr>
          <w:rStyle w:val="FootnoteReference"/>
          <w:b/>
          <w:u w:val="none"/>
          <w:lang w:val="fr-FR"/>
        </w:rPr>
        <w:footnoteReference w:id="21"/>
      </w:r>
      <w:r>
        <w:rPr>
          <w:u w:val="none"/>
          <w:lang w:val="fr-FR"/>
        </w:rPr>
        <w:t>.  […] "Le montant de la rémunération pour un repos hebdomadaire forcé est équivalent à une rémunération complète, soit deux journées travaillées selon la nature du travail"</w:t>
      </w:r>
      <w:r>
        <w:rPr>
          <w:rStyle w:val="FootnoteReference"/>
          <w:b/>
          <w:u w:val="none"/>
          <w:lang w:val="fr-FR"/>
        </w:rPr>
        <w:footnoteReference w:id="22"/>
      </w:r>
      <w:r>
        <w:rPr>
          <w:u w:val="none"/>
          <w:lang w:val="fr-FR"/>
        </w:rPr>
        <w:t>.</w:t>
      </w:r>
    </w:p>
    <w:p w:rsidR="00000000" w:rsidRDefault="00000000">
      <w:pPr>
        <w:pStyle w:val="BodyText"/>
        <w:spacing w:after="240"/>
        <w:jc w:val="left"/>
        <w:rPr>
          <w:u w:val="none"/>
          <w:lang w:val="fr-FR"/>
        </w:rPr>
      </w:pPr>
      <w:r>
        <w:rPr>
          <w:u w:val="none"/>
          <w:lang w:val="fr-FR"/>
        </w:rPr>
        <w:t>137.</w:t>
      </w:r>
      <w:r>
        <w:rPr>
          <w:u w:val="none"/>
          <w:lang w:val="fr-FR"/>
        </w:rPr>
        <w:tab/>
        <w:t>Outre les samedis et dimanches, sont jours de repos obligatoire ceux que la loi désigne comme tels.  Le droit à un travail équitablement rémunéré est un droit qui n’admet aucune discrimination.  Les dispositions en matière salariale adoptées à l’intention des travailleurs assujettis au Code du travail au niveau national sont applicables aux  personnes des deux sexes.  Par l’intermédiaire des commissions sectorielles, on s’efforce de rémunérer le facteur travail  conformément aux fonctions assumées;  c’est à cet effet qu’on s’efforce de définir les différentes structures professionnelles de chaque branche d’activité.</w:t>
      </w:r>
    </w:p>
    <w:p w:rsidR="00000000" w:rsidRDefault="00000000">
      <w:pPr>
        <w:spacing w:after="240"/>
        <w:rPr>
          <w:lang w:val="fr-FR"/>
        </w:rPr>
      </w:pPr>
      <w:r>
        <w:rPr>
          <w:lang w:val="fr-FR"/>
        </w:rPr>
        <w:t>138.</w:t>
      </w:r>
      <w:r>
        <w:rPr>
          <w:lang w:val="fr-FR"/>
        </w:rPr>
        <w:tab/>
        <w:t>Le Gouvernement s'est fixé comme objectif d'améliorer le niveau de vie de toutes les catégories de la population, en s'attachant à promouvoir l'accroissement des revenus des travailleurs, tout en s'efforçant d'enrayer les tendances inflationnistes, en vue d'assurer un véritable rétablissement de leur pouvoir d'achat.</w:t>
      </w:r>
    </w:p>
    <w:p w:rsidR="00000000" w:rsidRDefault="00000000">
      <w:pPr>
        <w:keepNext/>
        <w:spacing w:after="240"/>
        <w:rPr>
          <w:b/>
          <w:lang w:val="fr-FR"/>
        </w:rPr>
      </w:pPr>
      <w:r>
        <w:rPr>
          <w:b/>
          <w:lang w:val="fr-FR"/>
        </w:rPr>
        <w:t>Article 8</w:t>
      </w:r>
    </w:p>
    <w:p w:rsidR="00000000" w:rsidRDefault="00000000">
      <w:pPr>
        <w:keepNext/>
        <w:spacing w:after="240"/>
        <w:rPr>
          <w:lang w:val="fr-FR"/>
        </w:rPr>
      </w:pPr>
      <w:r>
        <w:rPr>
          <w:b/>
          <w:lang w:val="fr-FR"/>
        </w:rPr>
        <w:t>Droit de libre association</w:t>
      </w:r>
    </w:p>
    <w:p w:rsidR="00000000" w:rsidRDefault="00000000">
      <w:pPr>
        <w:keepNext/>
        <w:spacing w:after="240"/>
        <w:rPr>
          <w:lang w:val="fr-FR"/>
        </w:rPr>
      </w:pPr>
      <w:r>
        <w:rPr>
          <w:lang w:val="fr-FR"/>
        </w:rPr>
        <w:t>139.</w:t>
      </w:r>
      <w:r>
        <w:rPr>
          <w:lang w:val="fr-FR"/>
        </w:rPr>
        <w:tab/>
        <w:t xml:space="preserve">La Constitution (Titre III, chapitre 2, relatif aux droits civils, art. 23) reconnaît et garantit "la liberté d'association et de réunion, à des fins pacifiques".  </w:t>
      </w:r>
    </w:p>
    <w:p w:rsidR="00000000" w:rsidRDefault="00000000">
      <w:pPr>
        <w:spacing w:after="240"/>
        <w:rPr>
          <w:lang w:val="fr-FR"/>
        </w:rPr>
      </w:pPr>
      <w:r>
        <w:rPr>
          <w:lang w:val="fr-FR"/>
        </w:rPr>
        <w:t>140.</w:t>
      </w:r>
      <w:r>
        <w:rPr>
          <w:lang w:val="fr-FR"/>
        </w:rPr>
        <w:tab/>
        <w:t>D'une manière générale, et plus particulièrement à l'intention des travailleurs et des employeurs, l'article 35 consacre le droit d'organisation sans autorisation préalable, dans le respect de la loi.  En tant que manifestation de la liberté et du droit constitutionnel, le Code du travail régule la liberté d'association syndicale, également appelée droit de syndicalisation, à l'intention expresse des travailleurs et employeurs qui entretiennent des relations professionnelles (toutes les dispositions du Code de travail, ainsi qu'il est spécifié dans le texte du code, sont applicables exclusivement aux parties à une relation de dépendance professionnelle).  Les autres travailleurs (au sens général du terme, et non dans l’acception stricte de la définition juridique), et y compris les agents de la fonction publique, peuvent constituer des associations civiles ou commerciales en conformité avec la législation équatorienne (Code civil, Loi relative aux sociétés et Loi relative à la défense de l'artisan).</w:t>
      </w:r>
    </w:p>
    <w:p w:rsidR="00000000" w:rsidRDefault="00000000">
      <w:pPr>
        <w:spacing w:after="240"/>
        <w:rPr>
          <w:lang w:val="fr-FR"/>
        </w:rPr>
      </w:pPr>
      <w:r>
        <w:rPr>
          <w:lang w:val="fr-FR"/>
        </w:rPr>
        <w:t>141.</w:t>
      </w:r>
      <w:r>
        <w:rPr>
          <w:lang w:val="fr-FR"/>
        </w:rPr>
        <w:tab/>
        <w:t>Au sujet de la liberté d'association, le Code du travail dispose dans son article 447 : "Les travailleurs et les employeurs, sans aucune distinction et sans obligation d'autorisation préalable, ont le droit de constituer à leur gré des associations professionnelles ou syndicats, de s'y affilier ou de s'en retirer, dans le respect de la loi et des statuts de leurs associations [...] Les associations professionnelles ou syndicats ont le droit de se constituer en fédérations, en confédérations ou en tout autre type de groupement, ainsi que de s'affilier ou de se retirer de ces groupements comme des organisations internationales de travailleurs ou employeurs.  Tout travailleur de plus de 14 ans peut devenir membres d'une association professionnelle ou d'un syndicat [...] Les organisations de travailleurs ne peuvent être suspendues ni dissoutes, sans recours à une procédure judiciaire devant le Juge du travail.  Quand un employeur ou une entreprise a plusieurs agences ou succursales dans différentes provinces, les travailleurs de chacune d'entre elles peuvent constituer un syndicat, une association professionnelle ou un comité d'entreprise.  Les critères de nombre et les autres conditions imposées par la loi sont applicables a chacune de ses agences ou succursales".</w:t>
      </w:r>
    </w:p>
    <w:p w:rsidR="00000000" w:rsidRDefault="00000000">
      <w:pPr>
        <w:spacing w:after="240"/>
        <w:rPr>
          <w:lang w:val="fr-FR"/>
        </w:rPr>
      </w:pPr>
      <w:r>
        <w:rPr>
          <w:lang w:val="fr-FR"/>
        </w:rPr>
        <w:t>142.</w:t>
      </w:r>
      <w:r>
        <w:rPr>
          <w:lang w:val="fr-FR"/>
        </w:rPr>
        <w:tab/>
        <w:t>Au terme de l'article 448 du Code du travail, "les associations de travailleurs de toutes catégories bénéficient de la protection de l’État, dans la mesure où leurs activités correspondent à l'une des finalités suivantes :</w:t>
      </w:r>
    </w:p>
    <w:p w:rsidR="00000000" w:rsidRDefault="00000000">
      <w:pPr>
        <w:numPr>
          <w:ilvl w:val="0"/>
          <w:numId w:val="26"/>
        </w:numPr>
        <w:spacing w:after="240"/>
        <w:rPr>
          <w:lang w:val="fr-FR"/>
        </w:rPr>
      </w:pPr>
      <w:r>
        <w:rPr>
          <w:lang w:val="fr-FR"/>
        </w:rPr>
        <w:t>La formation professionnelle;</w:t>
      </w:r>
    </w:p>
    <w:p w:rsidR="00000000" w:rsidRDefault="00000000">
      <w:pPr>
        <w:numPr>
          <w:ilvl w:val="0"/>
          <w:numId w:val="26"/>
        </w:numPr>
        <w:spacing w:after="240"/>
        <w:rPr>
          <w:lang w:val="fr-FR"/>
        </w:rPr>
      </w:pPr>
      <w:r>
        <w:rPr>
          <w:lang w:val="fr-FR"/>
        </w:rPr>
        <w:t>La culture et l'éducation générales ou appliquées à leurs branches d'activité respectives;</w:t>
      </w:r>
    </w:p>
    <w:p w:rsidR="00000000" w:rsidRDefault="00000000">
      <w:pPr>
        <w:numPr>
          <w:ilvl w:val="0"/>
          <w:numId w:val="26"/>
        </w:numPr>
        <w:spacing w:after="240"/>
        <w:rPr>
          <w:lang w:val="fr-FR"/>
        </w:rPr>
      </w:pPr>
      <w:r>
        <w:rPr>
          <w:lang w:val="fr-FR"/>
        </w:rPr>
        <w:t>L'entraide par la formation de coopératives ou de caisses d'épargne;</w:t>
      </w:r>
    </w:p>
    <w:p w:rsidR="00000000" w:rsidRDefault="00000000">
      <w:pPr>
        <w:numPr>
          <w:ilvl w:val="0"/>
          <w:numId w:val="26"/>
        </w:numPr>
        <w:spacing w:after="240"/>
        <w:rPr>
          <w:lang w:val="fr-FR"/>
        </w:rPr>
      </w:pPr>
      <w:r>
        <w:rPr>
          <w:lang w:val="fr-FR"/>
        </w:rPr>
        <w:t>Toute autre activité en faveur de l'amélioration économique ou sociale des travailleurs et de la défense de leurs intérêts de classe".</w:t>
      </w:r>
    </w:p>
    <w:p w:rsidR="00000000" w:rsidRDefault="00000000">
      <w:pPr>
        <w:spacing w:after="240"/>
        <w:rPr>
          <w:lang w:val="fr-FR"/>
        </w:rPr>
      </w:pPr>
      <w:r>
        <w:rPr>
          <w:lang w:val="fr-FR"/>
        </w:rPr>
        <w:t>143.</w:t>
      </w:r>
      <w:r>
        <w:rPr>
          <w:lang w:val="fr-FR"/>
        </w:rPr>
        <w:tab/>
        <w:t>La législation du travail reconnaît la personnalité juridique aux organisations légalement constituées qui sont enregistrées auprès de la Direction générale du travail du Ministère du travail et des ressources humaines.  En ce qui concerne cet aspect, le Code du travail ne contient que deux paragraphes, au chapitre premier du titre V.  Le premier de ces paragraphes défini les règles générales applicables, sans distinction, aux "associations professionnelles", syndicats, fédérations, confédérations, etc.; les associations professionnelles ne sont pas juridiquement définies, mais, pour la doctrine, elles constituent des associations de travailleurs exerçant la même profession, le même métier ou la même activité.</w:t>
      </w:r>
    </w:p>
    <w:p w:rsidR="00000000" w:rsidRDefault="00000000">
      <w:pPr>
        <w:spacing w:after="240"/>
        <w:rPr>
          <w:lang w:val="fr-FR"/>
        </w:rPr>
      </w:pPr>
      <w:r>
        <w:rPr>
          <w:lang w:val="fr-FR"/>
        </w:rPr>
        <w:t>144.</w:t>
      </w:r>
      <w:r>
        <w:rPr>
          <w:lang w:val="fr-FR"/>
        </w:rPr>
        <w:tab/>
        <w:t>Le terme "syndicat" est le terme générique désignant les organisations professionnelles de travailleurs ou d’employeur indépendamment de la profession exercée, et que l'employeur des travailleurs membres de l'organisation soit le même ou non.  Toutefois, le Code du travail n'utilise quasiment jamais le terme "syndicat", bien que ce soit le plus utilisé dans la pratique.</w:t>
      </w:r>
    </w:p>
    <w:p w:rsidR="00000000" w:rsidRDefault="00000000">
      <w:pPr>
        <w:spacing w:after="240"/>
        <w:rPr>
          <w:lang w:val="fr-FR"/>
        </w:rPr>
      </w:pPr>
      <w:r>
        <w:rPr>
          <w:lang w:val="fr-FR"/>
        </w:rPr>
        <w:t>145.</w:t>
      </w:r>
      <w:r>
        <w:rPr>
          <w:lang w:val="fr-FR"/>
        </w:rPr>
        <w:tab/>
        <w:t xml:space="preserve">Les fédérations sont des organisations de deuxième niveau constituées par celles du premier niveau, tandis que les confédérations sont des groupements de fédérations, c'est-à-dire des organisations du troisième niveau.  Les organisations constituées de travailleurs et d'employeurs ont le droit de constituer des organisations du deuxième et troisième niveaux, c'est-à-dire des fédérations et des confédérations, et de s'y affilier.  Le second paragraphe traite du syndicat d'entreprise, appelé comité d'entreprise, qui bénéficie de la présomption légale de représentativité.  Ce comité d'entreprise est à l'évidence exclusivement réservée aux travailleurs et, parmi ceux-ci, à ceux qui travaillent pour un même employeur indépendamment de leur profession, métier ou branche d'activité.  </w:t>
      </w:r>
    </w:p>
    <w:p w:rsidR="00000000" w:rsidRDefault="00000000">
      <w:pPr>
        <w:spacing w:after="240"/>
        <w:rPr>
          <w:lang w:val="fr-FR"/>
        </w:rPr>
      </w:pPr>
      <w:r>
        <w:rPr>
          <w:lang w:val="fr-FR"/>
        </w:rPr>
        <w:t>146.</w:t>
      </w:r>
      <w:r>
        <w:rPr>
          <w:lang w:val="fr-FR"/>
        </w:rPr>
        <w:tab/>
        <w:t>La législation équatorienne ne contient pas de dispositions relatives à la création de syndicats par catégories de travailleurs.  Les travailleurs qui souhaitent s'organiser par catégorie sont cependant libres de le faire en respectant les règles susmentionnées.  Dans la pratique, il existe diverses d'organisations de ce type : organisations d'entreprise et associations professionnelles, associations d'employés, organisations exclusives d'ouvriers et organisations d'employeurs, organisation par branches d'activité, etc.</w:t>
      </w:r>
    </w:p>
    <w:p w:rsidR="00000000" w:rsidRDefault="00000000">
      <w:pPr>
        <w:spacing w:after="240"/>
        <w:rPr>
          <w:lang w:val="fr-FR"/>
        </w:rPr>
      </w:pPr>
      <w:r>
        <w:rPr>
          <w:i/>
          <w:lang w:val="fr-FR"/>
        </w:rPr>
        <w:t>Organisations professionnelles</w:t>
      </w:r>
    </w:p>
    <w:p w:rsidR="00000000" w:rsidRDefault="00000000">
      <w:pPr>
        <w:spacing w:after="240"/>
        <w:rPr>
          <w:lang w:val="fr-FR"/>
        </w:rPr>
      </w:pPr>
      <w:r>
        <w:rPr>
          <w:lang w:val="fr-FR"/>
        </w:rPr>
        <w:t>147.</w:t>
      </w:r>
      <w:r>
        <w:rPr>
          <w:lang w:val="fr-FR"/>
        </w:rPr>
        <w:tab/>
        <w:t>Il n'y a pas d'ingérence de l’État dans le fonctionnement des organisations professionnelles, les pouvoirs publics s'abstenant de toute intervention ou entrave dans l'exercice des droits des travailleurs (à l'exception de l'enregistrement et de l'approbation des statuts, qui sont prévus par la loi).  Les employeurs et les travailleurs ont le droit de rédiger les statuts et règlements des organisations qu'ils constituent, d'élire leurs représentants en toute liberté, d'organiser leur administration et leurs activités et d'élaborer leur programme d'action.  Le Département des organisations professionnelles du Ministère du travail et des ressources humaines note qu’il n'existe aucune formule permettant de déterminer effectivement le nombre de travailleurs syndiqués, puisqu’on se contente de vérifier qu'au moment de la constitution d'une organisation celle-ci a au moins 30 membres fondateurs.  Ce nombre peut varier d'un jour à l'autre, et la mention du nombre de membres que comptait une organisation au moment de sa fondation ne peut donc absolument pas donner une idée de la situation présente.  À cela, il faut ajouter qu'un même travailleur peut être membre de plusieurs organisations.</w:t>
      </w:r>
    </w:p>
    <w:p w:rsidR="00000000" w:rsidRDefault="00000000">
      <w:pPr>
        <w:spacing w:after="240"/>
        <w:rPr>
          <w:lang w:val="fr-FR"/>
        </w:rPr>
      </w:pPr>
      <w:r>
        <w:rPr>
          <w:lang w:val="fr-FR"/>
        </w:rPr>
        <w:t>148.</w:t>
      </w:r>
      <w:r>
        <w:rPr>
          <w:lang w:val="fr-FR"/>
        </w:rPr>
        <w:tab/>
        <w:t>Les relations professionnelles des travailleurs sont régies par le Code du travail et par la Loi relative à la fonction publique et aux carrières administratives.  Une partie des salariés du secteur public sont assujettis à la Loi relative à la fonction publique et aux carrières administratives, le reste étant, avec les travailleurs du secteur privé, assujettis aux dispositions du Code du travail.  Suite à la promulgation de la Loi de réforme des finances publiques, le Ministère du travail et des ressources humaines est en train d'établir une classification des fonctionnaires et travailleurs du secteur public pour déterminer qui, parmi eux, relèvent de la Loi relative à la fonction publique et aux carrières administratives et qui doit être assujetti au Code du travail.</w:t>
      </w:r>
    </w:p>
    <w:p w:rsidR="00000000" w:rsidRDefault="00000000">
      <w:pPr>
        <w:spacing w:after="240"/>
        <w:rPr>
          <w:lang w:val="fr-FR"/>
        </w:rPr>
      </w:pPr>
      <w:r>
        <w:rPr>
          <w:lang w:val="fr-FR"/>
        </w:rPr>
        <w:t>149.</w:t>
      </w:r>
      <w:r>
        <w:rPr>
          <w:lang w:val="fr-FR"/>
        </w:rPr>
        <w:tab/>
        <w:t>Si les travailleurs et employeurs assujettis au Code du travail peuvent constituer des organisations professionnelles, que ces travailleurs exercent leur activité dans le secteur public ou dans le secteur privé, il est en revanche expressément interdit aux fonctionnaires assujettis à la Loi relative à la fonction publique et aux carrières administratives de former des syndicats (alinéa g) de l'article 60 de cette loi), bien qu’il ne leur soit nullement interdit de constituer des associations civiles.  Une association de travailleurs doit compter au moins 30 membres.</w:t>
      </w:r>
    </w:p>
    <w:p w:rsidR="00000000" w:rsidRDefault="00000000">
      <w:pPr>
        <w:keepNext/>
        <w:spacing w:after="240"/>
        <w:rPr>
          <w:iCs/>
          <w:lang w:val="fr-FR"/>
        </w:rPr>
      </w:pPr>
      <w:r>
        <w:rPr>
          <w:i/>
          <w:lang w:val="fr-FR"/>
        </w:rPr>
        <w:t>Droit de grève</w:t>
      </w:r>
    </w:p>
    <w:p w:rsidR="00000000" w:rsidRDefault="00000000">
      <w:pPr>
        <w:keepNext/>
        <w:spacing w:after="240"/>
        <w:rPr>
          <w:iCs/>
          <w:lang w:val="fr-FR"/>
        </w:rPr>
      </w:pPr>
      <w:r>
        <w:rPr>
          <w:iCs/>
          <w:lang w:val="fr-FR"/>
        </w:rPr>
        <w:t>150.</w:t>
      </w:r>
      <w:r>
        <w:rPr>
          <w:iCs/>
          <w:lang w:val="fr-FR"/>
        </w:rPr>
        <w:tab/>
        <w:t>La Constitution, en son article 35, "reconnaît et garantit le droit des travailleurs à la grève et celui des employeurs au lock-out, conformément à la loi.  Il est interdit de paralyser, pour quelque raison que ce soit, les services publics, et en particulier : la santé, l'éducation, la justice et la sécurité sociale; la distribution d'électricité, la distribution d'eau potable, le réseau d’évacuation des eaux usées; le traitement, le transport et la distribution de combustibles, les transports publics et les télécommunications.  La loi définit les sanctions correspondantes".</w:t>
      </w:r>
    </w:p>
    <w:p w:rsidR="00000000" w:rsidRDefault="00000000">
      <w:pPr>
        <w:spacing w:after="240"/>
        <w:rPr>
          <w:iCs/>
          <w:lang w:val="fr-FR"/>
        </w:rPr>
      </w:pPr>
      <w:r>
        <w:rPr>
          <w:iCs/>
          <w:lang w:val="fr-FR"/>
        </w:rPr>
        <w:t>151.</w:t>
      </w:r>
      <w:r>
        <w:rPr>
          <w:iCs/>
          <w:lang w:val="fr-FR"/>
        </w:rPr>
        <w:tab/>
        <w:t>Au terme de l'article 474 du Code du travail, "la loi reconnaît aux travailleurs le droit de grève, sous réserve des dispositions du présent paragraphe.  La grève est la suspension collective du travail par les travailleurs agissants ensemble".</w:t>
      </w:r>
    </w:p>
    <w:p w:rsidR="00000000" w:rsidRDefault="00000000">
      <w:pPr>
        <w:spacing w:after="240"/>
        <w:rPr>
          <w:iCs/>
          <w:lang w:val="fr-FR"/>
        </w:rPr>
      </w:pPr>
      <w:r>
        <w:rPr>
          <w:iCs/>
          <w:lang w:val="fr-FR"/>
        </w:rPr>
        <w:t>152.</w:t>
      </w:r>
      <w:r>
        <w:rPr>
          <w:iCs/>
          <w:lang w:val="fr-FR"/>
        </w:rPr>
        <w:tab/>
        <w:t>La déclaration d’illégalité de la grève est régie par l'article 502 du Code du travail : "Si la grève est déclarée illégale, l'employeur a le droit de congédier les grévistes.  La grève ne peut être considérée comme illégale que si les grévistes se livrent à des actes violents à l'encontre des personnes ou occasionnent des dommages substantiels aux biens".</w:t>
      </w:r>
    </w:p>
    <w:p w:rsidR="00000000" w:rsidRDefault="00000000">
      <w:pPr>
        <w:spacing w:after="80"/>
        <w:jc w:val="center"/>
        <w:rPr>
          <w:b/>
          <w:bCs/>
          <w:i/>
          <w:iCs/>
          <w:color w:val="000000"/>
          <w:sz w:val="20"/>
          <w:szCs w:val="22"/>
          <w:lang w:val="fr-FR"/>
        </w:rPr>
      </w:pPr>
      <w:r>
        <w:rPr>
          <w:iCs/>
          <w:lang w:val="fr-FR"/>
        </w:rPr>
        <w:br w:type="page"/>
      </w:r>
      <w:r>
        <w:rPr>
          <w:b/>
          <w:bCs/>
          <w:color w:val="000000"/>
          <w:sz w:val="20"/>
          <w:szCs w:val="22"/>
          <w:lang w:val="fr-FR"/>
        </w:rPr>
        <w:t xml:space="preserve">Conflits collectifs déclarés </w:t>
      </w:r>
      <w:r>
        <w:rPr>
          <w:b/>
          <w:bCs/>
          <w:color w:val="000000"/>
          <w:sz w:val="20"/>
          <w:szCs w:val="22"/>
          <w:lang w:val="fr-FR"/>
        </w:rPr>
        <w:br/>
      </w:r>
      <w:r>
        <w:rPr>
          <w:b/>
          <w:bCs/>
          <w:i/>
          <w:iCs/>
          <w:color w:val="000000"/>
          <w:sz w:val="20"/>
          <w:szCs w:val="22"/>
          <w:lang w:val="fr-FR"/>
        </w:rPr>
        <w:t>(1988-2001)</w:t>
      </w:r>
    </w:p>
    <w:tbl>
      <w:tblPr>
        <w:tblW w:w="8505" w:type="dxa"/>
        <w:jc w:val="center"/>
        <w:tblBorders>
          <w:top w:val="single" w:sz="4" w:space="0" w:color="auto"/>
        </w:tblBorders>
        <w:tblLayout w:type="fixed"/>
        <w:tblCellMar>
          <w:left w:w="70" w:type="dxa"/>
          <w:right w:w="70" w:type="dxa"/>
        </w:tblCellMar>
        <w:tblLook w:val="0000" w:firstRow="0" w:lastRow="0" w:firstColumn="0" w:lastColumn="0" w:noHBand="0" w:noVBand="0"/>
      </w:tblPr>
      <w:tblGrid>
        <w:gridCol w:w="1701"/>
        <w:gridCol w:w="1701"/>
        <w:gridCol w:w="1701"/>
        <w:gridCol w:w="1701"/>
        <w:gridCol w:w="1701"/>
      </w:tblGrid>
      <w:tr w:rsidR="00000000">
        <w:tblPrEx>
          <w:tblCellMar>
            <w:top w:w="0" w:type="dxa"/>
            <w:bottom w:w="0" w:type="dxa"/>
          </w:tblCellMar>
        </w:tblPrEx>
        <w:trPr>
          <w:jc w:val="center"/>
        </w:trPr>
        <w:tc>
          <w:tcPr>
            <w:tcW w:w="144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Année</w:t>
            </w:r>
          </w:p>
        </w:tc>
        <w:tc>
          <w:tcPr>
            <w:tcW w:w="144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Conflits</w:t>
            </w:r>
          </w:p>
        </w:tc>
        <w:tc>
          <w:tcPr>
            <w:tcW w:w="144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Pourcentage</w:t>
            </w:r>
          </w:p>
        </w:tc>
        <w:tc>
          <w:tcPr>
            <w:tcW w:w="144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Variation annuelle</w:t>
            </w:r>
          </w:p>
        </w:tc>
        <w:tc>
          <w:tcPr>
            <w:tcW w:w="144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Pourcentage</w:t>
            </w:r>
          </w:p>
        </w:tc>
      </w:tr>
      <w:tr w:rsidR="00000000">
        <w:tblPrEx>
          <w:tblCellMar>
            <w:top w:w="0" w:type="dxa"/>
            <w:bottom w:w="0" w:type="dxa"/>
          </w:tblCellMar>
        </w:tblPrEx>
        <w:trPr>
          <w:jc w:val="center"/>
        </w:trPr>
        <w:tc>
          <w:tcPr>
            <w:tcW w:w="1440" w:type="dxa"/>
            <w:tcBorders>
              <w:top w:val="single" w:sz="4" w:space="0" w:color="auto"/>
            </w:tcBorders>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1988 </w:t>
            </w:r>
          </w:p>
        </w:tc>
        <w:tc>
          <w:tcPr>
            <w:tcW w:w="1440" w:type="dxa"/>
            <w:tcBorders>
              <w:top w:val="single" w:sz="4" w:space="0" w:color="auto"/>
            </w:tcBorders>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397 </w:t>
            </w:r>
          </w:p>
        </w:tc>
        <w:tc>
          <w:tcPr>
            <w:tcW w:w="1440" w:type="dxa"/>
            <w:tcBorders>
              <w:top w:val="single" w:sz="4" w:space="0" w:color="auto"/>
            </w:tcBorders>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16,70 </w:t>
            </w:r>
          </w:p>
        </w:tc>
        <w:tc>
          <w:tcPr>
            <w:tcW w:w="1440" w:type="dxa"/>
            <w:tcBorders>
              <w:top w:val="single" w:sz="4" w:space="0" w:color="auto"/>
            </w:tcBorders>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 </w:t>
            </w:r>
          </w:p>
        </w:tc>
        <w:tc>
          <w:tcPr>
            <w:tcW w:w="1440" w:type="dxa"/>
            <w:tcBorders>
              <w:top w:val="single" w:sz="4" w:space="0" w:color="auto"/>
            </w:tcBorders>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1989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362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15,23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-35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-8,82</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1990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339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14,26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-23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-6,35</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1991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290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12,20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-49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-14,45</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1992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186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7,82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-104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-35,86</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1993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134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5,64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-52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-27,96</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1994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104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4,38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-30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-22,39</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1995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93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3,91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-11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-10,58</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1996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108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4,54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15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16,13</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1997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85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3,58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-23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-21,30</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1998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103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4,33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18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21,18</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1999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72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3,03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-31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-30,10</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2000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51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2,15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-21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-29,17</w:t>
            </w:r>
          </w:p>
        </w:tc>
      </w:tr>
      <w:tr w:rsidR="00000000">
        <w:tblPrEx>
          <w:tblCellMar>
            <w:top w:w="0" w:type="dxa"/>
            <w:bottom w:w="0" w:type="dxa"/>
          </w:tblCellMar>
        </w:tblPrEx>
        <w:trPr>
          <w:jc w:val="center"/>
        </w:trPr>
        <w:tc>
          <w:tcPr>
            <w:tcW w:w="1440" w:type="dxa"/>
            <w:tcBorders>
              <w:bottom w:val="nil"/>
            </w:tcBorders>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2001 </w:t>
            </w:r>
          </w:p>
        </w:tc>
        <w:tc>
          <w:tcPr>
            <w:tcW w:w="1440" w:type="dxa"/>
            <w:tcBorders>
              <w:bottom w:val="nil"/>
            </w:tcBorders>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53 </w:t>
            </w:r>
          </w:p>
        </w:tc>
        <w:tc>
          <w:tcPr>
            <w:tcW w:w="1440" w:type="dxa"/>
            <w:tcBorders>
              <w:bottom w:val="nil"/>
            </w:tcBorders>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2,23 </w:t>
            </w:r>
          </w:p>
        </w:tc>
        <w:tc>
          <w:tcPr>
            <w:tcW w:w="1440" w:type="dxa"/>
            <w:tcBorders>
              <w:bottom w:val="nil"/>
            </w:tcBorders>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2 </w:t>
            </w:r>
          </w:p>
        </w:tc>
        <w:tc>
          <w:tcPr>
            <w:tcW w:w="1440" w:type="dxa"/>
            <w:tcBorders>
              <w:bottom w:val="nil"/>
            </w:tcBorders>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3,92</w:t>
            </w:r>
          </w:p>
        </w:tc>
      </w:tr>
      <w:tr w:rsidR="00000000">
        <w:tblPrEx>
          <w:tblCellMar>
            <w:top w:w="0" w:type="dxa"/>
            <w:bottom w:w="0" w:type="dxa"/>
          </w:tblCellMar>
        </w:tblPrEx>
        <w:trPr>
          <w:jc w:val="center"/>
        </w:trPr>
        <w:tc>
          <w:tcPr>
            <w:tcW w:w="1440" w:type="dxa"/>
            <w:tcBorders>
              <w:top w:val="nil"/>
              <w:bottom w:val="single" w:sz="4" w:space="0" w:color="auto"/>
            </w:tcBorders>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Total </w:t>
            </w:r>
          </w:p>
        </w:tc>
        <w:tc>
          <w:tcPr>
            <w:tcW w:w="1440" w:type="dxa"/>
            <w:tcBorders>
              <w:top w:val="nil"/>
              <w:bottom w:val="single" w:sz="4" w:space="0" w:color="auto"/>
            </w:tcBorders>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2 377 </w:t>
            </w:r>
          </w:p>
        </w:tc>
        <w:tc>
          <w:tcPr>
            <w:tcW w:w="1440" w:type="dxa"/>
            <w:tcBorders>
              <w:top w:val="nil"/>
              <w:bottom w:val="single" w:sz="4" w:space="0" w:color="auto"/>
            </w:tcBorders>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100,00 </w:t>
            </w:r>
          </w:p>
        </w:tc>
        <w:tc>
          <w:tcPr>
            <w:tcW w:w="1440" w:type="dxa"/>
            <w:tcBorders>
              <w:top w:val="nil"/>
              <w:bottom w:val="single" w:sz="4" w:space="0" w:color="auto"/>
            </w:tcBorders>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2 324 </w:t>
            </w:r>
          </w:p>
        </w:tc>
        <w:tc>
          <w:tcPr>
            <w:tcW w:w="1440" w:type="dxa"/>
            <w:tcBorders>
              <w:top w:val="nil"/>
              <w:bottom w:val="single" w:sz="4" w:space="0" w:color="auto"/>
            </w:tcBorders>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@@4384,91</w:t>
            </w:r>
          </w:p>
        </w:tc>
      </w:tr>
    </w:tbl>
    <w:p w:rsidR="00000000" w:rsidRDefault="00000000">
      <w:pPr>
        <w:autoSpaceDE w:val="0"/>
        <w:autoSpaceDN w:val="0"/>
        <w:adjustRightInd w:val="0"/>
        <w:spacing w:before="80" w:after="360"/>
        <w:rPr>
          <w:color w:val="000000"/>
          <w:sz w:val="20"/>
          <w:szCs w:val="22"/>
          <w:lang w:val="fr-FR"/>
        </w:rPr>
      </w:pPr>
      <w:r>
        <w:rPr>
          <w:i/>
          <w:iCs/>
          <w:color w:val="000000"/>
          <w:sz w:val="20"/>
          <w:szCs w:val="22"/>
          <w:lang w:val="fr-FR"/>
        </w:rPr>
        <w:tab/>
        <w:t>Source :</w:t>
      </w:r>
      <w:r>
        <w:rPr>
          <w:color w:val="000000"/>
          <w:sz w:val="20"/>
          <w:szCs w:val="22"/>
          <w:lang w:val="fr-FR"/>
        </w:rPr>
        <w:t xml:space="preserve">  </w:t>
      </w:r>
      <w:r>
        <w:rPr>
          <w:i/>
          <w:iCs/>
          <w:color w:val="000000"/>
          <w:sz w:val="20"/>
          <w:szCs w:val="22"/>
          <w:lang w:val="fr-FR"/>
        </w:rPr>
        <w:t>Bulletin statistique</w:t>
      </w:r>
      <w:r>
        <w:rPr>
          <w:color w:val="000000"/>
          <w:sz w:val="20"/>
          <w:szCs w:val="22"/>
          <w:lang w:val="fr-FR"/>
        </w:rPr>
        <w:t xml:space="preserve">, Ministère du travail et des ressources humaines.  </w:t>
      </w:r>
    </w:p>
    <w:p w:rsidR="00000000" w:rsidRDefault="00000000">
      <w:pPr>
        <w:autoSpaceDE w:val="0"/>
        <w:autoSpaceDN w:val="0"/>
        <w:adjustRightInd w:val="0"/>
        <w:spacing w:before="360" w:after="120"/>
        <w:jc w:val="center"/>
        <w:rPr>
          <w:i/>
          <w:iCs/>
          <w:color w:val="000000"/>
          <w:sz w:val="20"/>
          <w:szCs w:val="22"/>
          <w:lang w:val="fr-FR"/>
        </w:rPr>
      </w:pPr>
      <w:r>
        <w:rPr>
          <w:b/>
          <w:bCs/>
          <w:color w:val="000000"/>
          <w:sz w:val="20"/>
          <w:szCs w:val="22"/>
          <w:lang w:val="fr-FR"/>
        </w:rPr>
        <w:t>Grèves</w:t>
      </w:r>
      <w:r>
        <w:rPr>
          <w:b/>
          <w:bCs/>
          <w:color w:val="000000"/>
          <w:sz w:val="20"/>
          <w:szCs w:val="22"/>
          <w:lang w:val="fr-FR"/>
        </w:rPr>
        <w:br/>
      </w:r>
      <w:r>
        <w:rPr>
          <w:i/>
          <w:iCs/>
          <w:color w:val="000000"/>
          <w:sz w:val="20"/>
          <w:szCs w:val="22"/>
          <w:lang w:val="fr-FR"/>
        </w:rPr>
        <w:t xml:space="preserve">(1988-2001)  </w:t>
      </w:r>
    </w:p>
    <w:tbl>
      <w:tblPr>
        <w:tblW w:w="8505"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701"/>
        <w:gridCol w:w="1701"/>
        <w:gridCol w:w="1701"/>
        <w:gridCol w:w="1701"/>
        <w:gridCol w:w="1701"/>
      </w:tblGrid>
      <w:tr w:rsidR="00000000">
        <w:tblPrEx>
          <w:tblCellMar>
            <w:top w:w="0" w:type="dxa"/>
            <w:bottom w:w="0" w:type="dxa"/>
          </w:tblCellMar>
        </w:tblPrEx>
        <w:trPr>
          <w:jc w:val="center"/>
        </w:trPr>
        <w:tc>
          <w:tcPr>
            <w:tcW w:w="144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Année</w:t>
            </w:r>
          </w:p>
        </w:tc>
        <w:tc>
          <w:tcPr>
            <w:tcW w:w="144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Grèves</w:t>
            </w:r>
          </w:p>
        </w:tc>
        <w:tc>
          <w:tcPr>
            <w:tcW w:w="144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Pourcentage</w:t>
            </w:r>
          </w:p>
        </w:tc>
        <w:tc>
          <w:tcPr>
            <w:tcW w:w="1134"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Variation annuelle</w:t>
            </w:r>
          </w:p>
        </w:tc>
        <w:tc>
          <w:tcPr>
            <w:tcW w:w="144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Pourcentage</w:t>
            </w:r>
          </w:p>
        </w:tc>
      </w:tr>
      <w:tr w:rsidR="00000000">
        <w:tblPrEx>
          <w:tblCellMar>
            <w:top w:w="0" w:type="dxa"/>
            <w:bottom w:w="0" w:type="dxa"/>
          </w:tblCellMar>
        </w:tblPrEx>
        <w:trPr>
          <w:jc w:val="center"/>
        </w:trPr>
        <w:tc>
          <w:tcPr>
            <w:tcW w:w="1440" w:type="dxa"/>
            <w:tcBorders>
              <w:top w:val="single" w:sz="4" w:space="0" w:color="auto"/>
            </w:tcBorders>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1988 </w:t>
            </w:r>
          </w:p>
        </w:tc>
        <w:tc>
          <w:tcPr>
            <w:tcW w:w="1440" w:type="dxa"/>
            <w:tcBorders>
              <w:top w:val="single" w:sz="4" w:space="0" w:color="auto"/>
            </w:tcBorders>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126 </w:t>
            </w:r>
          </w:p>
        </w:tc>
        <w:tc>
          <w:tcPr>
            <w:tcW w:w="1440" w:type="dxa"/>
            <w:tcBorders>
              <w:top w:val="single" w:sz="4" w:space="0" w:color="auto"/>
            </w:tcBorders>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18,45 </w:t>
            </w:r>
          </w:p>
        </w:tc>
        <w:tc>
          <w:tcPr>
            <w:tcW w:w="1134" w:type="dxa"/>
            <w:tcBorders>
              <w:top w:val="single" w:sz="4" w:space="0" w:color="auto"/>
            </w:tcBorders>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 </w:t>
            </w:r>
          </w:p>
        </w:tc>
        <w:tc>
          <w:tcPr>
            <w:tcW w:w="1440" w:type="dxa"/>
            <w:tcBorders>
              <w:top w:val="single" w:sz="4" w:space="0" w:color="auto"/>
            </w:tcBorders>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 xml:space="preserve">-  </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1989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167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24,45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41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 xml:space="preserve">32,54  </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1990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140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20,50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-27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 xml:space="preserve">-16,17  </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1991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87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12,74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-53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 xml:space="preserve">-37,86  </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1992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47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6,88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-40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 xml:space="preserve">-45,98  </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1993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28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4,10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-19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 xml:space="preserve">-40,43  </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1994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12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1,76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-16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 xml:space="preserve">-57,14  </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1995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7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1,02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-5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 xml:space="preserve">-41,67  </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1996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11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1,61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4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 xml:space="preserve">57,14  </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1997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18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2,64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7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 xml:space="preserve">63,64  </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1998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17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2,49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-1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 xml:space="preserve">-5,56  </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1999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8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1,17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-9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 xml:space="preserve">-52,94  </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2000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11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1,61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3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 xml:space="preserve">37,50  </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2001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4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0,59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-7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 xml:space="preserve">-63,64  </w:t>
            </w:r>
          </w:p>
        </w:tc>
      </w:tr>
      <w:tr w:rsidR="00000000">
        <w:tblPrEx>
          <w:tblCellMar>
            <w:top w:w="0" w:type="dxa"/>
            <w:bottom w:w="0" w:type="dxa"/>
          </w:tblCellMar>
        </w:tblPrEx>
        <w:trPr>
          <w:jc w:val="center"/>
        </w:trPr>
        <w:tc>
          <w:tcPr>
            <w:tcW w:w="144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Total </w:t>
            </w:r>
          </w:p>
        </w:tc>
        <w:tc>
          <w:tcPr>
            <w:tcW w:w="1440" w:type="dxa"/>
          </w:tcPr>
          <w:p w:rsidR="00000000" w:rsidRDefault="00000000">
            <w:pPr>
              <w:autoSpaceDE w:val="0"/>
              <w:autoSpaceDN w:val="0"/>
              <w:adjustRightInd w:val="0"/>
              <w:spacing w:before="40" w:after="40"/>
              <w:ind w:right="546"/>
              <w:jc w:val="right"/>
              <w:rPr>
                <w:color w:val="000000"/>
                <w:sz w:val="20"/>
                <w:szCs w:val="22"/>
                <w:lang w:val="fr-FR"/>
              </w:rPr>
            </w:pPr>
            <w:r>
              <w:rPr>
                <w:color w:val="000000"/>
                <w:sz w:val="20"/>
                <w:szCs w:val="22"/>
                <w:lang w:val="fr-FR"/>
              </w:rPr>
              <w:t xml:space="preserve">683 </w:t>
            </w:r>
          </w:p>
        </w:tc>
        <w:tc>
          <w:tcPr>
            <w:tcW w:w="1440" w:type="dxa"/>
          </w:tcPr>
          <w:p w:rsidR="00000000" w:rsidRDefault="00000000">
            <w:pPr>
              <w:tabs>
                <w:tab w:val="decimal" w:pos="754"/>
              </w:tabs>
              <w:autoSpaceDE w:val="0"/>
              <w:autoSpaceDN w:val="0"/>
              <w:adjustRightInd w:val="0"/>
              <w:spacing w:before="40" w:after="40"/>
              <w:rPr>
                <w:color w:val="000000"/>
                <w:sz w:val="20"/>
                <w:szCs w:val="22"/>
                <w:lang w:val="fr-FR"/>
              </w:rPr>
            </w:pPr>
            <w:r>
              <w:rPr>
                <w:color w:val="000000"/>
                <w:sz w:val="20"/>
                <w:szCs w:val="22"/>
                <w:lang w:val="fr-FR"/>
              </w:rPr>
              <w:t xml:space="preserve">100,00 </w:t>
            </w:r>
          </w:p>
        </w:tc>
        <w:tc>
          <w:tcPr>
            <w:tcW w:w="1440" w:type="dxa"/>
          </w:tcPr>
          <w:p w:rsidR="00000000" w:rsidRDefault="00000000">
            <w:pPr>
              <w:autoSpaceDE w:val="0"/>
              <w:autoSpaceDN w:val="0"/>
              <w:adjustRightInd w:val="0"/>
              <w:spacing w:before="40" w:after="40"/>
              <w:ind w:right="528"/>
              <w:jc w:val="right"/>
              <w:rPr>
                <w:color w:val="000000"/>
                <w:sz w:val="20"/>
                <w:szCs w:val="22"/>
                <w:lang w:val="fr-FR"/>
              </w:rPr>
            </w:pPr>
            <w:r>
              <w:rPr>
                <w:color w:val="000000"/>
                <w:sz w:val="20"/>
                <w:szCs w:val="22"/>
                <w:lang w:val="fr-FR"/>
              </w:rPr>
              <w:t xml:space="preserve">679 </w:t>
            </w:r>
          </w:p>
        </w:tc>
        <w:tc>
          <w:tcPr>
            <w:tcW w:w="1440" w:type="dxa"/>
          </w:tcPr>
          <w:p w:rsidR="00000000" w:rsidRDefault="00000000">
            <w:pPr>
              <w:tabs>
                <w:tab w:val="decimal" w:pos="772"/>
              </w:tabs>
              <w:autoSpaceDE w:val="0"/>
              <w:autoSpaceDN w:val="0"/>
              <w:adjustRightInd w:val="0"/>
              <w:spacing w:before="40" w:after="40"/>
              <w:rPr>
                <w:color w:val="000000"/>
                <w:sz w:val="20"/>
                <w:szCs w:val="22"/>
                <w:lang w:val="fr-FR"/>
              </w:rPr>
            </w:pPr>
            <w:r>
              <w:rPr>
                <w:color w:val="000000"/>
                <w:sz w:val="20"/>
                <w:szCs w:val="22"/>
                <w:lang w:val="fr-FR"/>
              </w:rPr>
              <w:t xml:space="preserve">16975,00  </w:t>
            </w:r>
          </w:p>
        </w:tc>
      </w:tr>
    </w:tbl>
    <w:p w:rsidR="00000000" w:rsidRDefault="00000000">
      <w:pPr>
        <w:spacing w:before="80" w:after="360"/>
        <w:ind w:left="567"/>
        <w:rPr>
          <w:iCs/>
          <w:sz w:val="20"/>
          <w:lang w:val="fr-FR"/>
        </w:rPr>
      </w:pPr>
      <w:r>
        <w:rPr>
          <w:i/>
          <w:iCs/>
          <w:color w:val="000000"/>
          <w:sz w:val="20"/>
          <w:szCs w:val="22"/>
          <w:lang w:val="fr-FR"/>
        </w:rPr>
        <w:t>Source :</w:t>
      </w:r>
      <w:r>
        <w:rPr>
          <w:color w:val="000000"/>
          <w:sz w:val="20"/>
          <w:szCs w:val="22"/>
          <w:lang w:val="fr-FR"/>
        </w:rPr>
        <w:t xml:space="preserve">  </w:t>
      </w:r>
      <w:r>
        <w:rPr>
          <w:i/>
          <w:iCs/>
          <w:color w:val="000000"/>
          <w:sz w:val="20"/>
          <w:szCs w:val="22"/>
          <w:lang w:val="fr-FR"/>
        </w:rPr>
        <w:t xml:space="preserve">Bulletin statistique,  </w:t>
      </w:r>
      <w:r>
        <w:rPr>
          <w:color w:val="000000"/>
          <w:sz w:val="20"/>
          <w:szCs w:val="22"/>
          <w:lang w:val="fr-FR"/>
        </w:rPr>
        <w:t>Ministère du travail et des ressources humaines.</w:t>
      </w:r>
    </w:p>
    <w:p w:rsidR="00000000" w:rsidRDefault="00000000">
      <w:pPr>
        <w:spacing w:after="240"/>
        <w:rPr>
          <w:iCs/>
          <w:lang w:val="fr-FR"/>
        </w:rPr>
      </w:pPr>
      <w:r>
        <w:rPr>
          <w:i/>
          <w:iCs/>
          <w:lang w:val="fr-FR"/>
        </w:rPr>
        <w:br w:type="page"/>
        <w:t>Droits syndicaux</w:t>
      </w:r>
    </w:p>
    <w:p w:rsidR="00000000" w:rsidRDefault="00000000">
      <w:pPr>
        <w:spacing w:after="240"/>
        <w:rPr>
          <w:iCs/>
          <w:lang w:val="fr-FR"/>
        </w:rPr>
      </w:pPr>
      <w:r>
        <w:rPr>
          <w:iCs/>
          <w:lang w:val="fr-FR"/>
        </w:rPr>
        <w:t>153.</w:t>
      </w:r>
      <w:r>
        <w:rPr>
          <w:iCs/>
          <w:lang w:val="fr-FR"/>
        </w:rPr>
        <w:tab/>
        <w:t>La Confédération équatorienne des organisations syndicales libres (CEOSL) soutient que, suite à l'adoption de la Loi de réforme des finances publiques, en vigueur depuis le 30 avril 1999, les autorités compétentes ont engagé un processus de classification des travailleurs assujettis, respectivement, à la Loi relative à la fonction publique et aux carrières administratives et au Code du travail, qui devrait aboutir à priver de nombreux travailleurs de la protection du droit du travail, en violation flagrante du principe consacré au neuvième alinéa de l'article 35 de la Constitution : "Le droit des travailleurs et des employeurs de constituer des organisations et de les développer librement, sans autorisation préalable et en conformité avec la loi, est garanti.  À toutes fins utiles, pour les relations professionnelles au sein des institutions de l’État, le secteur du travail est représenté par une organisation unique".  Avec le régime juridique de la Loi relative à la fonction publique et aux carrières administratives, les travailleurs assujettis à cette loi se voient privés du droit à adhérer à des syndicats.</w:t>
      </w:r>
    </w:p>
    <w:p w:rsidR="00000000" w:rsidRDefault="00000000">
      <w:pPr>
        <w:spacing w:after="240"/>
        <w:rPr>
          <w:iCs/>
          <w:lang w:val="fr-FR"/>
        </w:rPr>
      </w:pPr>
      <w:r>
        <w:rPr>
          <w:iCs/>
          <w:lang w:val="fr-FR"/>
        </w:rPr>
        <w:t>154.</w:t>
      </w:r>
      <w:r>
        <w:rPr>
          <w:iCs/>
          <w:lang w:val="fr-FR"/>
        </w:rPr>
        <w:tab/>
        <w:t>La CEOSL précise qu’en vertu de la Constitution, les travailleurs du secteur public assujettis au Code du travail doivent obligatoirement être représentés par une seule organisation, et que l'on cherche, sur la base de cette disposition constitutionnelle, à supprimer les garanties syndicales des autres organisations de travailleurs du secteur public.</w:t>
      </w:r>
    </w:p>
    <w:p w:rsidR="00000000" w:rsidRDefault="00000000">
      <w:pPr>
        <w:spacing w:after="240"/>
        <w:rPr>
          <w:iCs/>
          <w:lang w:val="fr-FR"/>
        </w:rPr>
      </w:pPr>
      <w:r>
        <w:rPr>
          <w:iCs/>
          <w:lang w:val="fr-FR"/>
        </w:rPr>
        <w:t>155.</w:t>
      </w:r>
      <w:r>
        <w:rPr>
          <w:iCs/>
          <w:lang w:val="fr-FR"/>
        </w:rPr>
        <w:tab/>
        <w:t>En ce qui concerne la constitution d'organisations syndicales dans le secteur privé, la CEOSL a noté que la constitution de ces organisations est progressivement limitée et entravée par l'extension d’une pratique consistant à engager, pour l'exécution de tâches permanentes d'une entreprise, des travailleurs recrutés par l'intermédiaire d'une entreprise de travail intérimaire, avec laquelle le travailleur entretien une relation professionnelle, alors qu'il offre ses services à une tierce partie; or l'entreprise de travail intérimaire n'offre aux travailleurs qu’elle recrute aucune possibilité d'exercer leur droit de se syndiquer.</w:t>
      </w:r>
    </w:p>
    <w:p w:rsidR="00000000" w:rsidRDefault="00000000">
      <w:pPr>
        <w:spacing w:after="240"/>
        <w:rPr>
          <w:iCs/>
          <w:lang w:val="fr-FR"/>
        </w:rPr>
      </w:pPr>
      <w:r>
        <w:rPr>
          <w:iCs/>
          <w:lang w:val="fr-FR"/>
        </w:rPr>
        <w:t>156.</w:t>
      </w:r>
      <w:r>
        <w:rPr>
          <w:iCs/>
          <w:lang w:val="fr-FR"/>
        </w:rPr>
        <w:tab/>
        <w:t>La CEOSL compte 800 organisations affiliées, qui regroupent environ 150 000 travailleurs.</w:t>
      </w:r>
    </w:p>
    <w:p w:rsidR="00000000" w:rsidRDefault="00000000">
      <w:pPr>
        <w:spacing w:after="240"/>
        <w:rPr>
          <w:iCs/>
          <w:lang w:val="fr-FR"/>
        </w:rPr>
      </w:pPr>
      <w:r>
        <w:rPr>
          <w:iCs/>
          <w:lang w:val="fr-FR"/>
        </w:rPr>
        <w:t>157.</w:t>
      </w:r>
      <w:r>
        <w:rPr>
          <w:iCs/>
          <w:lang w:val="fr-FR"/>
        </w:rPr>
        <w:tab/>
        <w:t>En ce qui concerne la restriction du droit de créer des syndicats, la CEOSL incrimine les limitations résultant des dispositions constitutionnelles qui affectent la liberté de se syndiquer, l'adoption de dispositions légales qui limitent directement ou indirectement ce droit, et la position des pouvoirs publics qui, au moyen de procédures administratives ou par non-application de leur devoir de protection de ce droit, dressent des obstacles à l'exercice de ce droit.</w:t>
      </w:r>
    </w:p>
    <w:p w:rsidR="00000000" w:rsidRDefault="00000000">
      <w:pPr>
        <w:spacing w:after="240"/>
        <w:rPr>
          <w:iCs/>
          <w:lang w:val="fr-FR"/>
        </w:rPr>
      </w:pPr>
      <w:r>
        <w:rPr>
          <w:iCs/>
          <w:lang w:val="fr-FR"/>
        </w:rPr>
        <w:t>158.</w:t>
      </w:r>
      <w:r>
        <w:rPr>
          <w:iCs/>
          <w:lang w:val="fr-FR"/>
        </w:rPr>
        <w:tab/>
        <w:t>Aucun précédent ne permet d'affirmer que tant les forces armées que la police nationale soit intervenues expressément pour empêcher l'exercice des droits visés aux paragraphes 2 et 3.</w:t>
      </w:r>
    </w:p>
    <w:p w:rsidR="00000000" w:rsidRDefault="00000000">
      <w:pPr>
        <w:spacing w:after="240"/>
        <w:rPr>
          <w:b/>
          <w:bCs/>
          <w:iCs/>
          <w:lang w:val="fr-FR"/>
        </w:rPr>
      </w:pPr>
      <w:r>
        <w:rPr>
          <w:b/>
          <w:bCs/>
          <w:iCs/>
          <w:lang w:val="fr-FR"/>
        </w:rPr>
        <w:t>Article 9</w:t>
      </w:r>
    </w:p>
    <w:p w:rsidR="00000000" w:rsidRDefault="00000000">
      <w:pPr>
        <w:spacing w:after="240"/>
        <w:rPr>
          <w:bCs/>
          <w:iCs/>
          <w:lang w:val="fr-FR"/>
        </w:rPr>
      </w:pPr>
      <w:r>
        <w:rPr>
          <w:b/>
          <w:bCs/>
          <w:iCs/>
          <w:lang w:val="fr-FR"/>
        </w:rPr>
        <w:t>Droit à la sécurité sociale</w:t>
      </w:r>
      <w:r>
        <w:rPr>
          <w:bCs/>
          <w:iCs/>
          <w:lang w:val="fr-FR"/>
        </w:rPr>
        <w:t>.</w:t>
      </w:r>
    </w:p>
    <w:p w:rsidR="00000000" w:rsidRDefault="00000000">
      <w:pPr>
        <w:spacing w:after="240"/>
        <w:rPr>
          <w:bCs/>
          <w:iCs/>
          <w:lang w:val="fr-FR"/>
        </w:rPr>
      </w:pPr>
      <w:r>
        <w:rPr>
          <w:bCs/>
          <w:iCs/>
          <w:lang w:val="fr-FR"/>
        </w:rPr>
        <w:t>159.</w:t>
      </w:r>
      <w:r>
        <w:rPr>
          <w:bCs/>
          <w:iCs/>
          <w:lang w:val="fr-FR"/>
        </w:rPr>
        <w:tab/>
        <w:t>La Constitution (chapitre IV, sixième section, art. 55) dispose que "la sécurité sociale est un devoir de l’État est un droit inaliénable de tous les habitants.  Elle est assurée avec la participation des secteurs publics et privés, conformément à la loi".</w:t>
      </w:r>
    </w:p>
    <w:p w:rsidR="00000000" w:rsidRDefault="00000000">
      <w:pPr>
        <w:spacing w:after="240"/>
        <w:rPr>
          <w:bCs/>
          <w:iCs/>
          <w:lang w:val="fr-FR"/>
        </w:rPr>
      </w:pPr>
      <w:r>
        <w:rPr>
          <w:bCs/>
          <w:iCs/>
          <w:lang w:val="fr-FR"/>
        </w:rPr>
        <w:t>160.</w:t>
      </w:r>
      <w:r>
        <w:rPr>
          <w:bCs/>
          <w:iCs/>
          <w:lang w:val="fr-FR"/>
        </w:rPr>
        <w:tab/>
        <w:t>La prestation de services de sécurité sociale est de la compétence exclusive de l’IESS, dont la naissance remonte à 1928 avec l'adoption de la Loi sur l'assurance sociale obligatoire.  La loi a été ratifiée en 1935 et actualisée en 1942.  Actuellement, la sécurité sociale est régie par une loi adoptée en 1988.</w:t>
      </w:r>
    </w:p>
    <w:p w:rsidR="00000000" w:rsidRDefault="00000000">
      <w:pPr>
        <w:spacing w:after="240"/>
        <w:rPr>
          <w:bCs/>
          <w:iCs/>
          <w:lang w:val="fr-FR"/>
        </w:rPr>
      </w:pPr>
      <w:r>
        <w:rPr>
          <w:bCs/>
          <w:iCs/>
          <w:lang w:val="fr-FR"/>
        </w:rPr>
        <w:t>161.</w:t>
      </w:r>
      <w:r>
        <w:rPr>
          <w:bCs/>
          <w:iCs/>
          <w:lang w:val="fr-FR"/>
        </w:rPr>
        <w:tab/>
        <w:t>La population protégée par l’IESS comprend les affiliés et les pensionnés.  La population affiliée est la population assurée, qui se compose de cotisants et de non-cotisants (membres de la famille paysanne).  La population pensionnée se compose des bénéficiaires de pension de retraite, de pension d’invalidité et des pensions de réversion (conjoints survivants et orphelins).</w:t>
      </w:r>
    </w:p>
    <w:p w:rsidR="00000000" w:rsidRDefault="00000000">
      <w:pPr>
        <w:spacing w:after="240"/>
        <w:rPr>
          <w:bCs/>
          <w:iCs/>
          <w:lang w:val="fr-FR"/>
        </w:rPr>
      </w:pPr>
      <w:r>
        <w:rPr>
          <w:bCs/>
          <w:iCs/>
          <w:lang w:val="fr-FR"/>
        </w:rPr>
        <w:t>162.</w:t>
      </w:r>
      <w:r>
        <w:rPr>
          <w:bCs/>
          <w:iCs/>
          <w:lang w:val="fr-FR"/>
        </w:rPr>
        <w:tab/>
        <w:t>En 1998, la population assurée par l’IESS comptait 2 075 910 affiliés, dont 1 097 716 bénéficiaires de l'assurance générale et 978 194 bénéficiaires de l'assurance sociale paysanne.  Cela représente 17 % de la population équatorienne; si on y ajoute les titulaires d'une pension, la couverture sociale n'atteint que 19 % de la population.  À peine 19 % de la population équatorienne a donc accès aux prestations de l’IESS et, ce qui est plus grave, la couverture de ces prestations est limitée à la personne affiliée, à l'exclusion de ses enfants et de son conjoint.  Ainsi, deux équatoriens sur dix seulement sont protégés par l'assurance maladie et l'assurance maternité.</w:t>
      </w:r>
    </w:p>
    <w:p w:rsidR="00000000" w:rsidRDefault="00000000">
      <w:pPr>
        <w:spacing w:after="240"/>
        <w:rPr>
          <w:bCs/>
          <w:iCs/>
          <w:lang w:val="fr-FR"/>
        </w:rPr>
      </w:pPr>
      <w:r>
        <w:rPr>
          <w:bCs/>
          <w:iCs/>
          <w:lang w:val="fr-FR"/>
        </w:rPr>
        <w:t>163.</w:t>
      </w:r>
      <w:r>
        <w:rPr>
          <w:bCs/>
          <w:iCs/>
          <w:lang w:val="fr-FR"/>
        </w:rPr>
        <w:tab/>
        <w:t>D’après les statistiques de l’IESS, la majorité des membres affiliés en 1998, soit 88,4 %, était âgée de 44 à 54 ans, alors que les jeunes affiliés âgés de 34 ans et moins représentaient 8,4 % de la population affiliée.  Le nombre de pensionnées croît à un rythme plus élevé que le nombre de nouveaux adhérents à  l’IESS, de sorte que les ressources provenant des cotisations ne seront pas suffisantes à court terme pour financer le paiement des prestations fournies par l’IESS.</w:t>
      </w:r>
    </w:p>
    <w:p w:rsidR="00000000" w:rsidRDefault="00000000">
      <w:pPr>
        <w:spacing w:after="240"/>
        <w:rPr>
          <w:bCs/>
          <w:iCs/>
          <w:lang w:val="fr-FR"/>
        </w:rPr>
      </w:pPr>
      <w:r>
        <w:rPr>
          <w:bCs/>
          <w:iCs/>
          <w:lang w:val="fr-FR"/>
        </w:rPr>
        <w:t>164.</w:t>
      </w:r>
      <w:r>
        <w:rPr>
          <w:bCs/>
          <w:iCs/>
          <w:lang w:val="fr-FR"/>
        </w:rPr>
        <w:tab/>
        <w:t>L'assurance sociale comprend le Régime d'assurance sociale obligatoire et le Régime d'assurance volontaire.  Le Régime d'assurance sociale obligatoire couvre les personnes suivantes : celles qui, en vertu d'un contrat de travail ou par nomination, fournissent des services ou réalisent un travail, c’est-à-dire : les employés du secteur privé, les ouvriers et les fonctionnaires; les professionnels diplômés d'université ou d'école polytechnique qui ne travaillent pas dans des conditions de subordination; les notaires, conservateurs des hypothèques et greffiers du registre de commerce; les membres du clergé séculier; les artisans, maîtres artisans, ouvriers et apprentis artisans; les apprentis sous contrat d'apprentissage, les travailleurs à l’essai, les travailleurs occasionnels et temporaires, les travailleurs à domicile, les travailleurs de la construction et les autres personnes spécifiées dans des lois et décrets spéciaux; les artistes professionnels; les chauffeurs professionnels sans relation de subordination membres d'une organisation; les travailleurs autonomes indépendants, les membres actifs d'associations, de syndicats et, en général, de corporations de travailleurs vivant principalement de leur travail sans relation de dépendance; les travailleurs agricoles et bénévoles et les autres travailleurs visés par des lois et décrets spéciaux; les footballeurs professionnels.</w:t>
      </w:r>
    </w:p>
    <w:p w:rsidR="00000000" w:rsidRDefault="00000000">
      <w:pPr>
        <w:spacing w:after="240"/>
        <w:rPr>
          <w:bCs/>
          <w:iCs/>
          <w:lang w:val="fr-FR"/>
        </w:rPr>
      </w:pPr>
      <w:r>
        <w:rPr>
          <w:bCs/>
          <w:iCs/>
          <w:lang w:val="fr-FR"/>
        </w:rPr>
        <w:t>165.</w:t>
      </w:r>
      <w:r>
        <w:rPr>
          <w:bCs/>
          <w:iCs/>
          <w:lang w:val="fr-FR"/>
        </w:rPr>
        <w:tab/>
        <w:t>Le Code du travail prévoit, au paragraphe 31 de l'article 42, l'obligation pour les employeurs d’inscrire leurs travailleurs à l’IESS dès le premier jour de travail, en notifiant la prise de fonction dans les quinze premiers jours, ainsi que les départs, les modifications de traitements et de salaires, les accidents du travail et les maladies professionnelles, et de s'acquitter des autres obligations prévues dans la législation relative à la sécurité sociale.</w:t>
      </w:r>
    </w:p>
    <w:p w:rsidR="00000000" w:rsidRDefault="00000000">
      <w:pPr>
        <w:spacing w:after="240"/>
        <w:rPr>
          <w:bCs/>
          <w:iCs/>
          <w:lang w:val="fr-FR"/>
        </w:rPr>
      </w:pPr>
      <w:r>
        <w:rPr>
          <w:bCs/>
          <w:iCs/>
          <w:lang w:val="fr-FR"/>
        </w:rPr>
        <w:t>166.</w:t>
      </w:r>
      <w:r>
        <w:rPr>
          <w:bCs/>
          <w:iCs/>
          <w:lang w:val="fr-FR"/>
        </w:rPr>
        <w:tab/>
        <w:t>L'affiliation à l'assurance n'est obligatoire que pour les travailleurs en rapport de dépendance et n’est guère intéressante pour les travailleurs indépendants.  Aussi une petite partie seulement des travailleurs indépendants est-elle affiliée au système de sécurité sociale.</w:t>
      </w:r>
    </w:p>
    <w:p w:rsidR="00000000" w:rsidRDefault="00000000">
      <w:pPr>
        <w:spacing w:after="240"/>
        <w:rPr>
          <w:bCs/>
          <w:iCs/>
          <w:lang w:val="fr-FR"/>
        </w:rPr>
      </w:pPr>
      <w:r>
        <w:rPr>
          <w:bCs/>
          <w:iCs/>
          <w:lang w:val="fr-FR"/>
        </w:rPr>
        <w:t>167.</w:t>
      </w:r>
      <w:r>
        <w:rPr>
          <w:bCs/>
          <w:iCs/>
          <w:lang w:val="fr-FR"/>
        </w:rPr>
        <w:tab/>
        <w:t>L’IESS est tenue d'accepter l'affiliation volontaire de toute personne majeure qui, n'étant affiliée à aucun régime d'assurance sociale, manifeste sa volonté d'adhérer au Régime d'assurance volontaire.  La cotisation de l'affilié volontaire est de 18,8 % du revenu, tel qu’il est établi au moment de l'affiliation, et donne droit aux prestations pour maladie, maternité, invalidité, risque du travail et décès, ainsi qu'au bénéfice du fonds mortuaire, de la pension d’invalidité ou de retraite et de la pension spéciale réduite, sous réserve de remplir les conditions exigées par l’IESS.</w:t>
      </w:r>
    </w:p>
    <w:p w:rsidR="00000000" w:rsidRDefault="00000000">
      <w:pPr>
        <w:spacing w:after="240"/>
        <w:rPr>
          <w:bCs/>
          <w:iCs/>
          <w:lang w:val="fr-FR"/>
        </w:rPr>
      </w:pPr>
      <w:r>
        <w:rPr>
          <w:bCs/>
          <w:iCs/>
          <w:lang w:val="fr-FR"/>
        </w:rPr>
        <w:t>168.</w:t>
      </w:r>
      <w:r>
        <w:rPr>
          <w:bCs/>
          <w:iCs/>
          <w:lang w:val="fr-FR"/>
        </w:rPr>
        <w:tab/>
        <w:t>La nouvelle Constitution prévoit en son article 56 la création d'un système national de sécurité sociale qui serait régi par les principes de solidarité, d’obligation, d'universalité, d'équité, d'efficacité, de subsidiarité et de suffisance, en vue de satisfaire les besoins individuels et collectifs, dans l'intérêt du bien commun.</w:t>
      </w:r>
    </w:p>
    <w:p w:rsidR="00000000" w:rsidRDefault="00000000">
      <w:pPr>
        <w:spacing w:after="240"/>
        <w:rPr>
          <w:bCs/>
          <w:iCs/>
          <w:lang w:val="fr-FR"/>
        </w:rPr>
      </w:pPr>
      <w:r>
        <w:rPr>
          <w:bCs/>
          <w:iCs/>
          <w:lang w:val="fr-FR"/>
        </w:rPr>
        <w:t>169.</w:t>
      </w:r>
      <w:r>
        <w:rPr>
          <w:bCs/>
          <w:iCs/>
          <w:lang w:val="fr-FR"/>
        </w:rPr>
        <w:tab/>
        <w:t>Le système actuel de sécurité sociale offre, par l'intermédiaire de l'assurance générale obligatoire, des prestations couvrant la maladie, la maternité, les risques du travail, la mise en disponibilité, la vieillesse, l'invalidité, l'incapacité et le décès.</w:t>
      </w:r>
    </w:p>
    <w:p w:rsidR="00000000" w:rsidRDefault="00000000">
      <w:pPr>
        <w:spacing w:after="240"/>
        <w:rPr>
          <w:bCs/>
          <w:iCs/>
          <w:lang w:val="fr-FR"/>
        </w:rPr>
      </w:pPr>
      <w:r>
        <w:rPr>
          <w:bCs/>
          <w:i/>
          <w:iCs/>
          <w:lang w:val="fr-FR"/>
        </w:rPr>
        <w:t>Assurance maladie</w:t>
      </w:r>
    </w:p>
    <w:p w:rsidR="00000000" w:rsidRDefault="00000000">
      <w:pPr>
        <w:spacing w:after="240"/>
        <w:rPr>
          <w:bCs/>
          <w:iCs/>
          <w:lang w:val="fr-FR"/>
        </w:rPr>
      </w:pPr>
      <w:r>
        <w:rPr>
          <w:bCs/>
          <w:iCs/>
          <w:lang w:val="fr-FR"/>
        </w:rPr>
        <w:t>170.</w:t>
      </w:r>
      <w:r>
        <w:rPr>
          <w:bCs/>
          <w:iCs/>
          <w:lang w:val="fr-FR"/>
        </w:rPr>
        <w:tab/>
        <w:t>Les affiliés à l’IESS peuvent bénéficier de l'assurance maladie commune, qui prévoit les prestations suivantes :</w:t>
      </w:r>
    </w:p>
    <w:p w:rsidR="00000000" w:rsidRDefault="00000000">
      <w:pPr>
        <w:numPr>
          <w:ilvl w:val="0"/>
          <w:numId w:val="28"/>
        </w:numPr>
        <w:spacing w:after="240"/>
        <w:rPr>
          <w:bCs/>
          <w:iCs/>
          <w:lang w:val="fr-FR"/>
        </w:rPr>
      </w:pPr>
      <w:r>
        <w:rPr>
          <w:bCs/>
          <w:iCs/>
          <w:lang w:val="fr-FR"/>
        </w:rPr>
        <w:t>Assistance médicale, chirurgicale, dentaire et pharmaceutiques;</w:t>
      </w:r>
    </w:p>
    <w:p w:rsidR="00000000" w:rsidRDefault="00000000">
      <w:pPr>
        <w:numPr>
          <w:ilvl w:val="0"/>
          <w:numId w:val="28"/>
        </w:numPr>
        <w:spacing w:after="240"/>
        <w:rPr>
          <w:bCs/>
          <w:iCs/>
          <w:lang w:val="fr-FR"/>
        </w:rPr>
      </w:pPr>
      <w:r>
        <w:rPr>
          <w:bCs/>
          <w:iCs/>
          <w:lang w:val="fr-FR"/>
        </w:rPr>
        <w:t>Indemnité en espèces pour incapacité de travail due à la maladie.</w:t>
      </w:r>
    </w:p>
    <w:p w:rsidR="00000000" w:rsidRDefault="00000000">
      <w:pPr>
        <w:spacing w:after="240"/>
        <w:rPr>
          <w:bCs/>
          <w:iCs/>
          <w:lang w:val="fr-FR"/>
        </w:rPr>
      </w:pPr>
      <w:r>
        <w:rPr>
          <w:bCs/>
          <w:iCs/>
          <w:lang w:val="fr-FR"/>
        </w:rPr>
        <w:t>171.</w:t>
      </w:r>
      <w:r>
        <w:rPr>
          <w:bCs/>
          <w:iCs/>
          <w:lang w:val="fr-FR"/>
        </w:rPr>
        <w:tab/>
        <w:t>Pour bénéficier de ce droit, l'affilié à  l’IESS doit avoir cumulé six mois de cotisations, dont au moins deux au cours des six mois précédant le début de la maladie.  Les prestations de pension pour vieillesse ou invalidité sont dues dès le début des démarches engagées pour faire valoir ses droits à la pension.  Les bénéficiaires de pensions de conjoint survivant par suite de décès ou d'accident du travail ont droit aux prestations de l'assurance maladie, à l'exception de l'assurance maternité.</w:t>
      </w:r>
    </w:p>
    <w:p w:rsidR="00000000" w:rsidRDefault="00000000">
      <w:pPr>
        <w:spacing w:after="240"/>
        <w:rPr>
          <w:bCs/>
          <w:iCs/>
          <w:lang w:val="fr-FR"/>
        </w:rPr>
      </w:pPr>
      <w:r>
        <w:rPr>
          <w:bCs/>
          <w:iCs/>
          <w:lang w:val="fr-FR"/>
        </w:rPr>
        <w:t>172.</w:t>
      </w:r>
      <w:r>
        <w:rPr>
          <w:bCs/>
          <w:iCs/>
          <w:lang w:val="fr-FR"/>
        </w:rPr>
        <w:tab/>
        <w:t>Quand la maladie entraîne une incapacité de travail, l'affilié doit recevoir l'indemnité maladie en espèces, qui se calcule comme indiqué ci-après.  Les trois premiers jours, l'employeur verse 50 % du traitement ou salaire journalier et 100 % des cotisations.  À partir du quatrième jour et pour une période de 26 semaines (six mois), l'affilié reçoit de l’IESS les prestations suivantes : les 70 premiers jours d'incapacité sont payés à 75 % de la moyenne du traitement ou salaire journalier perçu au cours des 90 jours précédant le mois où s'est produite l’incapacité; pendant les six mois suivants, l'indemnité correspond à 66 % de cette moyenne.</w:t>
      </w:r>
    </w:p>
    <w:p w:rsidR="00000000" w:rsidRDefault="00000000">
      <w:pPr>
        <w:spacing w:after="240"/>
        <w:rPr>
          <w:bCs/>
          <w:iCs/>
          <w:lang w:val="fr-FR"/>
        </w:rPr>
      </w:pPr>
      <w:r>
        <w:rPr>
          <w:bCs/>
          <w:iCs/>
          <w:lang w:val="fr-FR"/>
        </w:rPr>
        <w:t>173.</w:t>
      </w:r>
      <w:r>
        <w:rPr>
          <w:bCs/>
          <w:iCs/>
          <w:lang w:val="fr-FR"/>
        </w:rPr>
        <w:tab/>
        <w:t>Les fonctionnaires reçoivent cette indemnité après la fin de la période de congé sans traitement définie par la Loi relative à la fonction publique et aux carrières administratives, et ce pendant six mois, y compris les jours de congé maladie sans traitement.  Au cours de cette période, la totalité des contributions sont à la charge de l’IESS.</w:t>
      </w:r>
    </w:p>
    <w:p w:rsidR="00000000" w:rsidRDefault="00000000">
      <w:pPr>
        <w:spacing w:after="240"/>
        <w:rPr>
          <w:bCs/>
          <w:iCs/>
          <w:lang w:val="fr-FR"/>
        </w:rPr>
      </w:pPr>
      <w:r>
        <w:rPr>
          <w:bCs/>
          <w:iCs/>
          <w:lang w:val="fr-FR"/>
        </w:rPr>
        <w:t>174.</w:t>
      </w:r>
      <w:r>
        <w:rPr>
          <w:bCs/>
          <w:iCs/>
          <w:lang w:val="fr-FR"/>
        </w:rPr>
        <w:tab/>
        <w:t>Pour financer le paiement de l'indemnité pour maladie commune due à partir du quatrième jour de l'incapacité, les établissements publics et les entreprises privées versent chaque mois à l’IESS une cotisation additionnelle correspondant à 1 % des traitements ou salaires de leurs employés.</w:t>
      </w:r>
    </w:p>
    <w:p w:rsidR="00000000" w:rsidRDefault="00000000">
      <w:pPr>
        <w:spacing w:after="240"/>
        <w:rPr>
          <w:bCs/>
          <w:iCs/>
          <w:lang w:val="fr-FR"/>
        </w:rPr>
      </w:pPr>
      <w:r>
        <w:rPr>
          <w:bCs/>
          <w:iCs/>
          <w:lang w:val="fr-FR"/>
        </w:rPr>
        <w:t>175.</w:t>
      </w:r>
      <w:r>
        <w:rPr>
          <w:bCs/>
          <w:iCs/>
          <w:lang w:val="fr-FR"/>
        </w:rPr>
        <w:tab/>
        <w:t>Bénéficient de cette indemnité les affiliés à l'assurance générale, y compris les travailleurs de la construction, les travailleurs agricoles, les membres du clergé séculier, les travailleurs de l'industrie sucrière et les travailleurs des églises, les personnes assurées aux régimes volontaires, les diplômés d'université ou d'école polytechnique, les artistes professionnels et les travailleurs autonomes et indépendants qui versent la cotisation additionnelle de 1 %, et les travailleurs domestiques et agricoles salariés dont l'employeur acquitte la cotisation additionnelle de 1 %.</w:t>
      </w:r>
    </w:p>
    <w:p w:rsidR="00000000" w:rsidRDefault="00000000">
      <w:pPr>
        <w:spacing w:after="240"/>
        <w:rPr>
          <w:bCs/>
          <w:iCs/>
          <w:lang w:val="fr-FR"/>
        </w:rPr>
      </w:pPr>
      <w:r>
        <w:rPr>
          <w:bCs/>
          <w:iCs/>
          <w:lang w:val="fr-FR"/>
        </w:rPr>
        <w:t>176.</w:t>
      </w:r>
      <w:r>
        <w:rPr>
          <w:bCs/>
          <w:iCs/>
          <w:lang w:val="fr-FR"/>
        </w:rPr>
        <w:tab/>
        <w:t>L'assurance maternité fournit à ses affiliées, pendant la grossesse, l'accouchement et après l’accouchement, les prestations obstétriques énumérées ci-après :</w:t>
      </w:r>
    </w:p>
    <w:p w:rsidR="00000000" w:rsidRDefault="00000000">
      <w:pPr>
        <w:numPr>
          <w:ilvl w:val="0"/>
          <w:numId w:val="30"/>
        </w:numPr>
        <w:spacing w:after="240"/>
        <w:rPr>
          <w:bCs/>
          <w:iCs/>
          <w:lang w:val="fr-FR"/>
        </w:rPr>
      </w:pPr>
      <w:r>
        <w:rPr>
          <w:bCs/>
          <w:iCs/>
          <w:lang w:val="fr-FR"/>
        </w:rPr>
        <w:t>Assistance obstétrique comprenant les soins pendant la période prénatale, l'accouchement et les suites de couches;</w:t>
      </w:r>
    </w:p>
    <w:p w:rsidR="00000000" w:rsidRDefault="00000000">
      <w:pPr>
        <w:numPr>
          <w:ilvl w:val="0"/>
          <w:numId w:val="30"/>
        </w:numPr>
        <w:spacing w:after="240"/>
        <w:rPr>
          <w:bCs/>
          <w:iCs/>
          <w:lang w:val="fr-FR"/>
        </w:rPr>
      </w:pPr>
      <w:r>
        <w:rPr>
          <w:bCs/>
          <w:iCs/>
          <w:lang w:val="fr-FR"/>
        </w:rPr>
        <w:t>Allocation en espèces pendant douze semaines, soit deux semaines avant l'accouchement et dix semaines après;</w:t>
      </w:r>
    </w:p>
    <w:p w:rsidR="00000000" w:rsidRDefault="00000000">
      <w:pPr>
        <w:numPr>
          <w:ilvl w:val="0"/>
          <w:numId w:val="30"/>
        </w:numPr>
        <w:spacing w:after="240"/>
        <w:rPr>
          <w:bCs/>
          <w:iCs/>
          <w:lang w:val="fr-FR"/>
        </w:rPr>
      </w:pPr>
      <w:r>
        <w:rPr>
          <w:bCs/>
          <w:iCs/>
          <w:lang w:val="fr-FR"/>
        </w:rPr>
        <w:t>Soins pédiatriques complets à l'enfant de l'affiliée pendant la première année de vie, y compris la pharmacie et l'hospitalisation.</w:t>
      </w:r>
    </w:p>
    <w:p w:rsidR="00000000" w:rsidRDefault="00000000">
      <w:pPr>
        <w:spacing w:after="240"/>
        <w:rPr>
          <w:bCs/>
          <w:iCs/>
          <w:lang w:val="fr-FR"/>
        </w:rPr>
      </w:pPr>
      <w:r>
        <w:rPr>
          <w:bCs/>
          <w:iCs/>
          <w:lang w:val="fr-FR"/>
        </w:rPr>
        <w:t>177.</w:t>
      </w:r>
      <w:r>
        <w:rPr>
          <w:bCs/>
          <w:iCs/>
          <w:lang w:val="fr-FR"/>
        </w:rPr>
        <w:tab/>
        <w:t>Les soins obstétriques sont fournis aux affiliées qui peuvent justifier six versements mensuels de cotisation obligatoire au cours de l'année qui a précédé l'accouchement, exception faite des affiliées volontaires qui doivent avoir cotisé pendant un an auparavant pour avoir droit aux prestations de l'assurance maladie et maternité.</w:t>
      </w:r>
    </w:p>
    <w:p w:rsidR="00000000" w:rsidRDefault="00000000">
      <w:pPr>
        <w:spacing w:after="240"/>
        <w:rPr>
          <w:bCs/>
          <w:iCs/>
          <w:lang w:val="fr-FR"/>
        </w:rPr>
      </w:pPr>
      <w:r>
        <w:rPr>
          <w:bCs/>
          <w:iCs/>
          <w:lang w:val="fr-FR"/>
        </w:rPr>
        <w:t>178.</w:t>
      </w:r>
      <w:r>
        <w:rPr>
          <w:bCs/>
          <w:iCs/>
          <w:lang w:val="fr-FR"/>
        </w:rPr>
        <w:tab/>
        <w:t>L’IESS verse une allocation maternité en espèces correspondant à une période de deux semaines avant et dix semaines après l'accouchement, le repos prénatal et postnatal autorisé devant être attesté par des certificats délivrés par un médecin particulier ou par un médecin de l'IESS.  Cette allocation correspond à 75 % de la dernière rémunération de l'affiliée.</w:t>
      </w:r>
    </w:p>
    <w:p w:rsidR="00000000" w:rsidRDefault="00000000">
      <w:pPr>
        <w:spacing w:after="240"/>
        <w:rPr>
          <w:bCs/>
          <w:iCs/>
          <w:lang w:val="fr-FR"/>
        </w:rPr>
      </w:pPr>
      <w:r>
        <w:rPr>
          <w:bCs/>
          <w:iCs/>
          <w:lang w:val="fr-FR"/>
        </w:rPr>
        <w:t>179.</w:t>
      </w:r>
      <w:r>
        <w:rPr>
          <w:bCs/>
          <w:iCs/>
          <w:lang w:val="fr-FR"/>
        </w:rPr>
        <w:tab/>
        <w:t>En ce qui concerne l'assurance des risques liés au travail, l’IESS considère comme accident du travail un événement imprévu et soudain occasionnant au travailleur des liaisons corporelles ou des troubles fonctionnels, la mort immédiate ou consécutive à l'incident, ou bien comme conséquence de son travail ou de l'activité d'autrui.  Cette assurance est financée par la cotisation de 1,5 % des traitements et salaires versés par l'employeur public ou privé ou par l'affilié volontaire.</w:t>
      </w:r>
    </w:p>
    <w:p w:rsidR="00000000" w:rsidRDefault="00000000">
      <w:pPr>
        <w:spacing w:after="240"/>
        <w:rPr>
          <w:bCs/>
          <w:iCs/>
          <w:lang w:val="fr-FR"/>
        </w:rPr>
      </w:pPr>
      <w:r>
        <w:rPr>
          <w:bCs/>
          <w:iCs/>
          <w:lang w:val="fr-FR"/>
        </w:rPr>
        <w:t>180.</w:t>
      </w:r>
      <w:r>
        <w:rPr>
          <w:bCs/>
          <w:iCs/>
          <w:lang w:val="fr-FR"/>
        </w:rPr>
        <w:tab/>
        <w:t>Est également considéré comme accident du travail l'accident survenant à l'assuré lors de déplacements directs entre son domicile et le lieu de travail.  Dans le cas du travailleur indépendant, on considère comme accident de travail l'accident survenant dans les conditions décrites au paragraphe précédent, exception faite du critère du rapport de dépendance vis-à-vis de l'employeur.  Pour les travailleurs dont l'activité est libre de relations de subordination, les activités protégées par l'assurance des risques liés au travail doivent être spécifiées par l’IESS préalablement à l'acceptation de l'adhésion.  Cette assurance couvre :</w:t>
      </w:r>
    </w:p>
    <w:p w:rsidR="00000000" w:rsidRDefault="00000000">
      <w:pPr>
        <w:keepNext/>
        <w:numPr>
          <w:ilvl w:val="0"/>
          <w:numId w:val="34"/>
        </w:numPr>
        <w:spacing w:after="240"/>
        <w:rPr>
          <w:bCs/>
          <w:iCs/>
          <w:lang w:val="fr-FR"/>
        </w:rPr>
      </w:pPr>
      <w:r>
        <w:rPr>
          <w:bCs/>
          <w:iCs/>
          <w:lang w:val="fr-FR"/>
        </w:rPr>
        <w:t>Les accidents de travail;</w:t>
      </w:r>
    </w:p>
    <w:p w:rsidR="00000000" w:rsidRDefault="00000000">
      <w:pPr>
        <w:keepNext/>
        <w:numPr>
          <w:ilvl w:val="0"/>
          <w:numId w:val="34"/>
        </w:numPr>
        <w:spacing w:after="240"/>
        <w:rPr>
          <w:bCs/>
          <w:iCs/>
          <w:lang w:val="fr-FR"/>
        </w:rPr>
      </w:pPr>
      <w:r>
        <w:rPr>
          <w:bCs/>
          <w:iCs/>
          <w:lang w:val="fr-FR"/>
        </w:rPr>
        <w:t>Les maladies professionnelles.</w:t>
      </w:r>
    </w:p>
    <w:p w:rsidR="00000000" w:rsidRDefault="00000000">
      <w:pPr>
        <w:spacing w:after="240"/>
        <w:rPr>
          <w:bCs/>
          <w:iCs/>
          <w:lang w:val="fr-FR"/>
        </w:rPr>
      </w:pPr>
      <w:r>
        <w:rPr>
          <w:bCs/>
          <w:iCs/>
          <w:lang w:val="fr-FR"/>
        </w:rPr>
        <w:t>181.</w:t>
      </w:r>
      <w:r>
        <w:rPr>
          <w:bCs/>
          <w:iCs/>
          <w:lang w:val="fr-FR"/>
        </w:rPr>
        <w:tab/>
        <w:t>Les conséquences possibles de l'accident de travail sont : l’incapacité temporaire; l’incapacité partielle permanente; l’incapacité permanente totale pour l'exécution des tâches habituelles; l'incapacité permanente et absolue; le décès.</w:t>
      </w:r>
    </w:p>
    <w:p w:rsidR="00000000" w:rsidRDefault="00000000">
      <w:pPr>
        <w:spacing w:after="240"/>
        <w:rPr>
          <w:bCs/>
          <w:iCs/>
          <w:lang w:val="fr-FR"/>
        </w:rPr>
      </w:pPr>
      <w:r>
        <w:rPr>
          <w:bCs/>
          <w:iCs/>
          <w:lang w:val="fr-FR"/>
        </w:rPr>
        <w:t>182.</w:t>
      </w:r>
      <w:r>
        <w:rPr>
          <w:bCs/>
          <w:iCs/>
          <w:lang w:val="fr-FR"/>
        </w:rPr>
        <w:tab/>
        <w:t>Sont considérées comme maladies professionnelles les affections aiguës ou chroniques résultant directement de l'exercice de la profession ou du travail de l'assuré qui se traduisent par une incapacité.</w:t>
      </w:r>
    </w:p>
    <w:p w:rsidR="00000000" w:rsidRDefault="00000000">
      <w:pPr>
        <w:spacing w:after="240"/>
        <w:rPr>
          <w:bCs/>
          <w:iCs/>
          <w:lang w:val="fr-FR"/>
        </w:rPr>
      </w:pPr>
      <w:r>
        <w:rPr>
          <w:bCs/>
          <w:iCs/>
          <w:lang w:val="fr-FR"/>
        </w:rPr>
        <w:t>183.</w:t>
      </w:r>
      <w:r>
        <w:rPr>
          <w:bCs/>
          <w:iCs/>
          <w:lang w:val="fr-FR"/>
        </w:rPr>
        <w:tab/>
        <w:t>L’IESS a l'obligation de protéger la santé des assurés en fournissant les services d'assistance médicale nécessaires et en temps opportun.  Si les services médicaux de l'assurance sociale ne peuvent apporter des soins à leurs patients, les assurés actifs ou passifs et les bénéficiaires des pensions de réversion (conjoints survivants) peuvent recevoir une compensation pour les frais médicaux qu’ils ont engagés lorsque, face à des circonstances imprévues ou à une situation d'urgence, ils ont été obligés de recourir à des soins auprès de services ne relevant pas de l’IESS.  Sont considérées comme situation d'urgence ou circonstances imprévues les manifestations pathologiques subites ou graves et les accidents qui nécessitent une attention médicale immédiate, au risque de mettre la vie de l'intéressé en danger ou de produire des séquelles affectant l'intégrité fonctionnelle ou organique de l'assuré.</w:t>
      </w:r>
    </w:p>
    <w:p w:rsidR="00000000" w:rsidRDefault="00000000">
      <w:pPr>
        <w:spacing w:after="240"/>
        <w:rPr>
          <w:bCs/>
          <w:iCs/>
          <w:lang w:val="fr-FR"/>
        </w:rPr>
      </w:pPr>
      <w:r>
        <w:rPr>
          <w:bCs/>
          <w:iCs/>
          <w:lang w:val="fr-FR"/>
        </w:rPr>
        <w:t>184.</w:t>
      </w:r>
      <w:r>
        <w:rPr>
          <w:bCs/>
          <w:iCs/>
          <w:lang w:val="fr-FR"/>
        </w:rPr>
        <w:tab/>
        <w:t>La retraite est la cessation volontaire du travail au terme de la période statutaire de cotisation à l'assurance sociale, une fois atteint l'âge requis pour percevoir une rente monétaire mensuelle.  Il existe actuellement la pension vieillesse, la pension d’invalidité et la pension spéciale réduite; ces diverses formules diffèrent statutairement l'une de l'autre, qu'il s'agisse du montant de la pension, de la période de cotisation, de l'âge ou des conditions requises.</w:t>
      </w:r>
    </w:p>
    <w:p w:rsidR="00000000" w:rsidRDefault="00000000">
      <w:pPr>
        <w:spacing w:after="240"/>
        <w:rPr>
          <w:bCs/>
          <w:iCs/>
          <w:lang w:val="fr-FR"/>
        </w:rPr>
      </w:pPr>
      <w:r>
        <w:rPr>
          <w:bCs/>
          <w:iCs/>
          <w:lang w:val="fr-FR"/>
        </w:rPr>
        <w:t>185.</w:t>
      </w:r>
      <w:r>
        <w:rPr>
          <w:bCs/>
          <w:iCs/>
          <w:lang w:val="fr-FR"/>
        </w:rPr>
        <w:tab/>
        <w:t>L’assurance pour mise en disponibilité est une modalité de la Coopérative obligatoire de répartition qui intervient en cas de cessation du travail.  Elle permet d'offrir une compensation sous forme de versement d'une somme d'argent qui est directement fonction de la durée du service et de la rémunération de l'affilié.</w:t>
      </w:r>
    </w:p>
    <w:p w:rsidR="00000000" w:rsidRDefault="00000000">
      <w:pPr>
        <w:spacing w:after="240"/>
        <w:rPr>
          <w:bCs/>
          <w:iCs/>
          <w:lang w:val="fr-FR"/>
        </w:rPr>
      </w:pPr>
      <w:r>
        <w:rPr>
          <w:bCs/>
          <w:iCs/>
          <w:lang w:val="fr-FR"/>
        </w:rPr>
        <w:t>186.</w:t>
      </w:r>
      <w:r>
        <w:rPr>
          <w:bCs/>
          <w:iCs/>
          <w:lang w:val="fr-FR"/>
        </w:rPr>
        <w:tab/>
        <w:t>L'assurance de réversion (pour conjoints survivants et orphelins) consiste dans le versement d’une pension mensuelle (également appelée pension de survivant) aux parents de l'affilié ou du retraité.  La pension est versée à partir de la date du décès de l'assuré (le membre affilié).</w:t>
      </w:r>
    </w:p>
    <w:p w:rsidR="00000000" w:rsidRDefault="00000000">
      <w:pPr>
        <w:spacing w:after="240"/>
        <w:rPr>
          <w:bCs/>
          <w:iCs/>
          <w:lang w:val="fr-FR"/>
        </w:rPr>
      </w:pPr>
      <w:r>
        <w:rPr>
          <w:bCs/>
          <w:iCs/>
          <w:lang w:val="fr-FR"/>
        </w:rPr>
        <w:t>187.</w:t>
      </w:r>
      <w:r>
        <w:rPr>
          <w:bCs/>
          <w:iCs/>
          <w:lang w:val="fr-FR"/>
        </w:rPr>
        <w:tab/>
        <w:t>Dans le cas du Fonds mortuaire, l’IESS verse aux parents d'un retraité ou affilié décédé une somme d'argent, prestation qui constitue un complément à la pension de réversion et présente les caractéristiques de l'assurance vie.</w:t>
      </w:r>
    </w:p>
    <w:p w:rsidR="00000000" w:rsidRDefault="00000000">
      <w:pPr>
        <w:spacing w:after="240"/>
        <w:rPr>
          <w:bCs/>
          <w:iCs/>
          <w:lang w:val="fr-FR"/>
        </w:rPr>
      </w:pPr>
      <w:r>
        <w:rPr>
          <w:bCs/>
          <w:i/>
          <w:iCs/>
          <w:lang w:val="fr-FR"/>
        </w:rPr>
        <w:t>Gestion de la sécurité sociale</w:t>
      </w:r>
    </w:p>
    <w:p w:rsidR="00000000" w:rsidRDefault="00000000">
      <w:pPr>
        <w:spacing w:after="240"/>
        <w:rPr>
          <w:bCs/>
          <w:iCs/>
          <w:lang w:val="fr-FR"/>
        </w:rPr>
      </w:pPr>
      <w:r>
        <w:rPr>
          <w:bCs/>
          <w:iCs/>
          <w:lang w:val="fr-FR"/>
        </w:rPr>
        <w:t>188.</w:t>
      </w:r>
      <w:r>
        <w:rPr>
          <w:bCs/>
          <w:iCs/>
          <w:lang w:val="fr-FR"/>
        </w:rPr>
        <w:tab/>
        <w:t>La Constitution prévoit en son article 58 que "la responsabilité du fonctionnement de l'assurance générale obligatoire incombe à l'Institut équatorien de la sécurité sociale, entité autonome dirigée par un organisme technique administratif, à laquelle participent sur une base tripartite et paritaire des représentants des assurés, des employeurs et de l’État désignés conformément à la loi.  Son organisation et sa gestion sont régis par les critères d'efficacité, de décentralisation et de déconcentration, et ses prestations sont efficientes, suffisantes et de qualité.  L'Institut peut créer et promouvoir des institutions chargées de l'administration des ressources en vue de renforcer le système de prévoyance et d'améliorer les soins de santé fournis aux affiliés et à leur famille.  Les forces de l'ordre pourront avoir leurs organismes de sécurité sociale".</w:t>
      </w:r>
    </w:p>
    <w:p w:rsidR="00000000" w:rsidRDefault="00000000">
      <w:pPr>
        <w:spacing w:after="240"/>
        <w:rPr>
          <w:bCs/>
          <w:iCs/>
          <w:lang w:val="fr-FR"/>
        </w:rPr>
      </w:pPr>
      <w:r>
        <w:rPr>
          <w:bCs/>
          <w:iCs/>
          <w:lang w:val="fr-FR"/>
        </w:rPr>
        <w:t>189.</w:t>
      </w:r>
      <w:r>
        <w:rPr>
          <w:bCs/>
          <w:iCs/>
          <w:lang w:val="fr-FR"/>
        </w:rPr>
        <w:tab/>
        <w:t>Les travailleurs peuvent recourir à des systèmes privés d’assurance retraite et de mise en disponibilité en complément du régime obligatoire de retraite.  Les modalités et conditions de ce type d'assurance sont déterminés par des arrangements relevant strictement du domaine privé.</w:t>
      </w:r>
    </w:p>
    <w:p w:rsidR="00000000" w:rsidRDefault="00000000">
      <w:pPr>
        <w:spacing w:after="240"/>
        <w:rPr>
          <w:bCs/>
          <w:iCs/>
          <w:lang w:val="fr-FR"/>
        </w:rPr>
      </w:pPr>
      <w:r>
        <w:rPr>
          <w:bCs/>
          <w:iCs/>
          <w:lang w:val="fr-FR"/>
        </w:rPr>
        <w:t>190.</w:t>
      </w:r>
      <w:r>
        <w:rPr>
          <w:bCs/>
          <w:iCs/>
          <w:lang w:val="fr-FR"/>
        </w:rPr>
        <w:tab/>
        <w:t>Par ailleurs, certaines institutions, généralement publiques, ont réussi à établir des mécanismes additionnels de pension dans le cadre d'accords conclus avec leurs employés.  Les fonds ainsi constitués sont alimentés par les contributions des parties concernées.</w:t>
      </w:r>
    </w:p>
    <w:p w:rsidR="00000000" w:rsidRDefault="00000000">
      <w:pPr>
        <w:spacing w:after="240"/>
        <w:rPr>
          <w:bCs/>
          <w:lang w:val="fr-FR"/>
        </w:rPr>
      </w:pPr>
      <w:r>
        <w:rPr>
          <w:b/>
          <w:bCs/>
          <w:lang w:val="fr-FR"/>
        </w:rPr>
        <w:t>Réforme de la sécurité sociale</w:t>
      </w:r>
    </w:p>
    <w:p w:rsidR="00000000" w:rsidRDefault="00000000">
      <w:pPr>
        <w:spacing w:after="240"/>
        <w:rPr>
          <w:bCs/>
          <w:lang w:val="fr-FR"/>
        </w:rPr>
      </w:pPr>
      <w:r>
        <w:rPr>
          <w:bCs/>
          <w:lang w:val="fr-FR"/>
        </w:rPr>
        <w:t>191.</w:t>
      </w:r>
      <w:r>
        <w:rPr>
          <w:bCs/>
          <w:lang w:val="fr-FR"/>
        </w:rPr>
        <w:tab/>
        <w:t>En décembre 1998, la commission de contrôle chargé de lancer le processus de réforme de l’IESS a soumis au Congrès un avant-projet de réforme de la Loi relative à l'assurance sociale obligatoire.  Le projet de réforme s'inscrit dans le cadre des principes proclamés par la Constitution en vigueur depuis le 10 août 1998.</w:t>
      </w:r>
    </w:p>
    <w:p w:rsidR="00000000" w:rsidRDefault="00000000">
      <w:pPr>
        <w:spacing w:after="240"/>
        <w:rPr>
          <w:bCs/>
          <w:lang w:val="fr-FR"/>
        </w:rPr>
      </w:pPr>
      <w:r>
        <w:rPr>
          <w:bCs/>
          <w:lang w:val="fr-FR"/>
        </w:rPr>
        <w:t>192.</w:t>
      </w:r>
      <w:r>
        <w:rPr>
          <w:bCs/>
          <w:lang w:val="fr-FR"/>
        </w:rPr>
        <w:tab/>
        <w:t>Le projet de réforme repose sur deux concepts de base :</w:t>
      </w:r>
    </w:p>
    <w:p w:rsidR="00000000" w:rsidRDefault="00000000">
      <w:pPr>
        <w:numPr>
          <w:ilvl w:val="0"/>
          <w:numId w:val="35"/>
        </w:numPr>
        <w:spacing w:after="240"/>
        <w:rPr>
          <w:bCs/>
          <w:lang w:val="fr-FR"/>
        </w:rPr>
      </w:pPr>
      <w:r>
        <w:rPr>
          <w:bCs/>
          <w:lang w:val="fr-FR"/>
        </w:rPr>
        <w:t>La solidarité : le système fonctionnera suivant le principe du paiement d'une pension de base à tous les affiliés et sera administré par l’IESS, une fois ce dernier réformé;</w:t>
      </w:r>
    </w:p>
    <w:p w:rsidR="00000000" w:rsidRDefault="00000000">
      <w:pPr>
        <w:numPr>
          <w:ilvl w:val="0"/>
          <w:numId w:val="35"/>
        </w:numPr>
        <w:spacing w:after="240"/>
        <w:rPr>
          <w:bCs/>
          <w:lang w:val="fr-FR"/>
        </w:rPr>
      </w:pPr>
      <w:r>
        <w:rPr>
          <w:bCs/>
          <w:lang w:val="fr-FR"/>
        </w:rPr>
        <w:t>La capitalisation des comptes individuels et leur administration seront confiés à des institutions spécialisées dans ce type d'activité, les Agences d'épargne prévisionnelle (ACAP) qui seront des organismes privés, tout en laissant ouverte la possibilité que l’IESS constitue aussi sa propre agence d'épargne prévisionnelle.</w:t>
      </w:r>
    </w:p>
    <w:p w:rsidR="00000000" w:rsidRDefault="00000000">
      <w:pPr>
        <w:spacing w:after="240"/>
        <w:rPr>
          <w:bCs/>
          <w:lang w:val="fr-FR"/>
        </w:rPr>
      </w:pPr>
      <w:r>
        <w:rPr>
          <w:bCs/>
          <w:lang w:val="fr-FR"/>
        </w:rPr>
        <w:t>193.</w:t>
      </w:r>
      <w:r>
        <w:rPr>
          <w:bCs/>
          <w:lang w:val="fr-FR"/>
        </w:rPr>
        <w:tab/>
        <w:t>Dans la définition des contributions a été introduit le concept de salaire aux fins de cotisation, qui inclura dans l'immédiat les salaires additionnels (le 15e et le 16e) et, par la suite, l'indemnité du coût de la vie.</w:t>
      </w:r>
    </w:p>
    <w:p w:rsidR="00000000" w:rsidRDefault="00000000">
      <w:pPr>
        <w:spacing w:after="240"/>
        <w:rPr>
          <w:bCs/>
          <w:lang w:val="fr-FR"/>
        </w:rPr>
      </w:pPr>
      <w:r>
        <w:rPr>
          <w:bCs/>
          <w:lang w:val="fr-FR"/>
        </w:rPr>
        <w:t>194.</w:t>
      </w:r>
      <w:r>
        <w:rPr>
          <w:bCs/>
          <w:lang w:val="fr-FR"/>
        </w:rPr>
        <w:tab/>
        <w:t>Le projet de loi prévoit une transformation du régime des pensions en système mixte pour l'administration, le financement et les prestations offertes aux affiliés.</w:t>
      </w:r>
    </w:p>
    <w:p w:rsidR="00000000" w:rsidRDefault="00000000">
      <w:pPr>
        <w:spacing w:after="240"/>
        <w:rPr>
          <w:bCs/>
          <w:lang w:val="fr-FR"/>
        </w:rPr>
      </w:pPr>
      <w:r>
        <w:rPr>
          <w:bCs/>
          <w:lang w:val="fr-FR"/>
        </w:rPr>
        <w:t>195.</w:t>
      </w:r>
      <w:r>
        <w:rPr>
          <w:bCs/>
          <w:lang w:val="fr-FR"/>
        </w:rPr>
        <w:tab/>
        <w:t>Le projet combine deux modalités de pension : "solidarité intergénérationnelle" et "épargne individuelle obligatoire" :</w:t>
      </w:r>
    </w:p>
    <w:p w:rsidR="00000000" w:rsidRDefault="00000000">
      <w:pPr>
        <w:numPr>
          <w:ilvl w:val="0"/>
          <w:numId w:val="37"/>
        </w:numPr>
        <w:spacing w:after="240"/>
        <w:rPr>
          <w:bCs/>
          <w:lang w:val="fr-FR"/>
        </w:rPr>
      </w:pPr>
      <w:r>
        <w:rPr>
          <w:bCs/>
          <w:lang w:val="fr-FR"/>
        </w:rPr>
        <w:t>Dans le régime de pension par solidarité intergénérationnelle, les prestations sont financées par les cotisations des travailleurs actifs, les cotisations patronales et l'assistance financière de l’État.</w:t>
      </w:r>
    </w:p>
    <w:p w:rsidR="00000000" w:rsidRDefault="00000000">
      <w:pPr>
        <w:numPr>
          <w:ilvl w:val="0"/>
          <w:numId w:val="37"/>
        </w:numPr>
        <w:spacing w:after="240"/>
        <w:rPr>
          <w:bCs/>
          <w:lang w:val="fr-FR"/>
        </w:rPr>
      </w:pPr>
      <w:r>
        <w:rPr>
          <w:bCs/>
          <w:lang w:val="fr-FR"/>
        </w:rPr>
        <w:t>Dans le régime de pension par épargne individuelle obligatoire, les prestations sont financées par la contribution du travailleur actif déposés dans un "compte personnel" durant sa vie active et par les dépôts volontaires de l’affilié.</w:t>
      </w:r>
    </w:p>
    <w:p w:rsidR="00000000" w:rsidRDefault="00000000">
      <w:pPr>
        <w:keepNext/>
        <w:spacing w:after="240"/>
        <w:rPr>
          <w:bCs/>
          <w:lang w:val="fr-FR"/>
        </w:rPr>
      </w:pPr>
      <w:r>
        <w:rPr>
          <w:bCs/>
          <w:lang w:val="fr-FR"/>
        </w:rPr>
        <w:t>196.</w:t>
      </w:r>
      <w:r>
        <w:rPr>
          <w:bCs/>
          <w:lang w:val="fr-FR"/>
        </w:rPr>
        <w:tab/>
        <w:t>Les diverses catégories de pensions sont les suivantes :</w:t>
      </w:r>
    </w:p>
    <w:p w:rsidR="00000000" w:rsidRDefault="00000000">
      <w:pPr>
        <w:keepNext/>
        <w:numPr>
          <w:ilvl w:val="1"/>
          <w:numId w:val="37"/>
        </w:numPr>
        <w:spacing w:after="240"/>
        <w:rPr>
          <w:bCs/>
          <w:lang w:val="fr-FR"/>
        </w:rPr>
      </w:pPr>
      <w:r>
        <w:rPr>
          <w:bCs/>
          <w:lang w:val="fr-FR"/>
        </w:rPr>
        <w:t>La pension ordinaire, qui s'appliquerait, à partir de l'an 2000, aux affiliés ayant atteint l'âge de 60 ans et cotisé pendant 30 années, ou à ceux ayant cotisé pendant un minimum de 40 ans, sans limite d'âge.  Le système prendrait effet à partir de l'adoption de la loi.</w:t>
      </w:r>
    </w:p>
    <w:p w:rsidR="00000000" w:rsidRDefault="00000000">
      <w:pPr>
        <w:numPr>
          <w:ilvl w:val="1"/>
          <w:numId w:val="37"/>
        </w:numPr>
        <w:spacing w:after="240"/>
        <w:rPr>
          <w:bCs/>
          <w:lang w:val="fr-FR"/>
        </w:rPr>
      </w:pPr>
      <w:r>
        <w:rPr>
          <w:bCs/>
          <w:lang w:val="fr-FR"/>
        </w:rPr>
        <w:t>La pension d’invalidité, versée dans les cas d'incapacité totale ou permanente.</w:t>
      </w:r>
    </w:p>
    <w:p w:rsidR="00000000" w:rsidRDefault="00000000">
      <w:pPr>
        <w:numPr>
          <w:ilvl w:val="1"/>
          <w:numId w:val="37"/>
        </w:numPr>
        <w:spacing w:after="240"/>
        <w:rPr>
          <w:bCs/>
          <w:lang w:val="fr-FR"/>
        </w:rPr>
      </w:pPr>
      <w:r>
        <w:rPr>
          <w:bCs/>
          <w:lang w:val="fr-FR"/>
        </w:rPr>
        <w:t>La pension de retraite, au titre de laquelle l'affilié pourrait prendre sa retraite à l'âge de 70 ans après avoir cumulé au moins quinze ans de cotisation.  Un affilié pourrait aussi prendre sa retraite à l'âge de 65 ans avec un minimum de 20 années de cotisation et s'il est mis en disponibilité pendant 180 jours successifs.</w:t>
      </w:r>
    </w:p>
    <w:p w:rsidR="00000000" w:rsidRDefault="00000000">
      <w:pPr>
        <w:spacing w:after="240"/>
        <w:rPr>
          <w:bCs/>
          <w:lang w:val="fr-FR"/>
        </w:rPr>
      </w:pPr>
      <w:r>
        <w:rPr>
          <w:bCs/>
          <w:lang w:val="fr-FR"/>
        </w:rPr>
        <w:t>197.</w:t>
      </w:r>
      <w:r>
        <w:rPr>
          <w:bCs/>
          <w:lang w:val="fr-FR"/>
        </w:rPr>
        <w:tab/>
        <w:t>Dans le domaine de la santé, "en respectant les principes du système de sécurité sociale définis dans la Constitution, les prestations de santé doivent, d'une part, être complètes et, d'autre part, être les mêmes pour les affiliés comme pour les membres de la famille ou les autres membres bénéficiaires.  L'objet de la Sécurité générale de santé individuelle et familiale sera de fournir un bien social de façon solidaire et équitable, en veillant à maintenir l'équilibre des flux de ressources et à éviter des pertes économiques enregistrées dans le passé"</w:t>
      </w:r>
      <w:r>
        <w:rPr>
          <w:rStyle w:val="FootnoteReference"/>
          <w:b/>
          <w:bCs/>
          <w:lang w:val="fr-FR"/>
        </w:rPr>
        <w:footnoteReference w:id="23"/>
      </w:r>
      <w:r>
        <w:rPr>
          <w:bCs/>
          <w:lang w:val="fr-FR"/>
        </w:rPr>
        <w:t>.</w:t>
      </w:r>
    </w:p>
    <w:p w:rsidR="00000000" w:rsidRDefault="00000000">
      <w:pPr>
        <w:spacing w:after="240"/>
        <w:rPr>
          <w:bCs/>
          <w:lang w:val="fr-FR"/>
        </w:rPr>
      </w:pPr>
      <w:r>
        <w:rPr>
          <w:bCs/>
          <w:lang w:val="fr-FR"/>
        </w:rPr>
        <w:t>198.</w:t>
      </w:r>
      <w:r>
        <w:rPr>
          <w:bCs/>
          <w:lang w:val="fr-FR"/>
        </w:rPr>
        <w:tab/>
        <w:t>Il est prévu dans le projet de réforme que l'ensemble des prestations de santé sera le même que celui qui est actuellement offert par  l’IESS (prévention, assistance médicale curative, et prestations de maternité, traitement des maladies chroniques et dégénératives, soins dentaires préventifs) et que les modalités seront déterminées dans les protocoles qu'adoptera l'administration de l'assurance.</w:t>
      </w:r>
    </w:p>
    <w:p w:rsidR="00000000" w:rsidRDefault="00000000">
      <w:pPr>
        <w:spacing w:after="240"/>
        <w:rPr>
          <w:bCs/>
          <w:lang w:val="fr-FR"/>
        </w:rPr>
      </w:pPr>
      <w:r>
        <w:rPr>
          <w:bCs/>
          <w:lang w:val="fr-FR"/>
        </w:rPr>
        <w:t>199.</w:t>
      </w:r>
      <w:r>
        <w:rPr>
          <w:bCs/>
          <w:lang w:val="fr-FR"/>
        </w:rPr>
        <w:tab/>
        <w:t xml:space="preserve"> Le principe de solidarité se concrétise dans le fait que tous les affiliés exposés au risque de maladie versent leur contribution pour couvrir les prestations dont bénéficieront ceux qui seront effectivement malades.  La séparation de la fonction d'assurance et de la fonction d'achat et de fourniture de services est une condition essentielle au bon fonctionnement de ce nouveau modèle de gestion de l'assurance générale de santé.  La définition claire de ces fonctions dissociées permet une véritable spécialisation des diverses composantes de la fourniture de services de santé et de l’activité propre de l’IESS et permet d'atteindre les objectifs ou résultats vers lesquels doit tendre tout système de santé moderne.</w:t>
      </w:r>
    </w:p>
    <w:p w:rsidR="00000000" w:rsidRDefault="00000000">
      <w:pPr>
        <w:spacing w:after="240"/>
        <w:rPr>
          <w:bCs/>
          <w:lang w:val="fr-FR"/>
        </w:rPr>
      </w:pPr>
      <w:r>
        <w:rPr>
          <w:bCs/>
          <w:lang w:val="fr-FR"/>
        </w:rPr>
        <w:t>200.</w:t>
      </w:r>
      <w:r>
        <w:rPr>
          <w:bCs/>
          <w:lang w:val="fr-FR"/>
        </w:rPr>
        <w:tab/>
        <w:t>L'assurance sociale paysanne, qui est un régime solidaire et subsidiaire, conservera son caractère collectif, avec un système de financement par répartition reposant sur un appui budgétaire, des subventions croisées des adhérents à l'assurance générale obligatoire et les contributions individuelles des affiliés.  Les bénéficiaires de cette assurance sont actuellement au nombre de 996 896.</w:t>
      </w:r>
    </w:p>
    <w:p w:rsidR="00000000" w:rsidRDefault="00000000">
      <w:pPr>
        <w:spacing w:after="240"/>
        <w:rPr>
          <w:bCs/>
          <w:lang w:val="fr-FR"/>
        </w:rPr>
      </w:pPr>
      <w:r>
        <w:rPr>
          <w:bCs/>
          <w:lang w:val="fr-FR"/>
        </w:rPr>
        <w:t>201.</w:t>
      </w:r>
      <w:r>
        <w:rPr>
          <w:bCs/>
          <w:lang w:val="fr-FR"/>
        </w:rPr>
        <w:tab/>
        <w:t>Conformément à l'article 6 de la Loi N° 081, l'assurance sociale paysanne est financée par une cotisation de 1 % du salaire minimum vital en vigueur qui se décompose comme suit : 0,30 % à la charge de l’État; 0,35 % à la charge des employeurs et 0,35 % à la charge des travailleurs affiliés à l’IESS, s'ajoutant à la cotisation de 1 % du salaire minimum vital versé par une partie des chefs de famille.</w:t>
      </w:r>
    </w:p>
    <w:p w:rsidR="00000000" w:rsidRDefault="00000000">
      <w:pPr>
        <w:spacing w:after="240"/>
        <w:rPr>
          <w:bCs/>
          <w:lang w:val="fr-FR"/>
        </w:rPr>
      </w:pPr>
      <w:r>
        <w:rPr>
          <w:bCs/>
          <w:lang w:val="fr-FR"/>
        </w:rPr>
        <w:t>202.</w:t>
      </w:r>
      <w:r>
        <w:rPr>
          <w:bCs/>
          <w:lang w:val="fr-FR"/>
        </w:rPr>
        <w:tab/>
        <w:t>Ce régime spécial protège tous les membres des familles appartenant à des communes, coopératives, associations, comités ou autres formes similaires d'organisations populaires paysannes, ainsi que les familles qui, bien que n'appartenant à aucune forme d'organisations populaires, manifestent leur volonté de s'affilier à l'assurance paysanne, la filiation volontaire étant autorisée.</w:t>
      </w:r>
    </w:p>
    <w:p w:rsidR="00000000" w:rsidRDefault="00000000">
      <w:pPr>
        <w:spacing w:after="240"/>
        <w:rPr>
          <w:bCs/>
          <w:lang w:val="fr-FR"/>
        </w:rPr>
      </w:pPr>
      <w:r>
        <w:rPr>
          <w:bCs/>
          <w:lang w:val="fr-FR"/>
        </w:rPr>
        <w:t>203.</w:t>
      </w:r>
      <w:r>
        <w:rPr>
          <w:bCs/>
          <w:lang w:val="fr-FR"/>
        </w:rPr>
        <w:tab/>
        <w:t>L'assurance sociale paysanne offre à tous les membres de la famille affiliée des prestations suivantes :</w:t>
      </w:r>
    </w:p>
    <w:p w:rsidR="00000000" w:rsidRDefault="00000000">
      <w:pPr>
        <w:spacing w:after="240"/>
        <w:rPr>
          <w:bCs/>
          <w:lang w:val="fr-FR"/>
        </w:rPr>
      </w:pPr>
      <w:r>
        <w:rPr>
          <w:bCs/>
          <w:lang w:val="fr-FR"/>
        </w:rPr>
        <w:tab/>
        <w:t>a)</w:t>
      </w:r>
      <w:r>
        <w:rPr>
          <w:bCs/>
          <w:lang w:val="fr-FR"/>
        </w:rPr>
        <w:tab/>
        <w:t>Maladie :</w:t>
      </w:r>
    </w:p>
    <w:p w:rsidR="00000000" w:rsidRDefault="00000000">
      <w:pPr>
        <w:numPr>
          <w:ilvl w:val="0"/>
          <w:numId w:val="40"/>
        </w:numPr>
        <w:spacing w:after="240"/>
        <w:rPr>
          <w:bCs/>
          <w:lang w:val="fr-FR"/>
        </w:rPr>
      </w:pPr>
      <w:r>
        <w:rPr>
          <w:bCs/>
          <w:lang w:val="fr-FR"/>
        </w:rPr>
        <w:t>Assistance médicale et pharmaceutique;</w:t>
      </w:r>
    </w:p>
    <w:p w:rsidR="00000000" w:rsidRDefault="00000000">
      <w:pPr>
        <w:numPr>
          <w:ilvl w:val="0"/>
          <w:numId w:val="40"/>
        </w:numPr>
        <w:spacing w:after="240"/>
        <w:rPr>
          <w:bCs/>
          <w:lang w:val="fr-FR"/>
        </w:rPr>
      </w:pPr>
      <w:r>
        <w:rPr>
          <w:bCs/>
          <w:lang w:val="fr-FR"/>
        </w:rPr>
        <w:t>Assistance chirurgicale;</w:t>
      </w:r>
    </w:p>
    <w:p w:rsidR="00000000" w:rsidRDefault="00000000">
      <w:pPr>
        <w:numPr>
          <w:ilvl w:val="0"/>
          <w:numId w:val="40"/>
        </w:numPr>
        <w:spacing w:after="240"/>
        <w:rPr>
          <w:bCs/>
          <w:lang w:val="fr-FR"/>
        </w:rPr>
      </w:pPr>
      <w:r>
        <w:rPr>
          <w:bCs/>
          <w:lang w:val="fr-FR"/>
        </w:rPr>
        <w:t>Hospitalisation;</w:t>
      </w:r>
    </w:p>
    <w:p w:rsidR="00000000" w:rsidRDefault="00000000">
      <w:pPr>
        <w:spacing w:after="240"/>
        <w:rPr>
          <w:bCs/>
          <w:lang w:val="fr-FR"/>
        </w:rPr>
      </w:pPr>
      <w:r>
        <w:rPr>
          <w:bCs/>
          <w:lang w:val="fr-FR"/>
        </w:rPr>
        <w:tab/>
        <w:t>b)</w:t>
      </w:r>
      <w:r>
        <w:rPr>
          <w:bCs/>
          <w:lang w:val="fr-FR"/>
        </w:rPr>
        <w:tab/>
        <w:t>Maternité :</w:t>
      </w:r>
    </w:p>
    <w:p w:rsidR="00000000" w:rsidRDefault="00000000">
      <w:pPr>
        <w:numPr>
          <w:ilvl w:val="0"/>
          <w:numId w:val="40"/>
        </w:numPr>
        <w:spacing w:after="240"/>
        <w:rPr>
          <w:bCs/>
          <w:lang w:val="fr-FR"/>
        </w:rPr>
      </w:pPr>
      <w:r>
        <w:rPr>
          <w:bCs/>
          <w:lang w:val="fr-FR"/>
        </w:rPr>
        <w:t>Assistance obstétrique couvrant la période prénatale, l'accouchement et la les suites de couches;</w:t>
      </w:r>
    </w:p>
    <w:p w:rsidR="00000000" w:rsidRDefault="00000000">
      <w:pPr>
        <w:numPr>
          <w:ilvl w:val="0"/>
          <w:numId w:val="40"/>
        </w:numPr>
        <w:spacing w:after="240"/>
        <w:rPr>
          <w:bCs/>
          <w:lang w:val="fr-FR"/>
        </w:rPr>
      </w:pPr>
      <w:r>
        <w:rPr>
          <w:bCs/>
          <w:lang w:val="fr-FR"/>
        </w:rPr>
        <w:t>Soins médicaux à l'enfant de l'assurée pendant la première année de vie;</w:t>
      </w:r>
    </w:p>
    <w:p w:rsidR="00000000" w:rsidRDefault="00000000">
      <w:pPr>
        <w:spacing w:after="240"/>
        <w:rPr>
          <w:bCs/>
          <w:lang w:val="fr-FR"/>
        </w:rPr>
      </w:pPr>
      <w:r>
        <w:rPr>
          <w:bCs/>
          <w:lang w:val="fr-FR"/>
        </w:rPr>
        <w:tab/>
        <w:t>c)</w:t>
      </w:r>
      <w:r>
        <w:rPr>
          <w:bCs/>
          <w:lang w:val="fr-FR"/>
        </w:rPr>
        <w:tab/>
        <w:t>Soins dentaires :</w:t>
      </w:r>
    </w:p>
    <w:p w:rsidR="00000000" w:rsidRDefault="00000000">
      <w:pPr>
        <w:numPr>
          <w:ilvl w:val="0"/>
          <w:numId w:val="43"/>
        </w:numPr>
        <w:spacing w:after="240"/>
        <w:rPr>
          <w:bCs/>
          <w:lang w:val="fr-FR"/>
        </w:rPr>
      </w:pPr>
      <w:r>
        <w:rPr>
          <w:bCs/>
          <w:caps/>
          <w:lang w:val="fr-FR"/>
        </w:rPr>
        <w:t>e</w:t>
      </w:r>
      <w:r>
        <w:rPr>
          <w:bCs/>
          <w:lang w:val="fr-FR"/>
        </w:rPr>
        <w:t>xamen buccal;</w:t>
      </w:r>
    </w:p>
    <w:p w:rsidR="00000000" w:rsidRDefault="00000000">
      <w:pPr>
        <w:numPr>
          <w:ilvl w:val="0"/>
          <w:numId w:val="43"/>
        </w:numPr>
        <w:spacing w:after="240"/>
        <w:rPr>
          <w:bCs/>
          <w:lang w:val="fr-FR"/>
        </w:rPr>
      </w:pPr>
      <w:r>
        <w:rPr>
          <w:bCs/>
          <w:caps/>
          <w:lang w:val="fr-FR"/>
        </w:rPr>
        <w:t>p</w:t>
      </w:r>
      <w:r>
        <w:rPr>
          <w:bCs/>
          <w:lang w:val="fr-FR"/>
        </w:rPr>
        <w:t>rophylaxie;</w:t>
      </w:r>
    </w:p>
    <w:p w:rsidR="00000000" w:rsidRDefault="00000000">
      <w:pPr>
        <w:numPr>
          <w:ilvl w:val="0"/>
          <w:numId w:val="43"/>
        </w:numPr>
        <w:spacing w:after="240"/>
        <w:rPr>
          <w:bCs/>
          <w:lang w:val="fr-FR"/>
        </w:rPr>
      </w:pPr>
      <w:r>
        <w:rPr>
          <w:bCs/>
          <w:caps/>
          <w:lang w:val="fr-FR"/>
        </w:rPr>
        <w:t>e</w:t>
      </w:r>
      <w:r>
        <w:rPr>
          <w:bCs/>
          <w:lang w:val="fr-FR"/>
        </w:rPr>
        <w:t>xtraction de dent;</w:t>
      </w:r>
    </w:p>
    <w:p w:rsidR="00000000" w:rsidRDefault="00000000">
      <w:pPr>
        <w:numPr>
          <w:ilvl w:val="0"/>
          <w:numId w:val="43"/>
        </w:numPr>
        <w:spacing w:after="240"/>
        <w:rPr>
          <w:bCs/>
          <w:lang w:val="fr-FR"/>
        </w:rPr>
      </w:pPr>
      <w:r>
        <w:rPr>
          <w:bCs/>
          <w:caps/>
          <w:lang w:val="fr-FR"/>
        </w:rPr>
        <w:t>c</w:t>
      </w:r>
      <w:r>
        <w:rPr>
          <w:bCs/>
          <w:lang w:val="fr-FR"/>
        </w:rPr>
        <w:t>hirurgie dentaire.</w:t>
      </w:r>
    </w:p>
    <w:p w:rsidR="00000000" w:rsidRDefault="00000000">
      <w:pPr>
        <w:spacing w:after="240"/>
        <w:rPr>
          <w:bCs/>
          <w:lang w:val="fr-FR"/>
        </w:rPr>
      </w:pPr>
      <w:r>
        <w:rPr>
          <w:bCs/>
          <w:lang w:val="fr-FR"/>
        </w:rPr>
        <w:t>204.</w:t>
      </w:r>
      <w:r>
        <w:rPr>
          <w:bCs/>
          <w:lang w:val="fr-FR"/>
        </w:rPr>
        <w:tab/>
        <w:t>Sujets de l’affiliation : sont sujets affiliés de l'assurance sociale paysanne les personnes qui vivent et travaillent dans les campagnes et qui, ayant manifesté leur volonté de s'affilier, n'adhèrent pas ou n'ont pas la capacité légale d'adhérer à une autre assurance ou qui sont devenus employeurs à titre permanent.</w:t>
      </w:r>
    </w:p>
    <w:p w:rsidR="00000000" w:rsidRDefault="00000000">
      <w:pPr>
        <w:spacing w:after="240"/>
        <w:rPr>
          <w:bCs/>
          <w:lang w:val="fr-FR"/>
        </w:rPr>
      </w:pPr>
      <w:r>
        <w:rPr>
          <w:bCs/>
          <w:lang w:val="fr-FR"/>
        </w:rPr>
        <w:t>205.</w:t>
      </w:r>
      <w:r>
        <w:rPr>
          <w:bCs/>
          <w:lang w:val="fr-FR"/>
        </w:rPr>
        <w:tab/>
        <w:t>Campagne : c'est la zone rurale qui, conformément aux dispositions de la Loi relative à la division administrative de la République équatorienne, est située hors des chefs-lieux de canton et de district.  On y inclut les chefs-lieux de canton dont la majorité de la population exerce son activité principale dans le secteur primaire de la production.</w:t>
      </w:r>
    </w:p>
    <w:p w:rsidR="00000000" w:rsidRDefault="00000000">
      <w:pPr>
        <w:spacing w:after="240"/>
        <w:rPr>
          <w:bCs/>
          <w:lang w:val="fr-FR"/>
        </w:rPr>
      </w:pPr>
      <w:r>
        <w:rPr>
          <w:bCs/>
          <w:lang w:val="fr-FR"/>
        </w:rPr>
        <w:t>206.</w:t>
      </w:r>
      <w:r>
        <w:rPr>
          <w:bCs/>
          <w:lang w:val="fr-FR"/>
        </w:rPr>
        <w:tab/>
        <w:t>Familles paysannes : c'est le groupe de personnes unies par des liens de consanguinité ou d'alliance et les personnes proches qui, malgré l'absence de liens de parenté, sont considérées comme faisant partie de la famille et dépendent de la même autorité et du même revenu.</w:t>
      </w:r>
    </w:p>
    <w:p w:rsidR="00000000" w:rsidRDefault="00000000">
      <w:pPr>
        <w:spacing w:after="240"/>
        <w:rPr>
          <w:bCs/>
          <w:lang w:val="fr-FR"/>
        </w:rPr>
      </w:pPr>
      <w:r>
        <w:rPr>
          <w:bCs/>
          <w:lang w:val="fr-FR"/>
        </w:rPr>
        <w:t>205.</w:t>
      </w:r>
      <w:r>
        <w:rPr>
          <w:bCs/>
          <w:lang w:val="fr-FR"/>
        </w:rPr>
        <w:tab/>
        <w:t>Chef de famille affilié : c'est la personne chargée de subvenir aux besoins de la famille et dont le reste du groupe reconnaît l'autorité, qui exerce son activité principale dans le secteur primaire de la production ou dans les secteurs secondaire ou tertiaire de leur communauté paysanne.</w:t>
      </w:r>
    </w:p>
    <w:p w:rsidR="00000000" w:rsidRDefault="00000000">
      <w:pPr>
        <w:spacing w:after="240"/>
        <w:rPr>
          <w:bCs/>
          <w:lang w:val="fr-FR"/>
        </w:rPr>
      </w:pPr>
      <w:r>
        <w:rPr>
          <w:bCs/>
          <w:lang w:val="fr-FR"/>
        </w:rPr>
        <w:t>208.</w:t>
      </w:r>
      <w:r>
        <w:rPr>
          <w:bCs/>
          <w:lang w:val="fr-FR"/>
        </w:rPr>
        <w:tab/>
        <w:t>Réforme de l'assurance des risques liés au travail : l'assurance générale obligatoire couvre les circonstances imprévues résultant d'accidents du travail ou de maladie professionnelle et fournit des prestations telles que la prévention, l'assistance médicale, l'indemnité pour incapacité, l'indemnisation, la pension d'invalidité et la pension de réversion.  Sur la base de cette définition, on peut distinguer trois catégories de prestations : la prévention; les prestations de santé, y compris leur subvention, et les prestations en espèces.</w:t>
      </w:r>
    </w:p>
    <w:p w:rsidR="00000000" w:rsidRDefault="00000000">
      <w:pPr>
        <w:spacing w:after="240"/>
        <w:rPr>
          <w:bCs/>
          <w:lang w:val="fr-FR"/>
        </w:rPr>
      </w:pPr>
      <w:r>
        <w:rPr>
          <w:bCs/>
          <w:lang w:val="fr-FR"/>
        </w:rPr>
        <w:t>209.</w:t>
      </w:r>
      <w:r>
        <w:rPr>
          <w:bCs/>
          <w:lang w:val="fr-FR"/>
        </w:rPr>
        <w:tab/>
        <w:t>Ces catégories de prestations sont chacune assurées par des entités spécialisées.  Les prestations de santé sont fournies par les services médicaux de l’IESS, les prestations en espèces relèvent des organismes de pension et la prévention des services chargés des risques liés au travail.  Compte tenu du fait que l'administration de cette assurance a fait une large place à la prévention, les études réalisées recommandent la création d'un service de l'activité commerciale qui se chargerait, sur la base des mêmes principes appliqués par les autres sociétés d’assurances, des contrats d'assurance, de l'achat des services médicaux et de la fourniture des prestations monétaires au travers de l'achat de polices d'assurance sur le marché, qui assurerait contre les accidents et les maladies professionnelles et qui fourniraient des prestations telles que les pensions pour invalidité partielle ou totale et les pensions de réversion.</w:t>
      </w:r>
    </w:p>
    <w:p w:rsidR="00000000" w:rsidRDefault="00000000">
      <w:pPr>
        <w:spacing w:after="240"/>
        <w:rPr>
          <w:b/>
          <w:bCs/>
          <w:lang w:val="fr-FR"/>
        </w:rPr>
      </w:pPr>
      <w:r>
        <w:rPr>
          <w:b/>
          <w:bCs/>
          <w:lang w:val="fr-FR"/>
        </w:rPr>
        <w:t>Article 10</w:t>
      </w:r>
    </w:p>
    <w:p w:rsidR="00000000" w:rsidRDefault="00000000">
      <w:pPr>
        <w:spacing w:after="240"/>
        <w:rPr>
          <w:bCs/>
          <w:lang w:val="fr-FR"/>
        </w:rPr>
      </w:pPr>
      <w:r>
        <w:rPr>
          <w:b/>
          <w:bCs/>
          <w:lang w:val="fr-FR"/>
        </w:rPr>
        <w:t>Protection de la famille</w:t>
      </w:r>
    </w:p>
    <w:p w:rsidR="00000000" w:rsidRDefault="00000000">
      <w:pPr>
        <w:spacing w:after="240"/>
        <w:rPr>
          <w:bCs/>
          <w:lang w:val="fr-FR"/>
        </w:rPr>
      </w:pPr>
      <w:r>
        <w:rPr>
          <w:bCs/>
          <w:lang w:val="fr-FR"/>
        </w:rPr>
        <w:t>210.</w:t>
      </w:r>
      <w:r>
        <w:rPr>
          <w:bCs/>
          <w:lang w:val="fr-FR"/>
        </w:rPr>
        <w:tab/>
        <w:t>Une des avancées réalisées par l'Assemblée constituante en 1998 a été de faire en sorte que le nouveau texte constitutionnel reconnaisse la citoyenneté des enfants et des adolescents, ainsi qu'il en découle de l'article 6 : "Tous les équatoriens sont citoyens et, en tant que tels, jouissent des droits prévus dans la présente Constitution, qu'ils exercent dans les cas et dans les conditions déterminés par la loi".</w:t>
      </w:r>
    </w:p>
    <w:p w:rsidR="00000000" w:rsidRDefault="00000000">
      <w:pPr>
        <w:spacing w:after="240"/>
        <w:rPr>
          <w:bCs/>
          <w:lang w:val="fr-FR"/>
        </w:rPr>
      </w:pPr>
      <w:r>
        <w:rPr>
          <w:bCs/>
          <w:lang w:val="fr-FR"/>
        </w:rPr>
        <w:t>211.</w:t>
      </w:r>
      <w:r>
        <w:rPr>
          <w:bCs/>
          <w:lang w:val="fr-FR"/>
        </w:rPr>
        <w:tab/>
        <w:t>Le principe de l'égalité devant la loi est de ce fait garanti.  Toutes les personnes sont considérées comme étant égales et jouissent des mêmes droits, libertés et possibilités, sans discrimination fondée sur la naissance, l'âge, de sexe, l'ethnie ou la couleur; il existe désormais un cadre juridique et institutionnel reposant sur la conception de protection intégrale, qui fait de tous les enfants et adolescents des sujets de droit, et qui tend à remédier aux insuffisances de l'actuel Code des mineurs inspiré par la vieille doctrine "d’assistance en cas de situation irrégulière", qui considère les enfants comme des objets de tutelle de la part de l’État, accordant la priorité dans l'action à certains groupes de mineurs à problème (mineurs abandonnés, pauvres, délinquants, à comportement antisocial).</w:t>
      </w:r>
    </w:p>
    <w:p w:rsidR="00000000" w:rsidRDefault="00000000">
      <w:pPr>
        <w:spacing w:after="240"/>
        <w:rPr>
          <w:bCs/>
          <w:lang w:val="fr-FR"/>
        </w:rPr>
      </w:pPr>
      <w:r>
        <w:rPr>
          <w:bCs/>
          <w:lang w:val="fr-FR"/>
        </w:rPr>
        <w:t>212.</w:t>
      </w:r>
      <w:r>
        <w:rPr>
          <w:bCs/>
          <w:lang w:val="fr-FR"/>
        </w:rPr>
        <w:tab/>
        <w:t>L’Assemblée constituante a réformé la Constitution, renforçant les droits et la protection juridique de la femme, des mineurs et de la famille.  Ainsi, le nouveau texte légal définit les droits de la famille et les garanties qui lui sont offertes.  Selon l'article 37 : "L'État reconnaît et protège la famille en tant que cellule fondamentale de la société et lui garantit les conditions nécessaires à son épanouissement".</w:t>
      </w:r>
    </w:p>
    <w:p w:rsidR="00000000" w:rsidRDefault="00000000">
      <w:pPr>
        <w:keepNext/>
        <w:spacing w:after="240"/>
        <w:rPr>
          <w:bCs/>
          <w:i/>
          <w:lang w:val="fr-FR"/>
        </w:rPr>
      </w:pPr>
      <w:r>
        <w:rPr>
          <w:bCs/>
          <w:i/>
          <w:lang w:val="fr-FR"/>
        </w:rPr>
        <w:t>Le concept de "famille"</w:t>
      </w:r>
    </w:p>
    <w:p w:rsidR="00000000" w:rsidRDefault="00000000">
      <w:pPr>
        <w:keepNext/>
        <w:spacing w:after="240"/>
        <w:rPr>
          <w:bCs/>
          <w:iCs/>
          <w:lang w:val="fr-FR"/>
        </w:rPr>
      </w:pPr>
      <w:r>
        <w:rPr>
          <w:bCs/>
          <w:iCs/>
          <w:lang w:val="fr-FR"/>
        </w:rPr>
        <w:t>213.</w:t>
      </w:r>
      <w:r>
        <w:rPr>
          <w:bCs/>
          <w:iCs/>
          <w:lang w:val="fr-FR"/>
        </w:rPr>
        <w:tab/>
        <w:t>"L'État reconnaît et protège la famille en tant que cellule fondamentale de la société et lui garantit les conditions nécessaires à son épanouissement.  La famille est constituée par des liens juridiques ou de fait sur la base de l'égalité des droits et des chances des membres qui la composent"</w:t>
      </w:r>
      <w:r>
        <w:rPr>
          <w:rStyle w:val="FootnoteReference"/>
          <w:b/>
          <w:bCs/>
          <w:iCs/>
          <w:lang w:val="fr-FR"/>
        </w:rPr>
        <w:footnoteReference w:id="24"/>
      </w:r>
      <w:r>
        <w:rPr>
          <w:bCs/>
          <w:iCs/>
          <w:lang w:val="fr-FR"/>
        </w:rPr>
        <w:t>.</w:t>
      </w:r>
    </w:p>
    <w:p w:rsidR="00000000" w:rsidRDefault="00000000">
      <w:pPr>
        <w:spacing w:after="240"/>
        <w:rPr>
          <w:bCs/>
          <w:lang w:val="fr-FR"/>
        </w:rPr>
      </w:pPr>
      <w:r>
        <w:rPr>
          <w:bCs/>
          <w:lang w:val="fr-FR"/>
        </w:rPr>
        <w:t>214.</w:t>
      </w:r>
      <w:r>
        <w:rPr>
          <w:bCs/>
          <w:lang w:val="fr-FR"/>
        </w:rPr>
        <w:tab/>
        <w:t>La famille est la cellule sociale de base pour la reproduction quotidienne et la reproduction générationnelle, unie par des liens de parenté.</w:t>
      </w:r>
    </w:p>
    <w:p w:rsidR="00000000" w:rsidRDefault="00000000">
      <w:pPr>
        <w:spacing w:after="240"/>
        <w:rPr>
          <w:bCs/>
          <w:lang w:val="fr-FR"/>
        </w:rPr>
      </w:pPr>
      <w:r>
        <w:rPr>
          <w:bCs/>
          <w:lang w:val="fr-FR"/>
        </w:rPr>
        <w:t>215.</w:t>
      </w:r>
      <w:r>
        <w:rPr>
          <w:bCs/>
          <w:lang w:val="fr-FR"/>
        </w:rPr>
        <w:tab/>
        <w:t>La consanguinité est un fondement de la légalité des relations de parenté, à laquelle s'associent des droits et des devoirs.</w:t>
      </w:r>
    </w:p>
    <w:p w:rsidR="00000000" w:rsidRDefault="00000000">
      <w:pPr>
        <w:spacing w:after="240"/>
        <w:rPr>
          <w:bCs/>
          <w:lang w:val="fr-FR"/>
        </w:rPr>
      </w:pPr>
      <w:r>
        <w:rPr>
          <w:bCs/>
          <w:lang w:val="fr-FR"/>
        </w:rPr>
        <w:t>216.</w:t>
      </w:r>
      <w:r>
        <w:rPr>
          <w:bCs/>
          <w:lang w:val="fr-FR"/>
        </w:rPr>
        <w:tab/>
        <w:t>Le concept de reproduction quotidienne recouvre les tâches telles que les soins apportés quotidiennement aux enfants, la préparation des repas et la consommation de biens et services tels que l'alimentation, l'éducation et le logement.</w:t>
      </w:r>
    </w:p>
    <w:p w:rsidR="00000000" w:rsidRDefault="00000000">
      <w:pPr>
        <w:spacing w:after="240"/>
        <w:rPr>
          <w:bCs/>
          <w:lang w:val="fr-FR"/>
        </w:rPr>
      </w:pPr>
      <w:r>
        <w:rPr>
          <w:bCs/>
          <w:lang w:val="fr-FR"/>
        </w:rPr>
        <w:t>217.</w:t>
      </w:r>
      <w:r>
        <w:rPr>
          <w:bCs/>
          <w:lang w:val="fr-FR"/>
        </w:rPr>
        <w:tab/>
        <w:t>La reproduction générationnelle désigne la reproduction biologique, à savoir la conception, la gestation, la vie et la mort.</w:t>
      </w:r>
    </w:p>
    <w:p w:rsidR="00000000" w:rsidRDefault="00000000">
      <w:pPr>
        <w:spacing w:after="240"/>
        <w:rPr>
          <w:bCs/>
          <w:lang w:val="fr-FR"/>
        </w:rPr>
      </w:pPr>
      <w:r>
        <w:rPr>
          <w:bCs/>
          <w:lang w:val="fr-FR"/>
        </w:rPr>
        <w:t>218.</w:t>
      </w:r>
      <w:r>
        <w:rPr>
          <w:bCs/>
          <w:lang w:val="fr-FR"/>
        </w:rPr>
        <w:tab/>
        <w:t>Est considérée aussi comme famille tout espace naturel d'éducation et de socialisation qui remplit des fonctions d'appui au développement intégral de l'enfant, en particulier en ce qui concerne son identité et l’estime de soi, qui ne naît pas spontanément, mais est le résultat de l'environnement familial des mineurs.</w:t>
      </w:r>
    </w:p>
    <w:p w:rsidR="00000000" w:rsidRDefault="00000000">
      <w:pPr>
        <w:spacing w:after="240"/>
        <w:rPr>
          <w:bCs/>
          <w:lang w:val="fr-FR"/>
        </w:rPr>
      </w:pPr>
      <w:r>
        <w:rPr>
          <w:bCs/>
          <w:i/>
          <w:lang w:val="fr-FR"/>
        </w:rPr>
        <w:t>Majorité</w:t>
      </w:r>
    </w:p>
    <w:p w:rsidR="00000000" w:rsidRDefault="00000000">
      <w:pPr>
        <w:spacing w:after="240"/>
        <w:rPr>
          <w:bCs/>
          <w:lang w:val="fr-FR"/>
        </w:rPr>
      </w:pPr>
      <w:r>
        <w:rPr>
          <w:bCs/>
          <w:lang w:val="fr-FR"/>
        </w:rPr>
        <w:t>219.</w:t>
      </w:r>
      <w:r>
        <w:rPr>
          <w:bCs/>
          <w:lang w:val="fr-FR"/>
        </w:rPr>
        <w:tab/>
        <w:t>Les enfants et les adolescents de 0 à 18 ans ont droit au respect de leurs garanties constitutionnelles, comme prévu dans la législation relative aux mineurs, le Code des mineurs et son Règlement.  À toutes fins utiles, sur les plans juridique et social, sont considérées comme adolescents adultes les personnes âgées de 14 à 17 ans.  L’article 21 du Code civil précise : "Par enfant, on entend celui qui a moins de 7 ans; par impubère, le garçon de moins de 14 ans et la fille de moins de 12 ans; par adulte, celui ou celle qui n'est plus impubère; par majeur, celui ou celle qui a 18 ans et plus; et par mineur, celui ou celle qui n’a pas encore atteint l’âge de 18 ans".</w:t>
      </w:r>
    </w:p>
    <w:p w:rsidR="00000000" w:rsidRDefault="00000000">
      <w:pPr>
        <w:spacing w:after="240"/>
        <w:rPr>
          <w:bCs/>
          <w:lang w:val="fr-FR"/>
        </w:rPr>
      </w:pPr>
      <w:r>
        <w:rPr>
          <w:bCs/>
          <w:lang w:val="fr-FR"/>
        </w:rPr>
        <w:t>220.</w:t>
      </w:r>
      <w:r>
        <w:rPr>
          <w:bCs/>
          <w:lang w:val="fr-FR"/>
        </w:rPr>
        <w:tab/>
        <w:t>En Équateur, les femmes et les hommes sont libres de contracter le mariage.  L'âge minimum du mariage est de 18 ans.  Les mineurs doivent, pour se marier, obtenir l'autorisation de leurs parents.  La réglementation relative au mariage, aux obligations et aux droits qui s'y attachent et aux conditions d'âge minimum est définie dans le Code civil et dans le Code de procédure civile.</w:t>
      </w:r>
    </w:p>
    <w:p w:rsidR="00000000" w:rsidRDefault="00000000">
      <w:pPr>
        <w:spacing w:after="240"/>
        <w:rPr>
          <w:bCs/>
          <w:lang w:val="fr-FR"/>
        </w:rPr>
      </w:pPr>
      <w:r>
        <w:rPr>
          <w:bCs/>
          <w:lang w:val="fr-FR"/>
        </w:rPr>
        <w:t>221.</w:t>
      </w:r>
      <w:r>
        <w:rPr>
          <w:bCs/>
          <w:lang w:val="fr-FR"/>
        </w:rPr>
        <w:tab/>
        <w:t>La Constitution reconnaît et protège la famille constituée juridiquement ou par l'union de fait sur la base du libre consentement des époux et de l'égalité des droits, des devoirs et de la capacité légale des conjoints.  En ce qui concerne l'union de fait, le texte constitutionnel précise en son article 38 : "L'union stable et monogamique d'un homme et d'une femme, n'ayant pas de liens matrimoniaux avec une autre personne, et qui constitue une union de fait pendant une durée et dans les conditions déterminées par la loi, donnera lieu aux mêmes droits et devoirs que ceux des familles constituées par mariage, y compris en ce qui concerne la présomption légale de paternité et la société conjugale".</w:t>
      </w:r>
    </w:p>
    <w:p w:rsidR="00000000" w:rsidRDefault="00000000">
      <w:pPr>
        <w:keepNext/>
        <w:spacing w:after="240"/>
        <w:rPr>
          <w:bCs/>
          <w:lang w:val="fr-FR"/>
        </w:rPr>
      </w:pPr>
      <w:r>
        <w:rPr>
          <w:bCs/>
          <w:i/>
          <w:lang w:val="fr-FR"/>
        </w:rPr>
        <w:t>La protection de la famille</w:t>
      </w:r>
    </w:p>
    <w:p w:rsidR="00000000" w:rsidRDefault="00000000">
      <w:pPr>
        <w:keepNext/>
        <w:spacing w:after="240"/>
        <w:rPr>
          <w:bCs/>
          <w:lang w:val="fr-FR"/>
        </w:rPr>
      </w:pPr>
      <w:r>
        <w:rPr>
          <w:bCs/>
          <w:lang w:val="fr-FR"/>
        </w:rPr>
        <w:t>222.</w:t>
      </w:r>
      <w:r>
        <w:rPr>
          <w:bCs/>
          <w:lang w:val="fr-FR"/>
        </w:rPr>
        <w:tab/>
        <w:t>La Constitution prévoit que l’État protège la famille : "la maternité et la paternité responsables sont encouragées.  L’État garantit le droit des personnes de décider du nombre d'enfants qu’ils peuvent avoir, adopter, entretenir et élever"</w:t>
      </w:r>
      <w:r>
        <w:rPr>
          <w:rStyle w:val="FootnoteReference"/>
          <w:b/>
          <w:bCs/>
          <w:lang w:val="fr-FR"/>
        </w:rPr>
        <w:footnoteReference w:id="25"/>
      </w:r>
      <w:r>
        <w:rPr>
          <w:bCs/>
          <w:lang w:val="fr-FR"/>
        </w:rPr>
        <w:t>.</w:t>
      </w:r>
    </w:p>
    <w:p w:rsidR="00000000" w:rsidRDefault="00000000">
      <w:pPr>
        <w:spacing w:after="240"/>
        <w:rPr>
          <w:bCs/>
          <w:lang w:val="fr-FR"/>
        </w:rPr>
      </w:pPr>
      <w:r>
        <w:rPr>
          <w:bCs/>
          <w:lang w:val="fr-FR"/>
        </w:rPr>
        <w:t>223.</w:t>
      </w:r>
      <w:r>
        <w:rPr>
          <w:bCs/>
          <w:lang w:val="fr-FR"/>
        </w:rPr>
        <w:tab/>
        <w:t>En application des dispositions de l'article 40 de la Constitution, "l’État protège les mères, les pères et ceux qui sont chefs de famille dans l'exercice de leurs obligations.  Il encourage la coresponsabilité paternelle et maternelle et veille au respect des droits et des devoirs réciproques entre parents et enfants.  Les enfants, indépendamment des conditions de filiation ou d'adoption, ont les mêmes droits.  Au moment de l'enregistrement de la naissance, il n'est pas demandé de préciser la nature de la filiation, dont il n'est pas fait mention dans l'acte de naissance".</w:t>
      </w:r>
    </w:p>
    <w:p w:rsidR="00000000" w:rsidRDefault="00000000">
      <w:pPr>
        <w:spacing w:after="240"/>
        <w:rPr>
          <w:bCs/>
          <w:lang w:val="fr-FR"/>
        </w:rPr>
      </w:pPr>
      <w:r>
        <w:rPr>
          <w:bCs/>
          <w:lang w:val="fr-FR"/>
        </w:rPr>
        <w:t>224.</w:t>
      </w:r>
      <w:r>
        <w:rPr>
          <w:bCs/>
          <w:lang w:val="fr-FR"/>
        </w:rPr>
        <w:tab/>
        <w:t>Le Ministère de la protection sociale met au point une série de programmes de protection et de renforcement de la famille par le biais de la Direction nationale de la protection des mineurs, sur la base de directives conformes au Code des mineurs et à son Règlement concernant la protection intégrale de l'enfance et de l'adolescence, avec le concours et la participation des familles biologiques ou d'accueil et de la société civile.</w:t>
      </w:r>
    </w:p>
    <w:p w:rsidR="00000000" w:rsidRDefault="00000000">
      <w:pPr>
        <w:spacing w:after="240"/>
        <w:rPr>
          <w:bCs/>
          <w:lang w:val="fr-FR"/>
        </w:rPr>
      </w:pPr>
      <w:r>
        <w:rPr>
          <w:bCs/>
          <w:lang w:val="fr-FR"/>
        </w:rPr>
        <w:t>225.</w:t>
      </w:r>
      <w:r>
        <w:rPr>
          <w:bCs/>
          <w:lang w:val="fr-FR"/>
        </w:rPr>
        <w:tab/>
        <w:t>Le Programme d'éducation familiale, qui s'adresse aux centres infantiles, a pour but d'améliorer le rôle et les fonctions de la famille des enfants de moins de cinq ans, ainsi que des personnes qui s'occupent de ces centres, en vue de prévenir les obstacles à la croissance et à l’épanouissement de ces enfants.  Le programme a en outre pour objet de renforcer la fonction éducatrice de la famille, à laquelle participent tous ses membres, et d'en faire un facteur de développement de l'enfant, et constituer la communauté éducative "Centre de la famille et de l'enfant".</w:t>
      </w:r>
    </w:p>
    <w:p w:rsidR="00000000" w:rsidRDefault="00000000">
      <w:pPr>
        <w:spacing w:after="240"/>
        <w:rPr>
          <w:bCs/>
          <w:lang w:val="fr-FR"/>
        </w:rPr>
      </w:pPr>
      <w:r>
        <w:rPr>
          <w:bCs/>
          <w:lang w:val="fr-FR"/>
        </w:rPr>
        <w:t>226.</w:t>
      </w:r>
      <w:r>
        <w:rPr>
          <w:bCs/>
          <w:lang w:val="fr-FR"/>
        </w:rPr>
        <w:tab/>
        <w:t>Le Programme d'éducation familiale a des effets multiplicateurs, puisque le personnel des centres infantiles reçoit une formation dont il transmet ensuite l'expérience aux parents des familles.</w:t>
      </w:r>
    </w:p>
    <w:p w:rsidR="00000000" w:rsidRDefault="00000000">
      <w:pPr>
        <w:spacing w:after="240"/>
        <w:rPr>
          <w:bCs/>
          <w:lang w:val="fr-FR"/>
        </w:rPr>
      </w:pPr>
      <w:r>
        <w:rPr>
          <w:bCs/>
          <w:lang w:val="fr-FR"/>
        </w:rPr>
        <w:t>227.</w:t>
      </w:r>
      <w:r>
        <w:rPr>
          <w:bCs/>
          <w:lang w:val="fr-FR"/>
        </w:rPr>
        <w:tab/>
        <w:t>Les agents facilitateurs et le personnel formé disposent de manuels d'aide, dont le contenu est étroitement lié à la réalité institutionnelle et au travail que les centres accomplissent en faveur des enfants de moins de cinq ans.</w:t>
      </w:r>
    </w:p>
    <w:p w:rsidR="00000000" w:rsidRDefault="00000000">
      <w:pPr>
        <w:spacing w:after="240"/>
        <w:rPr>
          <w:bCs/>
          <w:lang w:val="fr-FR"/>
        </w:rPr>
      </w:pPr>
      <w:r>
        <w:rPr>
          <w:bCs/>
          <w:lang w:val="fr-FR"/>
        </w:rPr>
        <w:t>228.</w:t>
      </w:r>
      <w:r>
        <w:rPr>
          <w:bCs/>
          <w:lang w:val="fr-FR"/>
        </w:rPr>
        <w:tab/>
        <w:t>Par ailleurs, les foyers de protection relevant du Département de la protection et de la défense de la Direction nationale des mineurs peuvent compter sur un dispositif de mesures qui tendent à renforcer et  soutenir l'intégration du groupe familial.</w:t>
      </w:r>
    </w:p>
    <w:p w:rsidR="00000000" w:rsidRDefault="00000000">
      <w:pPr>
        <w:spacing w:after="240"/>
        <w:rPr>
          <w:bCs/>
          <w:lang w:val="fr-FR"/>
        </w:rPr>
      </w:pPr>
      <w:r>
        <w:rPr>
          <w:bCs/>
          <w:lang w:val="fr-FR"/>
        </w:rPr>
        <w:t>229.</w:t>
      </w:r>
      <w:r>
        <w:rPr>
          <w:bCs/>
          <w:lang w:val="fr-FR"/>
        </w:rPr>
        <w:tab/>
        <w:t>Les principaux éléments de ce dispositif sont les suivants :</w:t>
      </w:r>
    </w:p>
    <w:p w:rsidR="00000000" w:rsidRDefault="00000000">
      <w:pPr>
        <w:numPr>
          <w:ilvl w:val="0"/>
          <w:numId w:val="44"/>
        </w:numPr>
        <w:spacing w:after="240"/>
        <w:rPr>
          <w:bCs/>
          <w:lang w:val="fr-FR"/>
        </w:rPr>
      </w:pPr>
      <w:r>
        <w:rPr>
          <w:bCs/>
          <w:lang w:val="fr-FR"/>
        </w:rPr>
        <w:t>Programmes d'identité, visant à définir des situations d'ordre social et juridique concernant les enfants et adolescents;</w:t>
      </w:r>
    </w:p>
    <w:p w:rsidR="00000000" w:rsidRDefault="00000000">
      <w:pPr>
        <w:numPr>
          <w:ilvl w:val="0"/>
          <w:numId w:val="44"/>
        </w:numPr>
        <w:spacing w:after="240"/>
        <w:rPr>
          <w:bCs/>
          <w:lang w:val="fr-FR"/>
        </w:rPr>
      </w:pPr>
      <w:r>
        <w:rPr>
          <w:bCs/>
          <w:lang w:val="fr-FR"/>
        </w:rPr>
        <w:t>Programmes de bourses axés sur l'appui économique aux enfants placés en institutions et à la communauté, en vue de prévenir la non-application du droit à l'éducation;</w:t>
      </w:r>
    </w:p>
    <w:p w:rsidR="00000000" w:rsidRDefault="00000000">
      <w:pPr>
        <w:numPr>
          <w:ilvl w:val="0"/>
          <w:numId w:val="44"/>
        </w:numPr>
        <w:spacing w:after="240"/>
        <w:rPr>
          <w:bCs/>
          <w:lang w:val="fr-FR"/>
        </w:rPr>
      </w:pPr>
      <w:r>
        <w:rPr>
          <w:bCs/>
          <w:lang w:val="fr-FR"/>
        </w:rPr>
        <w:t>Appui social, juridique et psychologique fourni par l'équipe technique des entités opérationnelles (centres infantiles de soins journaliers, maisons-foyers, foyers infantiles, foyers juvéniles et services de réadaptation) de la Direction nationale de la protection des mineurs en faveur des enfants et de leur famille, dans le cadre d'un processus de travail permanent visant à :</w:t>
      </w:r>
    </w:p>
    <w:p w:rsidR="00000000" w:rsidRDefault="00000000">
      <w:pPr>
        <w:numPr>
          <w:ilvl w:val="0"/>
          <w:numId w:val="49"/>
        </w:numPr>
        <w:spacing w:after="240"/>
        <w:rPr>
          <w:bCs/>
          <w:lang w:val="fr-FR"/>
        </w:rPr>
      </w:pPr>
      <w:r>
        <w:rPr>
          <w:bCs/>
          <w:lang w:val="fr-FR"/>
        </w:rPr>
        <w:t>Aider la famille au domicile;</w:t>
      </w:r>
    </w:p>
    <w:p w:rsidR="00000000" w:rsidRDefault="00000000">
      <w:pPr>
        <w:numPr>
          <w:ilvl w:val="0"/>
          <w:numId w:val="49"/>
        </w:numPr>
        <w:spacing w:after="240"/>
        <w:rPr>
          <w:bCs/>
          <w:lang w:val="fr-FR"/>
        </w:rPr>
      </w:pPr>
      <w:r>
        <w:rPr>
          <w:bCs/>
          <w:lang w:val="fr-FR"/>
        </w:rPr>
        <w:t>Développer avec la famille d'un processus permettant à cette dernière de retrouver l'estime de soi et la confiance;</w:t>
      </w:r>
    </w:p>
    <w:p w:rsidR="00000000" w:rsidRDefault="00000000">
      <w:pPr>
        <w:numPr>
          <w:ilvl w:val="0"/>
          <w:numId w:val="49"/>
        </w:numPr>
        <w:spacing w:after="240"/>
        <w:rPr>
          <w:bCs/>
          <w:lang w:val="fr-FR"/>
        </w:rPr>
      </w:pPr>
      <w:r>
        <w:rPr>
          <w:bCs/>
          <w:lang w:val="fr-FR"/>
        </w:rPr>
        <w:t>Créer des espaces pour les échanges de données d'expérience et l'entraide entre des familles confrontées à des problèmes similaires (école de parents);</w:t>
      </w:r>
    </w:p>
    <w:p w:rsidR="00000000" w:rsidRDefault="00000000">
      <w:pPr>
        <w:numPr>
          <w:ilvl w:val="0"/>
          <w:numId w:val="49"/>
        </w:numPr>
        <w:spacing w:after="240"/>
        <w:rPr>
          <w:bCs/>
          <w:lang w:val="fr-FR"/>
        </w:rPr>
      </w:pPr>
      <w:r>
        <w:rPr>
          <w:bCs/>
          <w:lang w:val="fr-FR"/>
        </w:rPr>
        <w:t>Promouvoir l'information nécessaire et pertinente sur les droits et les devoirs, et l’appui communautaire public et privé;</w:t>
      </w:r>
    </w:p>
    <w:p w:rsidR="00000000" w:rsidRDefault="00000000">
      <w:pPr>
        <w:numPr>
          <w:ilvl w:val="0"/>
          <w:numId w:val="49"/>
        </w:numPr>
        <w:spacing w:after="240"/>
        <w:rPr>
          <w:bCs/>
          <w:lang w:val="fr-FR"/>
        </w:rPr>
      </w:pPr>
      <w:r>
        <w:rPr>
          <w:bCs/>
          <w:lang w:val="fr-FR"/>
        </w:rPr>
        <w:t>Créer des espaces de loisirs et de socialisation;</w:t>
      </w:r>
    </w:p>
    <w:p w:rsidR="00000000" w:rsidRDefault="00000000">
      <w:pPr>
        <w:numPr>
          <w:ilvl w:val="0"/>
          <w:numId w:val="49"/>
        </w:numPr>
        <w:spacing w:after="240"/>
        <w:rPr>
          <w:bCs/>
          <w:lang w:val="fr-FR"/>
        </w:rPr>
      </w:pPr>
      <w:r>
        <w:rPr>
          <w:bCs/>
          <w:lang w:val="fr-FR"/>
        </w:rPr>
        <w:t>Offrir aux adolescents délinquants et à leur famille des solutions de rechange pour la réadaptation sociale et le développement intégral, en encourageant les changements de comportements et d'habitudes éducatives tant aux niveaux personnel et familial qu’au niveau social;</w:t>
      </w:r>
    </w:p>
    <w:p w:rsidR="00000000" w:rsidRDefault="00000000">
      <w:pPr>
        <w:numPr>
          <w:ilvl w:val="0"/>
          <w:numId w:val="49"/>
        </w:numPr>
        <w:spacing w:after="240"/>
        <w:rPr>
          <w:bCs/>
          <w:lang w:val="fr-FR"/>
        </w:rPr>
      </w:pPr>
      <w:r>
        <w:rPr>
          <w:bCs/>
          <w:lang w:val="fr-FR"/>
        </w:rPr>
        <w:t>Offrir à la famille des conseils d'orientation, des avis et un traitement à fin de surmonter les difficultés d'ordre personnel, social et juridique.</w:t>
      </w:r>
    </w:p>
    <w:p w:rsidR="00000000" w:rsidRDefault="00000000">
      <w:pPr>
        <w:spacing w:after="240"/>
        <w:rPr>
          <w:bCs/>
          <w:lang w:val="fr-FR"/>
        </w:rPr>
      </w:pPr>
      <w:r>
        <w:rPr>
          <w:bCs/>
          <w:lang w:val="fr-FR"/>
        </w:rPr>
        <w:t>230.</w:t>
      </w:r>
      <w:r>
        <w:rPr>
          <w:bCs/>
          <w:lang w:val="fr-FR"/>
        </w:rPr>
        <w:tab/>
        <w:t>L’État équatorien garantit, à l'article 43 de la Constitution, que "les programmes et actions en faveur de la santé publique sont gratuites pour tous.  Les services publics de soins médicaux sont gratuits pour les personnes qui en ont besoin.  Aucun motif, quel qu'il soit, ne peut être invoqué pour refuser les soins d'urgence dans les établissements publics ou privés".</w:t>
      </w:r>
    </w:p>
    <w:p w:rsidR="00000000" w:rsidRDefault="00000000">
      <w:pPr>
        <w:spacing w:after="240"/>
        <w:rPr>
          <w:bCs/>
          <w:lang w:val="fr-FR"/>
        </w:rPr>
      </w:pPr>
      <w:r>
        <w:rPr>
          <w:bCs/>
          <w:i/>
          <w:lang w:val="fr-FR"/>
        </w:rPr>
        <w:t>Système de protection de la maternité</w:t>
      </w:r>
    </w:p>
    <w:p w:rsidR="00000000" w:rsidRDefault="00000000">
      <w:pPr>
        <w:spacing w:after="240"/>
        <w:rPr>
          <w:bCs/>
          <w:lang w:val="fr-FR"/>
        </w:rPr>
      </w:pPr>
      <w:r>
        <w:rPr>
          <w:bCs/>
          <w:lang w:val="fr-FR"/>
        </w:rPr>
        <w:t>231.</w:t>
      </w:r>
      <w:r>
        <w:rPr>
          <w:bCs/>
          <w:lang w:val="fr-FR"/>
        </w:rPr>
        <w:tab/>
        <w:t>L’article premier de la Loi relative à la maternité gratuite et aux soins à l'enfance garantit à la femme équatorienne la gratuité des services de santé pendant la grossesse : "Toute femme équatorienne a droit à des soins de santé gratuit et de qualité pendant la grossesse, l'accouchement et la période postnatale, ainsi qu’à l'accès aux programmes d’hygiène sexuelle et de santé génésique.  De même, les soins de santé sont dispensés gratuitement aux nouveau-nés et enfants de moins de cinq ans, au titre de l'action de santé publique et sous la responsabilité de l’État".</w:t>
      </w:r>
    </w:p>
    <w:p w:rsidR="00000000" w:rsidRDefault="00000000">
      <w:pPr>
        <w:spacing w:after="240"/>
        <w:rPr>
          <w:bCs/>
          <w:lang w:val="fr-FR"/>
        </w:rPr>
      </w:pPr>
      <w:r>
        <w:rPr>
          <w:bCs/>
          <w:lang w:val="fr-FR"/>
        </w:rPr>
        <w:t>232.</w:t>
      </w:r>
      <w:r>
        <w:rPr>
          <w:bCs/>
          <w:lang w:val="fr-FR"/>
        </w:rPr>
        <w:tab/>
        <w:t>La législation relative au travail prévoit que la femme équatorienne a droit à un congé de maternité obligatoire de deux semaines avant l'accouchement et de dix semaines après l'accouchement, sur la base de l'article 153 du Code du travail.</w:t>
      </w:r>
    </w:p>
    <w:p w:rsidR="00000000" w:rsidRDefault="00000000">
      <w:pPr>
        <w:spacing w:after="240"/>
        <w:rPr>
          <w:bCs/>
          <w:lang w:val="fr-FR"/>
        </w:rPr>
      </w:pPr>
      <w:r>
        <w:rPr>
          <w:bCs/>
          <w:lang w:val="fr-FR"/>
        </w:rPr>
        <w:t>233.</w:t>
      </w:r>
      <w:r>
        <w:rPr>
          <w:bCs/>
          <w:lang w:val="fr-FR"/>
        </w:rPr>
        <w:tab/>
        <w:t>Les prestations de sécurité sociale sont à la charge de l’IESS qui offre aux affiliées une assurance maternité pendant la grossesse, l'accouchement et la période postnatale comportant les prestations obstétriques indiquées ci-après :</w:t>
      </w:r>
    </w:p>
    <w:p w:rsidR="00000000" w:rsidRDefault="00000000">
      <w:pPr>
        <w:numPr>
          <w:ilvl w:val="0"/>
          <w:numId w:val="50"/>
        </w:numPr>
        <w:spacing w:after="240"/>
        <w:rPr>
          <w:bCs/>
          <w:lang w:val="fr-FR"/>
        </w:rPr>
      </w:pPr>
      <w:r>
        <w:rPr>
          <w:bCs/>
          <w:lang w:val="fr-FR"/>
        </w:rPr>
        <w:t>Assistance obstétrique comprenant les soins pendant la période prénatale, l'accouchement et après l’accouchement;</w:t>
      </w:r>
    </w:p>
    <w:p w:rsidR="00000000" w:rsidRDefault="00000000">
      <w:pPr>
        <w:numPr>
          <w:ilvl w:val="0"/>
          <w:numId w:val="50"/>
        </w:numPr>
        <w:spacing w:after="240"/>
        <w:rPr>
          <w:bCs/>
          <w:lang w:val="fr-FR"/>
        </w:rPr>
      </w:pPr>
      <w:r>
        <w:rPr>
          <w:bCs/>
          <w:lang w:val="fr-FR"/>
        </w:rPr>
        <w:t>Allocation en espèces pendant douze semaines : deux semaines avant et dix semaines après l'accouchement;</w:t>
      </w:r>
    </w:p>
    <w:p w:rsidR="00000000" w:rsidRDefault="00000000">
      <w:pPr>
        <w:numPr>
          <w:ilvl w:val="0"/>
          <w:numId w:val="50"/>
        </w:numPr>
        <w:spacing w:after="240"/>
        <w:rPr>
          <w:bCs/>
          <w:lang w:val="fr-FR"/>
        </w:rPr>
      </w:pPr>
      <w:r>
        <w:rPr>
          <w:bCs/>
          <w:lang w:val="fr-FR"/>
        </w:rPr>
        <w:t>Soins pédiatriques complets à l'enfant de l'affiliée pendant la première année de vie, y compris les prescriptions pharmaceutiques et l'hospitalisation.</w:t>
      </w:r>
    </w:p>
    <w:p w:rsidR="00000000" w:rsidRDefault="00000000">
      <w:pPr>
        <w:spacing w:after="240"/>
        <w:rPr>
          <w:bCs/>
          <w:lang w:val="fr-FR"/>
        </w:rPr>
      </w:pPr>
      <w:r>
        <w:rPr>
          <w:bCs/>
          <w:lang w:val="fr-FR"/>
        </w:rPr>
        <w:t>234.</w:t>
      </w:r>
      <w:r>
        <w:rPr>
          <w:bCs/>
          <w:lang w:val="fr-FR"/>
        </w:rPr>
        <w:tab/>
        <w:t>Les soins obstétriques sont fournis aux affiliées qui peuvent justifier de six cotisations mensuelles obligatoires au cours de l'année précédant l'accouchement, à l'exception des affiliées volontaires qui doivent avoir cotisé pendant un an auparavant pour avoir droit aux prestations de l'assurance maladie et maternité.</w:t>
      </w:r>
    </w:p>
    <w:p w:rsidR="00000000" w:rsidRDefault="00000000">
      <w:pPr>
        <w:spacing w:after="240"/>
        <w:rPr>
          <w:bCs/>
          <w:lang w:val="fr-FR"/>
        </w:rPr>
      </w:pPr>
      <w:r>
        <w:rPr>
          <w:bCs/>
          <w:lang w:val="fr-FR"/>
        </w:rPr>
        <w:t>235.</w:t>
      </w:r>
      <w:r>
        <w:rPr>
          <w:bCs/>
          <w:lang w:val="fr-FR"/>
        </w:rPr>
        <w:tab/>
        <w:t>L’IESS verse une allocation maternité en espèces qui correspond à une période de deux semaines avant et dix semaines après l'accouchement, le repos prénatal et postnatal étant soumis à la vérification des certificats délivrés par un médecin particulier ou par un médecin de l'Institut.  Cette allocation correspond à 75 % de la dernière rémunération de l'affiliée.</w:t>
      </w:r>
    </w:p>
    <w:p w:rsidR="00000000" w:rsidRDefault="00000000">
      <w:pPr>
        <w:spacing w:after="240"/>
        <w:rPr>
          <w:bCs/>
          <w:lang w:val="fr-FR"/>
        </w:rPr>
      </w:pPr>
      <w:r>
        <w:rPr>
          <w:bCs/>
          <w:lang w:val="fr-FR"/>
        </w:rPr>
        <w:t>236.</w:t>
      </w:r>
      <w:r>
        <w:rPr>
          <w:bCs/>
          <w:lang w:val="fr-FR"/>
        </w:rPr>
        <w:tab/>
        <w:t>Une des réussites dont se prévaut le pays a été l'élargissement de l'accès des femmes enceintes aux services médicaux.  C'est ainsi qu'en 1990, quatre accouchements sur dix (38 %) étaient assistés au sein d’un établissement de santé; en 1998, la proportion a doublé (77 %).  Il n'en demeure pas moins que les différences subsistent dans le type d'assistance que reçoivent à l'accouchement les femmes des campagnes et des villes.  En 1998, alors que pratiquement tous les accouchements (98 %) dans les zones urbaines ont bénéficié de l'assistance de personnel spécialisé ou qualifié, dans les zones rurales, huit sur dix accouchements (82 %) ont bénéficié d'une telle assistance</w:t>
      </w:r>
      <w:r>
        <w:rPr>
          <w:rStyle w:val="FootnoteReference"/>
          <w:b/>
          <w:bCs/>
          <w:lang w:val="fr-FR"/>
        </w:rPr>
        <w:footnoteReference w:id="26"/>
      </w:r>
      <w:r>
        <w:rPr>
          <w:bCs/>
          <w:lang w:val="fr-FR"/>
        </w:rPr>
        <w:t>.</w:t>
      </w:r>
    </w:p>
    <w:p w:rsidR="00000000" w:rsidRDefault="00000000">
      <w:pPr>
        <w:spacing w:after="240"/>
        <w:rPr>
          <w:bCs/>
          <w:lang w:val="fr-FR"/>
        </w:rPr>
      </w:pPr>
      <w:r>
        <w:rPr>
          <w:bCs/>
          <w:lang w:val="fr-FR"/>
        </w:rPr>
        <w:t>237.</w:t>
      </w:r>
      <w:r>
        <w:rPr>
          <w:bCs/>
          <w:lang w:val="fr-FR"/>
        </w:rPr>
        <w:tab/>
        <w:t>Il est toutefois préoccupant que les soins aux femmes enceintes ne se soient pas améliorés au cours de la dernière décennie.  Le suivi médical de la grossesse des femmes équatoriennes, déjà insuffisant, est resté inchangé entre 1995 et 1998, années durant lesquelles on comptait en moyenne cinq contrôles médicaux pendant la grossesse.  Dans les villes, la moyenne était de six contrôles de santé, alors qu'elle atteignait à peine quatre contrôles dans les campagnes.</w:t>
      </w:r>
    </w:p>
    <w:p w:rsidR="00000000" w:rsidRDefault="00000000">
      <w:pPr>
        <w:spacing w:after="240"/>
        <w:rPr>
          <w:bCs/>
          <w:lang w:val="fr-FR"/>
        </w:rPr>
      </w:pPr>
      <w:r>
        <w:rPr>
          <w:bCs/>
          <w:lang w:val="fr-FR"/>
        </w:rPr>
        <w:t>238.</w:t>
      </w:r>
      <w:r>
        <w:rPr>
          <w:bCs/>
          <w:lang w:val="fr-FR"/>
        </w:rPr>
        <w:tab/>
        <w:t>Le manque d'attention est particulièrement flagrant dans le cas des femmes autochtones qui n’ont en moyenne que deux contrôles avant l'accouchement.  En 1995, 42 % des femmes autochtones n'ont bénéficié d'aucun contrôle prénatal</w:t>
      </w:r>
      <w:r>
        <w:rPr>
          <w:rStyle w:val="FootnoteReference"/>
          <w:b/>
          <w:bCs/>
          <w:lang w:val="fr-FR"/>
        </w:rPr>
        <w:footnoteReference w:id="27"/>
      </w:r>
      <w:r>
        <w:rPr>
          <w:bCs/>
          <w:lang w:val="fr-FR"/>
        </w:rPr>
        <w:t>.</w:t>
      </w:r>
    </w:p>
    <w:p w:rsidR="00000000" w:rsidRDefault="00000000">
      <w:pPr>
        <w:spacing w:after="240"/>
        <w:rPr>
          <w:lang w:val="fr-FR"/>
        </w:rPr>
      </w:pPr>
      <w:r>
        <w:rPr>
          <w:lang w:val="fr-FR"/>
        </w:rPr>
        <w:t>239.</w:t>
      </w:r>
      <w:r>
        <w:rPr>
          <w:lang w:val="fr-FR"/>
        </w:rPr>
        <w:tab/>
        <w:t>Enfin, un autre objectif était d'améliorer l'accès à l'information, à l'éducation et aux services de planification de la famille en 1994.  La grande majorité des femmes équatoriennes (92 %) connaissait au moins une méthode contraceptive moderne.  Cette connaissance était cependant moins répandue parmi les femmes rurales (85 %).  De même, l'utilisation de contraceptifs a augmenté de façon soutenue dans les campagnes comme dans les villes.  En 1994, plus de la moitié des femmes vivant en couple recourait à des méthodes contraceptives (66 % dans les villes et 44 % dans les campagnes).  Et en 1998, quatre femmes en âge de procréer sur 10, avec ou sans conjoint, les utilisaient</w:t>
      </w:r>
      <w:r>
        <w:rPr>
          <w:rStyle w:val="FootnoteReference"/>
          <w:b/>
          <w:lang w:val="fr-FR"/>
        </w:rPr>
        <w:footnoteReference w:id="28"/>
      </w:r>
      <w:r>
        <w:rPr>
          <w:lang w:val="fr-FR"/>
        </w:rPr>
        <w:t>.</w:t>
      </w:r>
    </w:p>
    <w:p w:rsidR="00000000" w:rsidRDefault="00000000">
      <w:pPr>
        <w:spacing w:after="240"/>
        <w:rPr>
          <w:lang w:val="fr-FR"/>
        </w:rPr>
      </w:pPr>
      <w:r>
        <w:rPr>
          <w:b/>
          <w:lang w:val="fr-FR"/>
        </w:rPr>
        <w:t>Protection du mineur</w:t>
      </w:r>
    </w:p>
    <w:p w:rsidR="00000000" w:rsidRDefault="00000000">
      <w:pPr>
        <w:spacing w:after="240"/>
        <w:rPr>
          <w:lang w:val="fr-FR"/>
        </w:rPr>
      </w:pPr>
      <w:r>
        <w:rPr>
          <w:lang w:val="fr-FR"/>
        </w:rPr>
        <w:t>240.</w:t>
      </w:r>
      <w:r>
        <w:rPr>
          <w:lang w:val="fr-FR"/>
        </w:rPr>
        <w:tab/>
        <w:t>L’État équatorien protège le mineur, sur la base du Code du travail et du Code des mineurs, contre toute exploitation économique.  Il définit le cadre de protection des mineurs qui travaillent en relation de dépendance, notamment en réglementant les travaux qu'ils peuvent effectuer ou qui ne sont pas dangereux pour leur vie ou leur développement physique, mental, spirituel et moral, et les travaux qui ne les gênent pas dans leur éducation.</w:t>
      </w:r>
    </w:p>
    <w:p w:rsidR="00000000" w:rsidRDefault="00000000">
      <w:pPr>
        <w:spacing w:after="240"/>
        <w:rPr>
          <w:lang w:val="fr-FR"/>
        </w:rPr>
      </w:pPr>
      <w:r>
        <w:rPr>
          <w:lang w:val="fr-FR"/>
        </w:rPr>
        <w:t>241.</w:t>
      </w:r>
      <w:r>
        <w:rPr>
          <w:lang w:val="fr-FR"/>
        </w:rPr>
        <w:tab/>
        <w:t>Le travail des mineurs est interdit dans les mines, les décharges, les activités qui impliquent la manipulation d'objets ou de substances psychotropes ou toxiques, de même que le travail de nuit des mineurs.</w:t>
      </w:r>
    </w:p>
    <w:p w:rsidR="00000000" w:rsidRDefault="00000000">
      <w:pPr>
        <w:spacing w:after="240"/>
        <w:rPr>
          <w:lang w:val="fr-FR"/>
        </w:rPr>
      </w:pPr>
      <w:r>
        <w:rPr>
          <w:lang w:val="fr-FR"/>
        </w:rPr>
        <w:t>242.</w:t>
      </w:r>
      <w:r>
        <w:rPr>
          <w:lang w:val="fr-FR"/>
        </w:rPr>
        <w:tab/>
        <w:t>L'article 34 du Code du travail interdit le recrutement de mineurs de moins de 14 ans : "les personnes de 14 ans et plus et de moins de 18 ans ne peuvent être engagés sans l'autorisation expresse de leurs représentants légal ou, en leur absence, de leurs ascendants ou des personnes qui en ont la charge ou s’occupent de leur entretien.  À défaut, il appartient au tribunal des mineurs d'accorder l'autorisation".</w:t>
      </w:r>
    </w:p>
    <w:p w:rsidR="00000000" w:rsidRDefault="00000000">
      <w:pPr>
        <w:spacing w:after="240"/>
        <w:rPr>
          <w:lang w:val="fr-FR"/>
        </w:rPr>
      </w:pPr>
      <w:r>
        <w:rPr>
          <w:lang w:val="fr-FR"/>
        </w:rPr>
        <w:t>243.</w:t>
      </w:r>
      <w:r>
        <w:rPr>
          <w:lang w:val="fr-FR"/>
        </w:rPr>
        <w:tab/>
        <w:t>L'article 157 du Code des mineurs prévoit que "le tribunal des mineurs n’autorise le travail de mineur en relation de dépendance que pour les activités qui sont compatibles avec sa situation, qui ne l'empêchent pas de poursuivre son éducation et qui ne sont pas nocives pour sa santé.  Le tribunal accorde l'autorisation sur la base du rapport de l'équipe de travail social ou de l'autorité correspondante en matière de travail".</w:t>
      </w:r>
    </w:p>
    <w:p w:rsidR="00000000" w:rsidRDefault="00000000">
      <w:pPr>
        <w:spacing w:after="240"/>
        <w:rPr>
          <w:lang w:val="fr-FR"/>
        </w:rPr>
      </w:pPr>
      <w:r>
        <w:rPr>
          <w:lang w:val="fr-FR"/>
        </w:rPr>
        <w:t>244.</w:t>
      </w:r>
      <w:r>
        <w:rPr>
          <w:lang w:val="fr-FR"/>
        </w:rPr>
        <w:tab/>
        <w:t>L'article 158 du Code des mineurs prévoit que le tribunal des mineurs établit un registre de ces autorisations et, sous peine de destitution, remet à la Direction de l'emploi et des ressources humaines et à la Direction de la protection des mineurs une copie de l'acte correspondant.  Cet acte comprend les données suivantes : âge, type de travail, lieu de travail, établissement éducatif (éventuellement), durée de la journée de travail et rémunération.</w:t>
      </w:r>
    </w:p>
    <w:p w:rsidR="00000000" w:rsidRDefault="00000000">
      <w:pPr>
        <w:spacing w:after="240"/>
        <w:rPr>
          <w:lang w:val="fr-FR"/>
        </w:rPr>
      </w:pPr>
      <w:r>
        <w:rPr>
          <w:lang w:val="fr-FR"/>
        </w:rPr>
        <w:t>245.</w:t>
      </w:r>
      <w:r>
        <w:rPr>
          <w:lang w:val="fr-FR"/>
        </w:rPr>
        <w:tab/>
        <w:t>Le Gouvernement, par l'intermédiaire du Ministère de la protection sociale et en collaboration avec d'autres institutions de caractère public et privé et des ONG, met en oeuvre des programmes destinés à protéger les mineurs de l'exploitation économique et accorde des subventions en vue de garantir aux catégories de la population les plus vulnérables l'accès aux services les plus divers (services de cantine, administration, fournitures et matériel, ateliers professionnels, matières premières, ludothèque, équipements, santé, hospitalisation, journée de l'enfant, fête de Noël, bourses, etc.).</w:t>
      </w:r>
    </w:p>
    <w:p w:rsidR="00000000" w:rsidRDefault="00000000">
      <w:pPr>
        <w:keepNext/>
        <w:spacing w:after="240"/>
        <w:rPr>
          <w:lang w:val="fr-FR"/>
        </w:rPr>
      </w:pPr>
      <w:r>
        <w:rPr>
          <w:lang w:val="fr-FR"/>
        </w:rPr>
        <w:t>246.</w:t>
      </w:r>
      <w:r>
        <w:rPr>
          <w:lang w:val="fr-FR"/>
        </w:rPr>
        <w:tab/>
        <w:t>Les mesures de protection relèvent de diverses modalités :</w:t>
      </w:r>
    </w:p>
    <w:p w:rsidR="00000000" w:rsidRDefault="00000000">
      <w:pPr>
        <w:keepNext/>
        <w:numPr>
          <w:ilvl w:val="0"/>
          <w:numId w:val="51"/>
        </w:numPr>
        <w:spacing w:after="240"/>
        <w:rPr>
          <w:lang w:val="fr-FR"/>
        </w:rPr>
      </w:pPr>
      <w:r>
        <w:rPr>
          <w:lang w:val="fr-FR"/>
        </w:rPr>
        <w:t>L'internat : il s'agit d'une formule transitoire ou d’exception appliquée pendant la recherche d'un placement, sur la base du postulat que tout enfant a le droit de grandir au sein d'une famille, sous la protection de ses parents ou, en l'absence de ces derniers, de personnes qui sont en mesure de lui offrir affection et protection.  La famille de l'enfant à la priorité; aussi l'institution fait-elle tout pour appuyer la famille afin de prévenir les crises pouvant conduire à l'abandon ou de rétablir, renforcer et sauvegarder les liens avec les enfants.</w:t>
      </w:r>
    </w:p>
    <w:p w:rsidR="00000000" w:rsidRDefault="00000000">
      <w:pPr>
        <w:numPr>
          <w:ilvl w:val="0"/>
          <w:numId w:val="51"/>
        </w:numPr>
        <w:spacing w:after="240"/>
        <w:rPr>
          <w:lang w:val="fr-FR"/>
        </w:rPr>
      </w:pPr>
      <w:r>
        <w:rPr>
          <w:lang w:val="fr-FR"/>
        </w:rPr>
        <w:t>Le semi-internat : suivant cette formule, les enfants et adolescents restent du lundi au vendredi dans l'institution, où ils bénéficient de services techniques (travail social, aide psychologique et médicale) et de diverses formes d'assistance (alimentation, santé, hébergement, éducation, etc.), et se retrouvent du vendredi au dimanche dans leurs familles.</w:t>
      </w:r>
    </w:p>
    <w:p w:rsidR="00000000" w:rsidRDefault="00000000">
      <w:pPr>
        <w:numPr>
          <w:ilvl w:val="0"/>
          <w:numId w:val="51"/>
        </w:numPr>
        <w:spacing w:after="240"/>
        <w:rPr>
          <w:lang w:val="fr-FR"/>
        </w:rPr>
      </w:pPr>
      <w:r>
        <w:rPr>
          <w:lang w:val="fr-FR"/>
        </w:rPr>
        <w:t>Restauration avec appui scolaire : il s'agit de s'occuper d’enfants et d’adolescents qui sont assujettis à un horaire déterminé du lundi au vendredi, en leur fournissant des services en matière d'alimentation, d'appui pédagogique et de soins médicaux et psychologiques.  Dans les réfectoires, une assistance nutritionnelle est fournie aux enfants et adolescents qui se trouvent dans une situation à risque en vue de leur assurer un développement psychologique et physique adéquat.</w:t>
      </w:r>
    </w:p>
    <w:p w:rsidR="00000000" w:rsidRDefault="00000000">
      <w:pPr>
        <w:numPr>
          <w:ilvl w:val="0"/>
          <w:numId w:val="51"/>
        </w:numPr>
        <w:spacing w:after="240"/>
        <w:rPr>
          <w:lang w:val="fr-FR"/>
        </w:rPr>
      </w:pPr>
      <w:r>
        <w:rPr>
          <w:lang w:val="fr-FR"/>
        </w:rPr>
        <w:t>Les soins journaliers : ce service, offert aux enfants âgés de quatre mois à cinq ans qui fréquentent un centre infantile pendant la journée, est destinée à faciliter l'épanouissement de ces enfants (stimulation précoce, santé et nutrition).</w:t>
      </w:r>
    </w:p>
    <w:p w:rsidR="00000000" w:rsidRDefault="00000000">
      <w:pPr>
        <w:spacing w:after="240"/>
        <w:rPr>
          <w:lang w:val="fr-FR"/>
        </w:rPr>
      </w:pPr>
      <w:r>
        <w:rPr>
          <w:i/>
          <w:lang w:val="fr-FR"/>
        </w:rPr>
        <w:t>Le travailleur mineur</w:t>
      </w:r>
    </w:p>
    <w:p w:rsidR="00000000" w:rsidRDefault="00000000">
      <w:pPr>
        <w:rPr>
          <w:lang w:val="fr-FR"/>
        </w:rPr>
      </w:pPr>
      <w:r>
        <w:rPr>
          <w:lang w:val="fr-FR"/>
        </w:rPr>
        <w:t>247.</w:t>
      </w:r>
      <w:r>
        <w:rPr>
          <w:lang w:val="fr-FR"/>
        </w:rPr>
        <w:tab/>
        <w:t>On dispose d'un indicateur pour identifier les enfants qui n'ont pas accès à éducation ou qui ont des difficultés dans ce domaine parce qu'ils sont dans l'obligation de travailler.  Cet indicateur permet, par exemple, d'informer sur le nombre d'enfants qui travaillent avant l'âge légal, en déterminant si ce travail les empêche ou non d'étudier, ainsi que sur le nombre d'enfants qui ne sont pas scolarisés</w:t>
      </w:r>
      <w:r>
        <w:rPr>
          <w:rStyle w:val="FootnoteReference"/>
          <w:b/>
          <w:lang w:val="fr-FR"/>
        </w:rPr>
        <w:footnoteReference w:id="29"/>
      </w:r>
      <w:r>
        <w:rPr>
          <w:lang w:val="fr-FR"/>
        </w:rPr>
        <w:t>.</w:t>
      </w:r>
    </w:p>
    <w:p w:rsidR="00000000" w:rsidRDefault="00000000">
      <w:pPr>
        <w:spacing w:after="360"/>
        <w:rPr>
          <w:lang w:val="fr-FR"/>
        </w:rPr>
      </w:pPr>
    </w:p>
    <w:tbl>
      <w:tblPr>
        <w:tblW w:w="8505"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127"/>
        <w:gridCol w:w="2184"/>
        <w:gridCol w:w="2194"/>
      </w:tblGrid>
      <w:tr w:rsidR="00000000">
        <w:tblPrEx>
          <w:tblCellMar>
            <w:top w:w="0" w:type="dxa"/>
            <w:bottom w:w="0" w:type="dxa"/>
          </w:tblCellMar>
        </w:tblPrEx>
        <w:trPr>
          <w:jc w:val="center"/>
        </w:trPr>
        <w:tc>
          <w:tcPr>
            <w:tcW w:w="385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Catégorie</w:t>
            </w:r>
          </w:p>
        </w:tc>
        <w:tc>
          <w:tcPr>
            <w:tcW w:w="2038"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Enfants de 8 à 17 ans</w:t>
            </w:r>
          </w:p>
        </w:tc>
        <w:tc>
          <w:tcPr>
            <w:tcW w:w="2047"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Pourcentage</w:t>
            </w:r>
          </w:p>
        </w:tc>
      </w:tr>
      <w:tr w:rsidR="00000000">
        <w:tblPrEx>
          <w:tblCellMar>
            <w:top w:w="0" w:type="dxa"/>
            <w:bottom w:w="0" w:type="dxa"/>
          </w:tblCellMar>
        </w:tblPrEx>
        <w:trPr>
          <w:jc w:val="center"/>
        </w:trPr>
        <w:tc>
          <w:tcPr>
            <w:tcW w:w="3850" w:type="dxa"/>
            <w:tcBorders>
              <w:top w:val="single" w:sz="4" w:space="0" w:color="auto"/>
            </w:tcBorders>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Enfants qui travaillent et n'étudient pas </w:t>
            </w:r>
          </w:p>
        </w:tc>
        <w:tc>
          <w:tcPr>
            <w:tcW w:w="2038" w:type="dxa"/>
            <w:tcBorders>
              <w:top w:val="single" w:sz="4" w:space="0" w:color="auto"/>
            </w:tcBorders>
          </w:tcPr>
          <w:p w:rsidR="00000000" w:rsidRDefault="00000000">
            <w:pPr>
              <w:autoSpaceDE w:val="0"/>
              <w:autoSpaceDN w:val="0"/>
              <w:adjustRightInd w:val="0"/>
              <w:spacing w:before="60" w:after="60"/>
              <w:ind w:right="755"/>
              <w:jc w:val="right"/>
              <w:rPr>
                <w:color w:val="000000"/>
                <w:sz w:val="20"/>
                <w:szCs w:val="22"/>
                <w:lang w:val="fr-FR"/>
              </w:rPr>
            </w:pPr>
            <w:r>
              <w:rPr>
                <w:color w:val="000000"/>
                <w:sz w:val="20"/>
                <w:szCs w:val="22"/>
                <w:lang w:val="fr-FR"/>
              </w:rPr>
              <w:t xml:space="preserve">281 296 </w:t>
            </w:r>
          </w:p>
        </w:tc>
        <w:tc>
          <w:tcPr>
            <w:tcW w:w="2047" w:type="dxa"/>
            <w:tcBorders>
              <w:top w:val="single" w:sz="4" w:space="0" w:color="auto"/>
            </w:tcBorders>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11,80</w:t>
            </w:r>
          </w:p>
        </w:tc>
      </w:tr>
      <w:tr w:rsidR="00000000">
        <w:tblPrEx>
          <w:tblCellMar>
            <w:top w:w="0" w:type="dxa"/>
            <w:bottom w:w="0" w:type="dxa"/>
          </w:tblCellMar>
        </w:tblPrEx>
        <w:trPr>
          <w:jc w:val="center"/>
        </w:trPr>
        <w:tc>
          <w:tcPr>
            <w:tcW w:w="3850"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Enfants qui ne travaillent pas et n’étudient pas</w:t>
            </w:r>
          </w:p>
        </w:tc>
        <w:tc>
          <w:tcPr>
            <w:tcW w:w="2038" w:type="dxa"/>
          </w:tcPr>
          <w:p w:rsidR="00000000" w:rsidRDefault="00000000">
            <w:pPr>
              <w:autoSpaceDE w:val="0"/>
              <w:autoSpaceDN w:val="0"/>
              <w:adjustRightInd w:val="0"/>
              <w:spacing w:before="60" w:after="60"/>
              <w:ind w:right="755"/>
              <w:jc w:val="right"/>
              <w:rPr>
                <w:color w:val="000000"/>
                <w:sz w:val="20"/>
                <w:szCs w:val="22"/>
                <w:lang w:val="fr-FR"/>
              </w:rPr>
            </w:pPr>
            <w:r>
              <w:rPr>
                <w:color w:val="000000"/>
                <w:sz w:val="20"/>
                <w:szCs w:val="22"/>
                <w:lang w:val="fr-FR"/>
              </w:rPr>
              <w:t xml:space="preserve">224 991 </w:t>
            </w:r>
          </w:p>
        </w:tc>
        <w:tc>
          <w:tcPr>
            <w:tcW w:w="2047" w:type="dxa"/>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9,50</w:t>
            </w:r>
          </w:p>
        </w:tc>
      </w:tr>
      <w:tr w:rsidR="00000000">
        <w:tblPrEx>
          <w:tblCellMar>
            <w:top w:w="0" w:type="dxa"/>
            <w:bottom w:w="0" w:type="dxa"/>
          </w:tblCellMar>
        </w:tblPrEx>
        <w:trPr>
          <w:jc w:val="center"/>
        </w:trPr>
        <w:tc>
          <w:tcPr>
            <w:tcW w:w="3850"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Enfants qui ne travaillent pas et qui étudient </w:t>
            </w:r>
          </w:p>
        </w:tc>
        <w:tc>
          <w:tcPr>
            <w:tcW w:w="2038" w:type="dxa"/>
          </w:tcPr>
          <w:p w:rsidR="00000000" w:rsidRDefault="00000000">
            <w:pPr>
              <w:autoSpaceDE w:val="0"/>
              <w:autoSpaceDN w:val="0"/>
              <w:adjustRightInd w:val="0"/>
              <w:spacing w:before="60" w:after="60"/>
              <w:ind w:right="755"/>
              <w:jc w:val="right"/>
              <w:rPr>
                <w:color w:val="000000"/>
                <w:sz w:val="20"/>
                <w:szCs w:val="22"/>
                <w:lang w:val="fr-FR"/>
              </w:rPr>
            </w:pPr>
            <w:r>
              <w:rPr>
                <w:color w:val="000000"/>
                <w:sz w:val="20"/>
                <w:szCs w:val="22"/>
                <w:lang w:val="fr-FR"/>
              </w:rPr>
              <w:t xml:space="preserve">1 742 496 </w:t>
            </w:r>
          </w:p>
        </w:tc>
        <w:tc>
          <w:tcPr>
            <w:tcW w:w="2047" w:type="dxa"/>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73,40</w:t>
            </w:r>
          </w:p>
        </w:tc>
      </w:tr>
      <w:tr w:rsidR="00000000">
        <w:tblPrEx>
          <w:tblCellMar>
            <w:top w:w="0" w:type="dxa"/>
            <w:bottom w:w="0" w:type="dxa"/>
          </w:tblCellMar>
        </w:tblPrEx>
        <w:trPr>
          <w:jc w:val="center"/>
        </w:trPr>
        <w:tc>
          <w:tcPr>
            <w:tcW w:w="3850"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Enfants qui travaillent et étudient </w:t>
            </w:r>
          </w:p>
        </w:tc>
        <w:tc>
          <w:tcPr>
            <w:tcW w:w="2038" w:type="dxa"/>
          </w:tcPr>
          <w:p w:rsidR="00000000" w:rsidRDefault="00000000">
            <w:pPr>
              <w:autoSpaceDE w:val="0"/>
              <w:autoSpaceDN w:val="0"/>
              <w:adjustRightInd w:val="0"/>
              <w:spacing w:before="60" w:after="60"/>
              <w:ind w:right="755"/>
              <w:jc w:val="right"/>
              <w:rPr>
                <w:color w:val="000000"/>
                <w:sz w:val="20"/>
                <w:szCs w:val="22"/>
                <w:lang w:val="fr-FR"/>
              </w:rPr>
            </w:pPr>
            <w:r>
              <w:rPr>
                <w:color w:val="000000"/>
                <w:sz w:val="20"/>
                <w:szCs w:val="22"/>
                <w:lang w:val="fr-FR"/>
              </w:rPr>
              <w:t xml:space="preserve">125 394 </w:t>
            </w:r>
          </w:p>
        </w:tc>
        <w:tc>
          <w:tcPr>
            <w:tcW w:w="2047" w:type="dxa"/>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5,30</w:t>
            </w:r>
          </w:p>
        </w:tc>
      </w:tr>
      <w:tr w:rsidR="00000000">
        <w:tblPrEx>
          <w:tblCellMar>
            <w:top w:w="0" w:type="dxa"/>
            <w:bottom w:w="0" w:type="dxa"/>
          </w:tblCellMar>
        </w:tblPrEx>
        <w:trPr>
          <w:jc w:val="center"/>
        </w:trPr>
        <w:tc>
          <w:tcPr>
            <w:tcW w:w="3850" w:type="dxa"/>
          </w:tcPr>
          <w:p w:rsidR="00000000" w:rsidRDefault="00000000">
            <w:pPr>
              <w:tabs>
                <w:tab w:val="left" w:pos="196"/>
              </w:tabs>
              <w:autoSpaceDE w:val="0"/>
              <w:autoSpaceDN w:val="0"/>
              <w:adjustRightInd w:val="0"/>
              <w:spacing w:before="60" w:after="60"/>
              <w:rPr>
                <w:color w:val="000000"/>
                <w:sz w:val="20"/>
                <w:szCs w:val="22"/>
                <w:lang w:val="fr-FR"/>
              </w:rPr>
            </w:pPr>
            <w:r>
              <w:rPr>
                <w:color w:val="000000"/>
                <w:sz w:val="20"/>
                <w:szCs w:val="22"/>
                <w:lang w:val="fr-FR"/>
              </w:rPr>
              <w:tab/>
              <w:t xml:space="preserve">Total </w:t>
            </w:r>
          </w:p>
        </w:tc>
        <w:tc>
          <w:tcPr>
            <w:tcW w:w="2038" w:type="dxa"/>
          </w:tcPr>
          <w:p w:rsidR="00000000" w:rsidRDefault="00000000">
            <w:pPr>
              <w:autoSpaceDE w:val="0"/>
              <w:autoSpaceDN w:val="0"/>
              <w:adjustRightInd w:val="0"/>
              <w:spacing w:before="60" w:after="60"/>
              <w:ind w:right="755"/>
              <w:jc w:val="right"/>
              <w:rPr>
                <w:color w:val="000000"/>
                <w:sz w:val="20"/>
                <w:szCs w:val="22"/>
                <w:lang w:val="fr-FR"/>
              </w:rPr>
            </w:pPr>
            <w:r>
              <w:rPr>
                <w:color w:val="000000"/>
                <w:sz w:val="20"/>
                <w:szCs w:val="22"/>
                <w:lang w:val="fr-FR"/>
              </w:rPr>
              <w:t xml:space="preserve">2 374 177 </w:t>
            </w:r>
          </w:p>
        </w:tc>
        <w:tc>
          <w:tcPr>
            <w:tcW w:w="2047" w:type="dxa"/>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100</w:t>
            </w:r>
          </w:p>
        </w:tc>
      </w:tr>
    </w:tbl>
    <w:p w:rsidR="00000000" w:rsidRDefault="00000000">
      <w:pPr>
        <w:spacing w:before="80" w:after="360"/>
        <w:ind w:left="567"/>
        <w:rPr>
          <w:color w:val="000000"/>
          <w:sz w:val="20"/>
          <w:szCs w:val="22"/>
          <w:lang w:val="fr-FR"/>
        </w:rPr>
      </w:pPr>
      <w:r>
        <w:rPr>
          <w:i/>
          <w:iCs/>
          <w:color w:val="000000"/>
          <w:sz w:val="20"/>
          <w:szCs w:val="22"/>
          <w:lang w:val="fr-FR"/>
        </w:rPr>
        <w:t>Source :</w:t>
      </w:r>
      <w:r>
        <w:rPr>
          <w:color w:val="000000"/>
          <w:sz w:val="20"/>
          <w:szCs w:val="22"/>
          <w:lang w:val="fr-FR"/>
        </w:rPr>
        <w:t xml:space="preserve"> SIICE, Recensements nationaux, 1990 (DPA 98).</w:t>
      </w:r>
    </w:p>
    <w:p w:rsidR="00000000" w:rsidRDefault="00000000">
      <w:pPr>
        <w:spacing w:after="240"/>
        <w:rPr>
          <w:color w:val="000000"/>
          <w:lang w:val="fr-FR"/>
        </w:rPr>
      </w:pPr>
      <w:r>
        <w:rPr>
          <w:color w:val="000000"/>
          <w:lang w:val="fr-FR"/>
        </w:rPr>
        <w:t>248.</w:t>
      </w:r>
      <w:r>
        <w:rPr>
          <w:color w:val="000000"/>
          <w:lang w:val="fr-FR"/>
        </w:rPr>
        <w:tab/>
        <w:t>Sous l'effet de la crise économique, le recours à la main-d’œuvre mineure n'a cessé de s'accroître.  La faiblesse des revenus dont disposent les foyers pour satisfaire leurs besoins essentiels s'est traduite par une dégradation de la qualité de vie, et, dans beaucoup de cas, les mineurs se trouvent dans l'obligation d'abandonner leurs études afin de contribuer au revenu familial.  Le problème du travail des mineurs est qu'il restreint les possibilités d'éducation de ces derniers et compromet leurs résultats scolaires.  Cela a pour effet d’aggraver par la suite les difficultés d'insertion sur le marché du travail des adultes, perpétuant ainsi les conditions de la pauvreté.</w:t>
      </w:r>
    </w:p>
    <w:p w:rsidR="00000000" w:rsidRDefault="00000000">
      <w:pPr>
        <w:spacing w:after="240"/>
        <w:rPr>
          <w:color w:val="000000"/>
          <w:lang w:val="fr-FR"/>
        </w:rPr>
      </w:pPr>
      <w:r>
        <w:rPr>
          <w:color w:val="000000"/>
          <w:lang w:val="fr-FR"/>
        </w:rPr>
        <w:t>249.</w:t>
      </w:r>
      <w:r>
        <w:rPr>
          <w:color w:val="000000"/>
          <w:lang w:val="fr-FR"/>
        </w:rPr>
        <w:tab/>
        <w:t>Il n'est pas possible de nier l’existence de ce problème, mais il est vrai que les enfants appartenant à des familles à faible revenu et qui travaillent apportent une contribution au revenu familial en tant que main-d’œuvre productive.</w:t>
      </w:r>
    </w:p>
    <w:p w:rsidR="00000000" w:rsidRDefault="00000000">
      <w:pPr>
        <w:pStyle w:val="BodyText3"/>
        <w:spacing w:after="240"/>
        <w:rPr>
          <w:sz w:val="24"/>
          <w:lang w:val="fr-FR"/>
        </w:rPr>
      </w:pPr>
      <w:r>
        <w:rPr>
          <w:sz w:val="24"/>
          <w:lang w:val="fr-FR"/>
        </w:rPr>
        <w:t>250.</w:t>
      </w:r>
      <w:r>
        <w:rPr>
          <w:sz w:val="24"/>
          <w:lang w:val="fr-FR"/>
        </w:rPr>
        <w:tab/>
        <w:t>Dans les zones rurales, on peut constater la contribution de l'enfance dans le domaine de l'emploi; on ne dispose cependant pas d'études spécifiques sur la question qui permettraient de chiffrer le nombre d'enfants qui travaillent ainsi.</w:t>
      </w:r>
    </w:p>
    <w:p w:rsidR="00000000" w:rsidRDefault="00000000">
      <w:pPr>
        <w:spacing w:after="240"/>
        <w:rPr>
          <w:color w:val="000000"/>
          <w:lang w:val="fr-FR"/>
        </w:rPr>
      </w:pPr>
      <w:r>
        <w:rPr>
          <w:color w:val="000000"/>
          <w:lang w:val="fr-FR"/>
        </w:rPr>
        <w:t>251.</w:t>
      </w:r>
      <w:r>
        <w:rPr>
          <w:color w:val="000000"/>
          <w:lang w:val="fr-FR"/>
        </w:rPr>
        <w:tab/>
        <w:t>Outre les modalités traditionnelles, mentionné précédemment, des solutions de rechange à l'encadrement institutionnel des enfants et adolescents en situation de risque et d'abandon total ou partiel ont été mis en place.</w:t>
      </w:r>
    </w:p>
    <w:p w:rsidR="00000000" w:rsidRDefault="00000000">
      <w:pPr>
        <w:spacing w:after="240"/>
        <w:rPr>
          <w:color w:val="000000"/>
          <w:lang w:val="fr-FR"/>
        </w:rPr>
      </w:pPr>
      <w:r>
        <w:rPr>
          <w:color w:val="000000"/>
          <w:lang w:val="fr-FR"/>
        </w:rPr>
        <w:t>252.</w:t>
      </w:r>
      <w:r>
        <w:rPr>
          <w:color w:val="000000"/>
          <w:lang w:val="fr-FR"/>
        </w:rPr>
        <w:tab/>
        <w:t>La maison-famille est une formule qui peut remplacer l'encadrement institutionnel des enfants et adolescents qui se trouvent en situation de risque et d'abandon total ou partiel en raison d'une crise familiale grave et durable; c’est une formule à caractère temporaire appliquée à des fins professionnelles et thérapeutiques pendant que l'on étudie la situation familiale et juridique de chaque cas en vue de la réinsertion dans la famille biologique ou, à défaut, dans une famille qui remplit les conditions d'un véritable foyer.  La maison-famille est une maison de type familial ordinaire, insérée dans un quartier avec des relations de voisinage, et regroupant une cellule composée d’un maximum de cinq membres entretenant entre eux des relations personnelles dans un contexte familial.</w:t>
      </w:r>
    </w:p>
    <w:p w:rsidR="00000000" w:rsidRDefault="00000000">
      <w:pPr>
        <w:spacing w:after="240"/>
        <w:rPr>
          <w:color w:val="000000"/>
          <w:lang w:val="fr-FR"/>
        </w:rPr>
      </w:pPr>
      <w:r>
        <w:rPr>
          <w:color w:val="000000"/>
          <w:lang w:val="fr-FR"/>
        </w:rPr>
        <w:t>253.</w:t>
      </w:r>
      <w:r>
        <w:rPr>
          <w:color w:val="000000"/>
          <w:lang w:val="fr-FR"/>
        </w:rPr>
        <w:tab/>
        <w:t>Les familles d'accueil sont des familles qui, sous les auspices d'un programme particulier, reçoivent des enfants et adolescents auxquels ils offrent un appui dans le processus de réinsertion familiale.  Il s'agit de familles traditionnelles faisant office de familles fonctionnelles.</w:t>
      </w:r>
    </w:p>
    <w:p w:rsidR="00000000" w:rsidRDefault="00000000">
      <w:pPr>
        <w:spacing w:after="240"/>
        <w:rPr>
          <w:color w:val="000000"/>
          <w:lang w:val="fr-FR"/>
        </w:rPr>
      </w:pPr>
      <w:r>
        <w:rPr>
          <w:color w:val="000000"/>
          <w:lang w:val="fr-FR"/>
        </w:rPr>
        <w:t>254.</w:t>
      </w:r>
      <w:r>
        <w:rPr>
          <w:color w:val="000000"/>
          <w:lang w:val="fr-FR"/>
        </w:rPr>
        <w:tab/>
        <w:t>En ce qui concerne la situation des enfants orphelins et abandonnés, des programmes alternatifs de réinsertion familiale (accueil familial, maison-famille et adoption) sont mis en oeuvre.</w:t>
      </w:r>
    </w:p>
    <w:p w:rsidR="00000000" w:rsidRDefault="00000000">
      <w:pPr>
        <w:spacing w:after="240"/>
        <w:rPr>
          <w:color w:val="000000"/>
          <w:lang w:val="fr-FR"/>
        </w:rPr>
      </w:pPr>
      <w:r>
        <w:rPr>
          <w:color w:val="000000"/>
          <w:lang w:val="fr-FR"/>
        </w:rPr>
        <w:t>255.</w:t>
      </w:r>
      <w:r>
        <w:rPr>
          <w:color w:val="000000"/>
          <w:lang w:val="fr-FR"/>
        </w:rPr>
        <w:tab/>
        <w:t>La réinsertion familiale est un processus par l'intermédiaire duquel on s'efforce de restaurer les relations familiales qui ont été compromises en créant un environnement favorable au retour de l'enfant dans le foyer.  Ce processus est suivi par des professionnels qui facilitent et encouragent un rapprochement de l'enfant avec ses parents ou ceux qui en tiennent lieu.  La réinsertion familiale doit être tentée chaque fois que cela est possible et quand la famille offre des garanties pour le bien-être des enfants.  Il importe, aux fins de la réinsertion familiale, de tenir compte de l'analyse de la cellule familiale et de ses problèmes, au risque, dans le cas contraire, d’une récidive d’abandon.</w:t>
      </w:r>
    </w:p>
    <w:p w:rsidR="00000000" w:rsidRDefault="00000000">
      <w:pPr>
        <w:spacing w:after="240"/>
        <w:rPr>
          <w:color w:val="000000"/>
          <w:lang w:val="fr-FR"/>
        </w:rPr>
      </w:pPr>
      <w:r>
        <w:rPr>
          <w:color w:val="000000"/>
          <w:lang w:val="fr-FR"/>
        </w:rPr>
        <w:t>256.</w:t>
      </w:r>
      <w:r>
        <w:rPr>
          <w:color w:val="000000"/>
          <w:lang w:val="fr-FR"/>
        </w:rPr>
        <w:tab/>
        <w:t>La liberté assistée est une solution de rechange à la réhabilitation des adolescents; elle vise à intégrer la famille au processus, en apportant à l’institution une assistance régulière, afin de fournir à ces adolescents un traitement intégral dans les domaines éducatif, social, psychologique et juridique.</w:t>
      </w:r>
    </w:p>
    <w:p w:rsidR="00000000" w:rsidRDefault="00000000">
      <w:pPr>
        <w:spacing w:after="240"/>
        <w:rPr>
          <w:color w:val="000000"/>
          <w:lang w:val="fr-FR"/>
        </w:rPr>
      </w:pPr>
      <w:r>
        <w:rPr>
          <w:color w:val="000000"/>
          <w:lang w:val="fr-FR"/>
        </w:rPr>
        <w:t>257.</w:t>
      </w:r>
      <w:r>
        <w:rPr>
          <w:color w:val="000000"/>
          <w:lang w:val="fr-FR"/>
        </w:rPr>
        <w:tab/>
        <w:t>L'adoption est une institution juridique qui offre à l'enfant qui a été abandonné la possibilité de faire partie d'une famille stable et permanente, de jouir de son droit de vivre en famille et de s'assurer un développement harmonieux et intégral dans l'affection, la légalité et la compréhension.</w:t>
      </w:r>
    </w:p>
    <w:p w:rsidR="00000000" w:rsidRDefault="00000000">
      <w:pPr>
        <w:spacing w:after="240"/>
        <w:rPr>
          <w:color w:val="000000"/>
          <w:lang w:val="fr-FR"/>
        </w:rPr>
      </w:pPr>
      <w:r>
        <w:rPr>
          <w:color w:val="000000"/>
          <w:lang w:val="fr-FR"/>
        </w:rPr>
        <w:t>258.</w:t>
      </w:r>
      <w:r>
        <w:rPr>
          <w:color w:val="000000"/>
          <w:lang w:val="fr-FR"/>
        </w:rPr>
        <w:tab/>
        <w:t>L’enregistrement des programmes est réglementé par la Direction de la protection des mineurs : "Les programmes et projets que les organisations publiques et privées exécutent aux fins de la prévention, protection, réhabilitation, participation et défense des mineurs doivent être autorisés et enregistrés à la Direction de la protection des mineurs"</w:t>
      </w:r>
      <w:r>
        <w:rPr>
          <w:rStyle w:val="FootnoteReference"/>
          <w:b/>
          <w:color w:val="000000"/>
          <w:lang w:val="fr-FR"/>
        </w:rPr>
        <w:footnoteReference w:id="30"/>
      </w:r>
      <w:r>
        <w:rPr>
          <w:color w:val="000000"/>
          <w:lang w:val="fr-FR"/>
        </w:rPr>
        <w:t>.</w:t>
      </w:r>
    </w:p>
    <w:p w:rsidR="00000000" w:rsidRDefault="00000000">
      <w:pPr>
        <w:spacing w:after="240"/>
        <w:rPr>
          <w:color w:val="000000"/>
          <w:lang w:val="fr-FR"/>
        </w:rPr>
      </w:pPr>
      <w:r>
        <w:rPr>
          <w:color w:val="000000"/>
          <w:lang w:val="fr-FR"/>
        </w:rPr>
        <w:t>259.</w:t>
      </w:r>
      <w:r>
        <w:rPr>
          <w:color w:val="000000"/>
          <w:lang w:val="fr-FR"/>
        </w:rPr>
        <w:tab/>
        <w:t>L'Institut national de l'enfant et de la famille (INNFA) exécute actuellement six programme en faveur de la population la plus défavorisée; l'un d'entre eux est le Programme d'action médicale solidaire (PAMS), qui, au niveau national, s'adresse aux personnes handicapées souffrant de déficiences physiques, sensorielles ou mentales, la priorité étant accordée aux mineurs de moins de dix-huit ans disposant de faibles ressources économiques.</w:t>
      </w:r>
    </w:p>
    <w:p w:rsidR="00000000" w:rsidRDefault="00000000">
      <w:pPr>
        <w:spacing w:after="240"/>
        <w:rPr>
          <w:color w:val="000000"/>
          <w:lang w:val="fr-FR"/>
        </w:rPr>
      </w:pPr>
      <w:r>
        <w:rPr>
          <w:color w:val="000000"/>
          <w:lang w:val="fr-FR"/>
        </w:rPr>
        <w:t>260.</w:t>
      </w:r>
      <w:r>
        <w:rPr>
          <w:color w:val="000000"/>
          <w:lang w:val="fr-FR"/>
        </w:rPr>
        <w:tab/>
        <w:t>Le but du Programme est de fournir des soins spécialisés de qualité et des subventions médicales aux personnes souffrant de déficiences, de handicaps ou d'invalidités, en s'efforçant de promouvoir leur intégration sociale et en donnant la priorité aux personnes économiquement défavorisées.</w:t>
      </w:r>
    </w:p>
    <w:p w:rsidR="00000000" w:rsidRDefault="00000000">
      <w:pPr>
        <w:spacing w:after="240"/>
        <w:rPr>
          <w:color w:val="000000"/>
          <w:lang w:val="fr-FR"/>
        </w:rPr>
      </w:pPr>
      <w:r>
        <w:rPr>
          <w:color w:val="000000"/>
          <w:lang w:val="fr-FR"/>
        </w:rPr>
        <w:t>261.</w:t>
      </w:r>
      <w:r>
        <w:rPr>
          <w:color w:val="000000"/>
          <w:lang w:val="fr-FR"/>
        </w:rPr>
        <w:tab/>
        <w:t>Conformément aux politiques institutionnelles, les services du PAMS travaillent en fonction de la demande et non de l'offre; toutefois, étant donné la qualité des services et le coût symbolique des soins, le champ d'action de ces services s'est accru chaque année de 10 %.  Au mois de novembre 1999, on comptait 275 000 interventions; il ne fait guère de doute qu'à la fin de l'année ce nombre dépassera 300 000, soit environ 60 000 patients qui auront bénéficié pour leur réhabilitation d'une moyenne de cinq interventions</w:t>
      </w:r>
      <w:r>
        <w:rPr>
          <w:rStyle w:val="FootnoteReference"/>
          <w:b/>
          <w:color w:val="000000"/>
          <w:lang w:val="fr-FR"/>
        </w:rPr>
        <w:footnoteReference w:id="31"/>
      </w:r>
      <w:r>
        <w:rPr>
          <w:color w:val="000000"/>
          <w:lang w:val="fr-FR"/>
        </w:rPr>
        <w:t>.</w:t>
      </w:r>
    </w:p>
    <w:p w:rsidR="00000000" w:rsidRDefault="00000000">
      <w:pPr>
        <w:spacing w:after="240"/>
        <w:rPr>
          <w:color w:val="000000"/>
          <w:lang w:val="fr-FR"/>
        </w:rPr>
      </w:pPr>
      <w:r>
        <w:rPr>
          <w:i/>
          <w:color w:val="000000"/>
          <w:lang w:val="fr-FR"/>
        </w:rPr>
        <w:t>Programmes nationaux</w:t>
      </w:r>
    </w:p>
    <w:p w:rsidR="00000000" w:rsidRDefault="00000000">
      <w:pPr>
        <w:spacing w:after="240"/>
        <w:rPr>
          <w:color w:val="000000"/>
          <w:lang w:val="fr-FR"/>
        </w:rPr>
      </w:pPr>
      <w:r>
        <w:rPr>
          <w:color w:val="000000"/>
          <w:lang w:val="fr-FR"/>
        </w:rPr>
        <w:t>262.</w:t>
      </w:r>
      <w:r>
        <w:rPr>
          <w:color w:val="000000"/>
          <w:lang w:val="fr-FR"/>
        </w:rPr>
        <w:tab/>
        <w:t>Les programmes et projets mis en œuvre par la Direction nationale de la protection des mineurs inclut la formation dans les centres infantiles et des évaluations institutionnelles dans les centres publics et privés.  En matière de stimulation, du matériel technique d'appui a été produit pour le personnel des centres, et on a notamment mis au point et publié des guides pour le développement intégral des enfants de moins de cinq ans, qui traitent des questions d'incitation, de santé, de nutrition et de sécurité.  Actuellement, le Département des soins journaliers a à sa disposition :</w:t>
      </w:r>
    </w:p>
    <w:p w:rsidR="00000000" w:rsidRDefault="00000000">
      <w:pPr>
        <w:numPr>
          <w:ilvl w:val="0"/>
          <w:numId w:val="53"/>
        </w:numPr>
        <w:spacing w:after="240"/>
        <w:rPr>
          <w:color w:val="000000"/>
          <w:lang w:val="fr-FR"/>
        </w:rPr>
      </w:pPr>
      <w:r>
        <w:rPr>
          <w:color w:val="000000"/>
          <w:lang w:val="fr-FR"/>
        </w:rPr>
        <w:t>Des manuels d’organisation des centres infantiles, de nutrition et de santé, en plus d'un manuel d'autoformation  traitant du développement psycho-socio-affectif de l'enfant, que l'on a essayé d'incorporer dans le cadre de la réforme convenue des programmes afin de maintenir la cohérence et le lien avec la stratégie du pays en matière d'éducation.</w:t>
      </w:r>
    </w:p>
    <w:p w:rsidR="00000000" w:rsidRDefault="00000000">
      <w:pPr>
        <w:numPr>
          <w:ilvl w:val="0"/>
          <w:numId w:val="53"/>
        </w:numPr>
        <w:spacing w:after="240"/>
        <w:rPr>
          <w:color w:val="000000"/>
          <w:lang w:val="fr-FR"/>
        </w:rPr>
      </w:pPr>
      <w:r>
        <w:rPr>
          <w:color w:val="000000"/>
          <w:lang w:val="fr-FR"/>
        </w:rPr>
        <w:t>La formation du personnel des centres infantiles qui reçoivent des directives concernant le fonctionnement des centres, ainsi que l'importance de l'éducation initiale, comme moyens de garantir le respect des droits des enfants.</w:t>
      </w:r>
    </w:p>
    <w:p w:rsidR="00000000" w:rsidRDefault="00000000">
      <w:pPr>
        <w:numPr>
          <w:ilvl w:val="0"/>
          <w:numId w:val="53"/>
        </w:numPr>
        <w:spacing w:after="240"/>
        <w:rPr>
          <w:color w:val="000000"/>
          <w:lang w:val="fr-FR"/>
        </w:rPr>
      </w:pPr>
      <w:r>
        <w:rPr>
          <w:color w:val="000000"/>
          <w:lang w:val="fr-FR"/>
        </w:rPr>
        <w:t>Des bourses dans les centres infantiles privés en faveur des enfants à faibles revenus en vue de leur assurer la protection et l'attention dont ils ont besoin.  A cet égard, l'article pertinent relatif à l'octroi de bourses du règlement concernant la création et le fonctionnement des centres infantiles privés s’applique; 10 % du total des crédits alloués sont utilisés à cette fin.</w:t>
      </w:r>
    </w:p>
    <w:p w:rsidR="00000000" w:rsidRDefault="00000000">
      <w:pPr>
        <w:spacing w:after="240"/>
        <w:rPr>
          <w:color w:val="000000"/>
          <w:lang w:val="fr-FR"/>
        </w:rPr>
      </w:pPr>
      <w:r>
        <w:rPr>
          <w:color w:val="000000"/>
          <w:lang w:val="fr-FR"/>
        </w:rPr>
        <w:t>263.</w:t>
      </w:r>
      <w:r>
        <w:rPr>
          <w:color w:val="000000"/>
          <w:lang w:val="fr-FR"/>
        </w:rPr>
        <w:tab/>
        <w:t>En ce qui concerne les centres infantiles publics, le nombre d'interventions est resté infime par rapport à la demande de services, et cette situation s’est aggravée avec la crise économique et sociale du pays.</w:t>
      </w:r>
    </w:p>
    <w:p w:rsidR="00000000" w:rsidRDefault="00000000">
      <w:pPr>
        <w:spacing w:after="240"/>
        <w:rPr>
          <w:color w:val="000000"/>
          <w:lang w:val="fr-FR"/>
        </w:rPr>
      </w:pPr>
      <w:r>
        <w:rPr>
          <w:i/>
          <w:color w:val="000000"/>
          <w:lang w:val="fr-FR"/>
        </w:rPr>
        <w:t>Principaux problèmes</w:t>
      </w:r>
    </w:p>
    <w:p w:rsidR="00000000" w:rsidRDefault="00000000">
      <w:pPr>
        <w:spacing w:after="240"/>
        <w:rPr>
          <w:color w:val="000000"/>
          <w:lang w:val="fr-FR"/>
        </w:rPr>
      </w:pPr>
      <w:r>
        <w:rPr>
          <w:color w:val="000000"/>
          <w:lang w:val="fr-FR"/>
        </w:rPr>
        <w:t>264.</w:t>
      </w:r>
      <w:r>
        <w:rPr>
          <w:color w:val="000000"/>
          <w:lang w:val="fr-FR"/>
        </w:rPr>
        <w:tab/>
        <w:t>Dans le document établi par l’INNFA en août 1999 sur les "Mesures de protection et d'assistance que le programme de protection et d'éducation offre aux enfants et adolescents qui travaillent", il est indiqué que le nombre d'enfants et adolescents qui travaillent est considérable, et que dans la plupart des cas leurs journées de travail sont intensives".</w:t>
      </w:r>
    </w:p>
    <w:p w:rsidR="00000000" w:rsidRDefault="00000000">
      <w:pPr>
        <w:spacing w:after="240"/>
        <w:rPr>
          <w:color w:val="000000"/>
          <w:lang w:val="fr-FR"/>
        </w:rPr>
      </w:pPr>
      <w:r>
        <w:rPr>
          <w:color w:val="000000"/>
          <w:lang w:val="fr-FR"/>
        </w:rPr>
        <w:t>265.</w:t>
      </w:r>
      <w:r>
        <w:rPr>
          <w:color w:val="000000"/>
          <w:lang w:val="fr-FR"/>
        </w:rPr>
        <w:tab/>
        <w:t>On trouve des enfants, garçons et filles, dans la prostitution, les décharges, les briqueteries et tuileries, les services domestiques, la construction, les plantations agricoles, les ateliers de fabrication de tapis, les ports, la pêche et les mines, dans le travail de nuit.  En outre, ces mineurs travaillent dans des environnements dégradés, sans équipements de protection adéquats, s'exposant à des risques pour leur santé et leur développement.</w:t>
      </w:r>
    </w:p>
    <w:p w:rsidR="00000000" w:rsidRDefault="00000000">
      <w:pPr>
        <w:spacing w:after="240"/>
        <w:rPr>
          <w:color w:val="000000"/>
          <w:lang w:val="fr-FR"/>
        </w:rPr>
      </w:pPr>
      <w:r>
        <w:rPr>
          <w:color w:val="000000"/>
          <w:lang w:val="fr-FR"/>
        </w:rPr>
        <w:t>266.</w:t>
      </w:r>
      <w:r>
        <w:rPr>
          <w:color w:val="000000"/>
          <w:lang w:val="fr-FR"/>
        </w:rPr>
        <w:tab/>
        <w:t>Face à ce problème, l’État, par l'intermédiaire de l’INNFA et d'autres organismes à caractère public ou privé comme les ONG, prend des mesures en vue de réduire la pauvreté parmi la population.</w:t>
      </w:r>
    </w:p>
    <w:p w:rsidR="00000000" w:rsidRDefault="00000000">
      <w:pPr>
        <w:spacing w:after="240"/>
        <w:rPr>
          <w:color w:val="000000"/>
          <w:lang w:val="fr-FR"/>
        </w:rPr>
      </w:pPr>
      <w:r>
        <w:rPr>
          <w:color w:val="000000"/>
          <w:lang w:val="fr-FR"/>
        </w:rPr>
        <w:t>267.</w:t>
      </w:r>
      <w:r>
        <w:rPr>
          <w:color w:val="000000"/>
          <w:lang w:val="fr-FR"/>
        </w:rPr>
        <w:tab/>
        <w:t>Les programmes ci-après sont actuellement mis en oeuvre par l’INNFA :</w:t>
      </w:r>
    </w:p>
    <w:p w:rsidR="00000000" w:rsidRDefault="00000000">
      <w:pPr>
        <w:numPr>
          <w:ilvl w:val="0"/>
          <w:numId w:val="55"/>
        </w:numPr>
        <w:spacing w:after="240"/>
        <w:rPr>
          <w:color w:val="000000"/>
          <w:lang w:val="fr-FR"/>
        </w:rPr>
      </w:pPr>
      <w:r>
        <w:rPr>
          <w:color w:val="000000"/>
          <w:lang w:val="fr-FR"/>
        </w:rPr>
        <w:t>Programme de développement infantile (PDI) : ce programme offre à des enfants de 0 à 6 ans, dans les centres de développement infantile, des soins en matière de nutrition, de santé et de développement psychosocial, en co-responsabilisant les parents, la communauté et les autorités locales en matière de soins aux enfants.  Il a permis d'intervenir en 1999 auprès de 45 000 mineurs dans 1200 centres infantiles de soins journaliers.</w:t>
      </w:r>
    </w:p>
    <w:p w:rsidR="00000000" w:rsidRDefault="00000000">
      <w:pPr>
        <w:numPr>
          <w:ilvl w:val="0"/>
          <w:numId w:val="55"/>
        </w:numPr>
        <w:spacing w:after="240"/>
        <w:rPr>
          <w:color w:val="000000"/>
          <w:lang w:val="fr-FR"/>
        </w:rPr>
      </w:pPr>
      <w:r>
        <w:rPr>
          <w:color w:val="000000"/>
          <w:lang w:val="fr-FR"/>
        </w:rPr>
        <w:t>Programme en faveur des enfants au travail (PNT) : ce programme est destiné à promouvoir la scolarisation des enfants âgés de 7 à 15 ans qui travaillent et l'élimination progressive du travail infantile dangereux qui compromet leur intégrité.  Il est prévu d'accorder des bourses scolaires à 12 150 enfants de 7 à 15 ans qui travaillent sans poursuivre leurs études dans 23 villes du pays, et des bourses scolaires et un appui économique aux familles de 1050 enfants du même groupe d'âges qui exécutent des travaux dangereux dans 18 villes du pays.</w:t>
      </w:r>
    </w:p>
    <w:p w:rsidR="00000000" w:rsidRDefault="00000000">
      <w:pPr>
        <w:numPr>
          <w:ilvl w:val="0"/>
          <w:numId w:val="55"/>
        </w:numPr>
        <w:spacing w:after="240"/>
        <w:rPr>
          <w:color w:val="000000"/>
          <w:lang w:val="fr-FR"/>
        </w:rPr>
      </w:pPr>
      <w:r>
        <w:rPr>
          <w:color w:val="000000"/>
          <w:lang w:val="fr-FR"/>
        </w:rPr>
        <w:t>Programme d'action citoyenne pour la tendresse (ACT) : ce programme est destiné à promouvoir les bonnes relations, c'est-à-dire à améliorer la qualité des relations des enfants et des jeunes avec les adultes et de leurs relations entre eux dans la vie quotidienne.  Des interventions directes ont eu lieu dans 18 villes auprès de 10 500 enfants et jeunes dans le cadre de projets visant encourager les bonnes relations et la participation locale.</w:t>
      </w:r>
    </w:p>
    <w:p w:rsidR="00000000" w:rsidRDefault="00000000">
      <w:pPr>
        <w:numPr>
          <w:ilvl w:val="0"/>
          <w:numId w:val="55"/>
        </w:numPr>
        <w:spacing w:after="240"/>
        <w:rPr>
          <w:color w:val="000000"/>
          <w:lang w:val="fr-FR"/>
        </w:rPr>
      </w:pPr>
      <w:r>
        <w:rPr>
          <w:color w:val="000000"/>
          <w:lang w:val="fr-FR"/>
        </w:rPr>
        <w:t>Programme national de bénévolat (PNV) : ce programme est destiné à faire participer des groupes de bénévoles à des activités d'appui à la gestion de l'INNFA, et à former des groupes de bénévoles aux questions de l'enfance; on compte 325 000 bénéficiaires dans le cadre de la campagne de déparasitage pour la période de 1999-2000.</w:t>
      </w:r>
    </w:p>
    <w:p w:rsidR="00000000" w:rsidRDefault="00000000">
      <w:pPr>
        <w:numPr>
          <w:ilvl w:val="0"/>
          <w:numId w:val="55"/>
        </w:numPr>
        <w:spacing w:after="240"/>
        <w:rPr>
          <w:color w:val="000000"/>
          <w:lang w:val="fr-FR"/>
        </w:rPr>
      </w:pPr>
      <w:r>
        <w:rPr>
          <w:color w:val="000000"/>
          <w:lang w:val="fr-FR"/>
        </w:rPr>
        <w:t>Programmes Grandir avec nos enfants (CNH) : ce programme vise à assurer l'épanouissement le plus complet possible de chaque enfant en préparant la famille à devenir un cadre éducatif et stimulant plus propice au développement social de l'enfant; il a touché 15 000 enfants de 0 à 6 ans dans le cadre d'activités éducatives exécutées auprès d’enfants et de familles de douze provinces.</w:t>
      </w:r>
    </w:p>
    <w:p w:rsidR="00000000" w:rsidRDefault="00000000">
      <w:pPr>
        <w:numPr>
          <w:ilvl w:val="0"/>
          <w:numId w:val="55"/>
        </w:numPr>
        <w:spacing w:after="240"/>
        <w:rPr>
          <w:color w:val="000000"/>
          <w:lang w:val="fr-FR"/>
        </w:rPr>
      </w:pPr>
      <w:r>
        <w:rPr>
          <w:color w:val="000000"/>
          <w:lang w:val="fr-FR"/>
        </w:rPr>
        <w:t>Programme d'action médicale (PAM) : ce programme est destiné à aider économiquement des malades à faibles ressources qui souffrent de maladies complexes.  Il doit assister, dans des centres de réhabilitation médicale, 65 000 personnes qui souffrent d'une incapacité physique, mentale ou sensorielle.  Environ 6700 personnes souffrant de maladies complexes sont soignées grâce à la fourniture d'aides médicales par l'intermédiaire du service de médecine sociale.</w:t>
      </w:r>
    </w:p>
    <w:p w:rsidR="00000000" w:rsidRDefault="00000000">
      <w:pPr>
        <w:spacing w:after="240"/>
        <w:rPr>
          <w:color w:val="000000"/>
          <w:lang w:val="fr-FR"/>
        </w:rPr>
      </w:pPr>
      <w:r>
        <w:rPr>
          <w:color w:val="000000"/>
          <w:lang w:val="fr-FR"/>
        </w:rPr>
        <w:t>268.</w:t>
      </w:r>
      <w:r>
        <w:rPr>
          <w:color w:val="000000"/>
          <w:lang w:val="fr-FR"/>
        </w:rPr>
        <w:tab/>
        <w:t>L'Équateur a été le premier pays latino-américain et le troisième dans le monde à adhérer officiellement en 1990 à la Convention relative aux droits de l'enfant.</w:t>
      </w:r>
    </w:p>
    <w:p w:rsidR="00000000" w:rsidRDefault="00000000">
      <w:pPr>
        <w:spacing w:after="240"/>
        <w:rPr>
          <w:color w:val="000000"/>
          <w:lang w:val="fr-FR"/>
        </w:rPr>
      </w:pPr>
      <w:r>
        <w:rPr>
          <w:color w:val="000000"/>
          <w:lang w:val="fr-FR"/>
        </w:rPr>
        <w:t>269.</w:t>
      </w:r>
      <w:r>
        <w:rPr>
          <w:color w:val="000000"/>
          <w:lang w:val="fr-FR"/>
        </w:rPr>
        <w:tab/>
        <w:t>En 1992, le Congrès national a approuvé les modifications du Code des mineurs, qui visaient à modifier une législation traditionnelle, désuète et peu respectueuse des droits de l'enfance et de l'adolescence.  Trois ans plus tard son règlement d'application a été adopté.</w:t>
      </w:r>
    </w:p>
    <w:p w:rsidR="00000000" w:rsidRDefault="00000000">
      <w:pPr>
        <w:spacing w:after="240"/>
        <w:rPr>
          <w:color w:val="000000"/>
          <w:lang w:val="fr-FR"/>
        </w:rPr>
      </w:pPr>
      <w:r>
        <w:rPr>
          <w:color w:val="000000"/>
          <w:lang w:val="fr-FR"/>
        </w:rPr>
        <w:t>270.</w:t>
      </w:r>
      <w:r>
        <w:rPr>
          <w:color w:val="000000"/>
          <w:lang w:val="fr-FR"/>
        </w:rPr>
        <w:tab/>
        <w:t>L'Assemblée constituante a, en 1998, incorporé dans le texte de la Constitution le concept selon lequel tous les enfants et adolescents sont des citoyens sujets de tous les droits communs à la personne et a reconnu la co-responsabilité incombant à l’État de promouvoir le développement intégral de la société et de la famille, et l'obligation qu’il a de mettre en oeuvre des mesures de protection spéciale pour faire face aux cas de violation des droits de l'enfant, que ces situations résultent de l'exploitation économique ou sexuelle, de la violence, de la négligence ou de l'incapacité.</w:t>
      </w:r>
    </w:p>
    <w:p w:rsidR="00000000" w:rsidRDefault="00000000">
      <w:pPr>
        <w:spacing w:after="240"/>
        <w:rPr>
          <w:color w:val="000000"/>
          <w:lang w:val="fr-FR"/>
        </w:rPr>
      </w:pPr>
      <w:r>
        <w:rPr>
          <w:color w:val="000000"/>
          <w:lang w:val="fr-FR"/>
        </w:rPr>
        <w:t>271.</w:t>
      </w:r>
      <w:r>
        <w:rPr>
          <w:color w:val="000000"/>
          <w:lang w:val="fr-FR"/>
        </w:rPr>
        <w:tab/>
        <w:t>La Constitution garantit les droits de participation et d'association, le principe d'égalité devant la loi, l'application de toutes les garanties constitutionnelles, le droit à un procès équitable et une administration indépendante et impartiale de la justice.  Elle prévoit le transfert du système judiciaire pour mineurs à l'appareil judiciaire, l'organisation du système national décentralisé de protection intégrale de l'enfance et de l'adolescence avec un organe dirigeant national paritaire chargé de définir les politiques nationales, et elle reconnaît le devoir des administrations locales d'élaborer des politiques au niveau local en faveur de l'enfance et de l'adolescence et d'allouer à cet effet des ressources spéciales (articles 47 à 52 de la Constitution).</w:t>
      </w:r>
    </w:p>
    <w:p w:rsidR="00000000" w:rsidRDefault="00000000">
      <w:pPr>
        <w:spacing w:after="240"/>
        <w:rPr>
          <w:color w:val="000000"/>
          <w:lang w:val="fr-FR"/>
        </w:rPr>
      </w:pPr>
      <w:r>
        <w:rPr>
          <w:color w:val="000000"/>
          <w:lang w:val="fr-FR"/>
        </w:rPr>
        <w:t>272.</w:t>
      </w:r>
      <w:r>
        <w:rPr>
          <w:color w:val="000000"/>
          <w:lang w:val="fr-FR"/>
        </w:rPr>
        <w:tab/>
        <w:t>La nouvelle Constitution impose de réformer l'actuel Code des mineurs; à cet effet, le Comité consultatif, auquel participent le Ministère de la protection sociale, la Commission de la femme, de l’enfant et de la famille du Congrès national, l’INNFA, PROJUSTICIA, le Forum pour l'enfance et l'adolescence et l'UNICEF, a établi un projet de nouveau code qui en est à la deuxième phase de consultations auprès des divers secteurs sociaux et politiques du pays, des enquêtes étant réalisées auprès des parties intéressées en vue d'obtenir leur avis.</w:t>
      </w:r>
    </w:p>
    <w:p w:rsidR="00000000" w:rsidRDefault="00000000">
      <w:pPr>
        <w:spacing w:after="240"/>
        <w:rPr>
          <w:color w:val="000000"/>
          <w:lang w:val="fr-FR"/>
        </w:rPr>
      </w:pPr>
      <w:r>
        <w:rPr>
          <w:color w:val="000000"/>
          <w:lang w:val="fr-FR"/>
        </w:rPr>
        <w:t>273.</w:t>
      </w:r>
      <w:r>
        <w:rPr>
          <w:color w:val="000000"/>
          <w:lang w:val="fr-FR"/>
        </w:rPr>
        <w:tab/>
        <w:t>La Commission de la femme, de l'enfant et de la famille du Congrès national, en collaboration avec la Banque interaméricaine de développement (BID), PROJUSTICIA et le CONAMU, est en train d'élaborer le projet de nouveau code de la famille pour l'Équateur, qui tendra à garantir l'égalité des droits et des chances pour l'accès aux ressources et dans la prise des décisions économiques au sein de la société conjugale, et s'efforcera d'étendre l'application des relations juridiques familiales à d'autres formations sociales qui assument les fonctions de la famille sur la base de l'appui et de la solidarité de ses membres.</w:t>
      </w:r>
    </w:p>
    <w:p w:rsidR="00000000" w:rsidRDefault="00000000">
      <w:pPr>
        <w:spacing w:after="240"/>
        <w:rPr>
          <w:color w:val="000000"/>
          <w:lang w:val="fr-FR"/>
        </w:rPr>
      </w:pPr>
      <w:r>
        <w:rPr>
          <w:color w:val="000000"/>
          <w:lang w:val="fr-FR"/>
        </w:rPr>
        <w:t>274.</w:t>
      </w:r>
      <w:r>
        <w:rPr>
          <w:color w:val="000000"/>
          <w:lang w:val="fr-FR"/>
        </w:rPr>
        <w:tab/>
        <w:t>Le Ministère de la protection sociale, par l'intermédiaire de la Direction nationale de la protection des mineurs, exécute le projet "Nos enfants" axé sur le développement de l’enfant et en particulier des enfants de moins de 6 ans.  Le projet contribue à l'application de politiques à moyen et long terme, c'est-à-dire qu'il est inspiré d'une vision de l'avenir de l'Équateur en ce qui concerne ses politiques et programme de soins et de protection en faveur de l'enfance.  Le projet est financé par la Banque interaméricaine de développement.</w:t>
      </w:r>
    </w:p>
    <w:p w:rsidR="00000000" w:rsidRDefault="00000000">
      <w:pPr>
        <w:spacing w:after="240"/>
        <w:rPr>
          <w:b/>
          <w:color w:val="000000"/>
          <w:lang w:val="fr-FR"/>
        </w:rPr>
      </w:pPr>
      <w:r>
        <w:rPr>
          <w:b/>
          <w:color w:val="000000"/>
          <w:lang w:val="fr-FR"/>
        </w:rPr>
        <w:t>Article 11</w:t>
      </w:r>
    </w:p>
    <w:p w:rsidR="00000000" w:rsidRDefault="00000000">
      <w:pPr>
        <w:spacing w:after="240"/>
        <w:rPr>
          <w:color w:val="000000"/>
          <w:lang w:val="fr-FR"/>
        </w:rPr>
      </w:pPr>
      <w:r>
        <w:rPr>
          <w:b/>
          <w:color w:val="000000"/>
          <w:lang w:val="fr-FR"/>
        </w:rPr>
        <w:t>Développement humain.  Niveau de vie</w:t>
      </w:r>
    </w:p>
    <w:p w:rsidR="00000000" w:rsidRDefault="00000000">
      <w:pPr>
        <w:spacing w:after="240"/>
        <w:rPr>
          <w:color w:val="000000"/>
          <w:lang w:val="fr-FR"/>
        </w:rPr>
      </w:pPr>
      <w:r>
        <w:rPr>
          <w:color w:val="000000"/>
          <w:lang w:val="fr-FR"/>
        </w:rPr>
        <w:t>275.</w:t>
      </w:r>
      <w:r>
        <w:rPr>
          <w:color w:val="000000"/>
          <w:lang w:val="fr-FR"/>
        </w:rPr>
        <w:tab/>
        <w:t>En 1999, la crise économique en Équateur s'est aggravée, essentiellement en raison des problèmes monétaires provoqués par la hausse constante du dollar par rapport au sucre, qui a obligé les autorités monétaires à éliminer en février le système de marges de change pour adopter un système de libre flottement.</w:t>
      </w:r>
    </w:p>
    <w:p w:rsidR="00000000" w:rsidRDefault="00000000">
      <w:pPr>
        <w:spacing w:after="240"/>
        <w:rPr>
          <w:color w:val="000000"/>
          <w:lang w:val="fr-FR"/>
        </w:rPr>
      </w:pPr>
      <w:r>
        <w:rPr>
          <w:color w:val="000000"/>
          <w:lang w:val="fr-FR"/>
        </w:rPr>
        <w:t>276.</w:t>
      </w:r>
      <w:r>
        <w:rPr>
          <w:color w:val="000000"/>
          <w:lang w:val="fr-FR"/>
        </w:rPr>
        <w:tab/>
        <w:t xml:space="preserve">L'instabilité du système financier national a obligé le gouvernement à décréter en mars un congé bancaire qui a entraîné le gel des dépôts.  La Banque centrale a procédé au cours de l'année à une </w:t>
      </w:r>
      <w:r>
        <w:rPr>
          <w:lang w:val="fr-FR"/>
        </w:rPr>
        <w:t>émission primaire de monnaie (dans une proportion de plus de 130 %)</w:t>
      </w:r>
      <w:r>
        <w:rPr>
          <w:color w:val="000000"/>
          <w:lang w:val="fr-FR"/>
        </w:rPr>
        <w:t xml:space="preserve"> causée par le remboursement des garanties de dépôt effectué par l’Agence de garantie des dépôts (AGD).</w:t>
      </w:r>
    </w:p>
    <w:p w:rsidR="00000000" w:rsidRDefault="00000000">
      <w:pPr>
        <w:spacing w:after="240"/>
        <w:rPr>
          <w:color w:val="000000"/>
          <w:lang w:val="fr-FR"/>
        </w:rPr>
      </w:pPr>
      <w:r>
        <w:rPr>
          <w:color w:val="000000"/>
          <w:lang w:val="fr-FR"/>
        </w:rPr>
        <w:t>277.</w:t>
      </w:r>
      <w:r>
        <w:rPr>
          <w:color w:val="000000"/>
          <w:lang w:val="fr-FR"/>
        </w:rPr>
        <w:tab/>
        <w:t>Le gouvernement a émis environ 1,5 milliards de dollars de bons de l’État pour doter les banques de liquidités, ce qui a abouti à la fermeture de quelques établissements et à la mise en adjudication de leurs actifs matériels.  Plusieurs banquiers sont en prison pour cela.</w:t>
      </w:r>
    </w:p>
    <w:p w:rsidR="00000000" w:rsidRDefault="00000000">
      <w:pPr>
        <w:spacing w:after="240"/>
        <w:rPr>
          <w:color w:val="000000"/>
          <w:lang w:val="fr-FR"/>
        </w:rPr>
      </w:pPr>
      <w:r>
        <w:rPr>
          <w:color w:val="000000"/>
          <w:lang w:val="fr-FR"/>
        </w:rPr>
        <w:t>278.</w:t>
      </w:r>
      <w:r>
        <w:rPr>
          <w:color w:val="000000"/>
          <w:lang w:val="fr-FR"/>
        </w:rPr>
        <w:tab/>
        <w:t>L’émission de bons (à court terme) produit directement une augmentation de la masse monétaire en circulation dans l'économie et l'accroissement de la dette interne du pays; L’excès de liquidités en circulation a provoqué une dérégulation du sucre dont la dévaluation au cours de l'année a dépassé 263 %.</w:t>
      </w:r>
    </w:p>
    <w:p w:rsidR="00000000" w:rsidRDefault="00000000">
      <w:pPr>
        <w:pStyle w:val="BodyText"/>
        <w:spacing w:after="240"/>
        <w:jc w:val="left"/>
        <w:rPr>
          <w:u w:val="none"/>
          <w:lang w:val="fr-FR"/>
        </w:rPr>
      </w:pPr>
      <w:r>
        <w:rPr>
          <w:u w:val="none"/>
          <w:lang w:val="fr-FR"/>
        </w:rPr>
        <w:t>279.</w:t>
      </w:r>
      <w:r>
        <w:rPr>
          <w:u w:val="none"/>
          <w:lang w:val="fr-FR"/>
        </w:rPr>
        <w:tab/>
        <w:t>La demande s'est accrue de façon exponentielle en raison de l'excès de liquidités qui s'est traduit par une augmentation des prix et du taux d'inflation, lequel s’est élevé à 13,5 % en mars, pour finalement atteindre une hausse annuelle de 60,7 %.  Le pouvoir d'achat de la population a été réduit de 50 %; c'est ainsi que le salaire total perçu par un travailleur était de 957 167 sucres, soit un montant équivalant à 130 4,18 dollars, en janvier, et de 1 109 167 sucres, montant équivalant à 60,92 dollars, en décembre.  Les dépenses courantes des ménages se sont portées en priorité sur l'alimentation et l'habillement, dont les contributions au taux annuel de l'indice des prix sont montées à 17,8 % et 8,6 %, respectivement.</w:t>
      </w:r>
    </w:p>
    <w:p w:rsidR="00000000" w:rsidRDefault="00000000">
      <w:pPr>
        <w:spacing w:after="360"/>
        <w:rPr>
          <w:color w:val="000000"/>
          <w:lang w:val="fr-FR"/>
        </w:rPr>
      </w:pPr>
      <w:r>
        <w:rPr>
          <w:color w:val="000000"/>
          <w:lang w:val="fr-FR"/>
        </w:rPr>
        <w:t>280.</w:t>
      </w:r>
      <w:r>
        <w:rPr>
          <w:color w:val="000000"/>
          <w:lang w:val="fr-FR"/>
        </w:rPr>
        <w:tab/>
        <w:t>La Banque centrale n'a pas réussi, malgré ses interventions, à freiner la hausse du dollar dont la valeur, à la fin de 1999, approchait 20 000 sucres; face à cette évolution, le gouvernement a décidé un réaménagement des paiements des dépôts gelés afin de ne pas aggraver la situation économique du pays.  Au début de l'an 2000, il a décrété le remplacement de la monnaie nationale par le dollar, en fixant à 25 000 sucres le cours du dollar.</w:t>
      </w:r>
    </w:p>
    <w:tbl>
      <w:tblPr>
        <w:tblW w:w="8505" w:type="dxa"/>
        <w:tblInd w:w="460"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410"/>
        <w:gridCol w:w="1861"/>
        <w:gridCol w:w="1838"/>
        <w:gridCol w:w="1798"/>
        <w:gridCol w:w="1598"/>
      </w:tblGrid>
      <w:tr w:rsidR="00000000">
        <w:tblPrEx>
          <w:tblCellMar>
            <w:top w:w="0" w:type="dxa"/>
            <w:bottom w:w="0" w:type="dxa"/>
          </w:tblCellMar>
        </w:tblPrEx>
        <w:tc>
          <w:tcPr>
            <w:tcW w:w="1354"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Année</w:t>
            </w:r>
          </w:p>
        </w:tc>
        <w:tc>
          <w:tcPr>
            <w:tcW w:w="1786"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Indice des prix</w:t>
            </w:r>
          </w:p>
        </w:tc>
        <w:tc>
          <w:tcPr>
            <w:tcW w:w="1764"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Variation annuelle du PIB</w:t>
            </w:r>
          </w:p>
        </w:tc>
        <w:tc>
          <w:tcPr>
            <w:tcW w:w="1726"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Cours du dollar *</w:t>
            </w:r>
          </w:p>
        </w:tc>
        <w:tc>
          <w:tcPr>
            <w:tcW w:w="1534"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Taux de chômage **</w:t>
            </w:r>
          </w:p>
        </w:tc>
      </w:tr>
      <w:tr w:rsidR="00000000">
        <w:tblPrEx>
          <w:tblCellMar>
            <w:top w:w="0" w:type="dxa"/>
            <w:bottom w:w="0" w:type="dxa"/>
          </w:tblCellMar>
        </w:tblPrEx>
        <w:tc>
          <w:tcPr>
            <w:tcW w:w="1354" w:type="dxa"/>
            <w:tcBorders>
              <w:top w:val="single" w:sz="4" w:space="0" w:color="auto"/>
            </w:tcBorders>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1990</w:t>
            </w:r>
          </w:p>
        </w:tc>
        <w:tc>
          <w:tcPr>
            <w:tcW w:w="1786" w:type="dxa"/>
            <w:tcBorders>
              <w:top w:val="single" w:sz="4" w:space="0" w:color="auto"/>
            </w:tcBorders>
          </w:tcPr>
          <w:p w:rsidR="00000000" w:rsidRDefault="00000000">
            <w:pPr>
              <w:tabs>
                <w:tab w:val="decimal" w:pos="830"/>
              </w:tabs>
              <w:autoSpaceDE w:val="0"/>
              <w:autoSpaceDN w:val="0"/>
              <w:adjustRightInd w:val="0"/>
              <w:spacing w:before="60" w:after="60"/>
              <w:rPr>
                <w:color w:val="000000"/>
                <w:sz w:val="20"/>
                <w:szCs w:val="22"/>
                <w:lang w:val="fr-FR"/>
              </w:rPr>
            </w:pPr>
            <w:r>
              <w:rPr>
                <w:color w:val="000000"/>
                <w:sz w:val="20"/>
                <w:szCs w:val="22"/>
                <w:lang w:val="fr-FR"/>
              </w:rPr>
              <w:t xml:space="preserve">20,89 </w:t>
            </w:r>
          </w:p>
        </w:tc>
        <w:tc>
          <w:tcPr>
            <w:tcW w:w="1764" w:type="dxa"/>
            <w:tcBorders>
              <w:top w:val="single" w:sz="4" w:space="0" w:color="auto"/>
            </w:tcBorders>
          </w:tcPr>
          <w:p w:rsidR="00000000" w:rsidRDefault="00000000">
            <w:pPr>
              <w:tabs>
                <w:tab w:val="decimal" w:pos="830"/>
              </w:tabs>
              <w:autoSpaceDE w:val="0"/>
              <w:autoSpaceDN w:val="0"/>
              <w:adjustRightInd w:val="0"/>
              <w:spacing w:before="60" w:after="60"/>
              <w:rPr>
                <w:color w:val="000000"/>
                <w:sz w:val="20"/>
                <w:szCs w:val="22"/>
                <w:lang w:val="fr-FR"/>
              </w:rPr>
            </w:pPr>
            <w:r>
              <w:rPr>
                <w:color w:val="000000"/>
                <w:sz w:val="20"/>
                <w:szCs w:val="22"/>
                <w:lang w:val="fr-FR"/>
              </w:rPr>
              <w:t xml:space="preserve">3 </w:t>
            </w:r>
          </w:p>
        </w:tc>
        <w:tc>
          <w:tcPr>
            <w:tcW w:w="1726" w:type="dxa"/>
            <w:tcBorders>
              <w:top w:val="single" w:sz="4" w:space="0" w:color="auto"/>
            </w:tcBorders>
          </w:tcPr>
          <w:p w:rsidR="00000000" w:rsidRDefault="00000000">
            <w:pPr>
              <w:autoSpaceDE w:val="0"/>
              <w:autoSpaceDN w:val="0"/>
              <w:adjustRightInd w:val="0"/>
              <w:spacing w:before="60" w:after="60"/>
              <w:ind w:right="567"/>
              <w:jc w:val="right"/>
              <w:rPr>
                <w:color w:val="000000"/>
                <w:sz w:val="20"/>
                <w:szCs w:val="22"/>
                <w:lang w:val="fr-FR"/>
              </w:rPr>
            </w:pPr>
            <w:r>
              <w:rPr>
                <w:color w:val="000000"/>
                <w:sz w:val="20"/>
                <w:szCs w:val="22"/>
                <w:lang w:val="fr-FR"/>
              </w:rPr>
              <w:t xml:space="preserve">898 </w:t>
            </w:r>
          </w:p>
        </w:tc>
        <w:tc>
          <w:tcPr>
            <w:tcW w:w="1534" w:type="dxa"/>
            <w:tcBorders>
              <w:top w:val="single" w:sz="4" w:space="0" w:color="auto"/>
            </w:tcBorders>
          </w:tcPr>
          <w:p w:rsidR="00000000" w:rsidRDefault="00000000">
            <w:pPr>
              <w:tabs>
                <w:tab w:val="decimal" w:pos="733"/>
              </w:tabs>
              <w:autoSpaceDE w:val="0"/>
              <w:autoSpaceDN w:val="0"/>
              <w:adjustRightInd w:val="0"/>
              <w:spacing w:before="60" w:after="60"/>
              <w:rPr>
                <w:color w:val="000000"/>
                <w:sz w:val="20"/>
                <w:szCs w:val="22"/>
                <w:lang w:val="fr-FR"/>
              </w:rPr>
            </w:pPr>
            <w:r>
              <w:rPr>
                <w:color w:val="000000"/>
                <w:sz w:val="20"/>
                <w:szCs w:val="22"/>
                <w:lang w:val="fr-FR"/>
              </w:rPr>
              <w:t xml:space="preserve">6,1  </w:t>
            </w:r>
          </w:p>
        </w:tc>
      </w:tr>
      <w:tr w:rsidR="00000000">
        <w:tblPrEx>
          <w:tblCellMar>
            <w:top w:w="0" w:type="dxa"/>
            <w:bottom w:w="0" w:type="dxa"/>
          </w:tblCellMar>
        </w:tblPrEx>
        <w:tc>
          <w:tcPr>
            <w:tcW w:w="1354" w:type="dxa"/>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1995</w:t>
            </w:r>
          </w:p>
        </w:tc>
        <w:tc>
          <w:tcPr>
            <w:tcW w:w="1786" w:type="dxa"/>
          </w:tcPr>
          <w:p w:rsidR="00000000" w:rsidRDefault="00000000">
            <w:pPr>
              <w:tabs>
                <w:tab w:val="decimal" w:pos="830"/>
              </w:tabs>
              <w:autoSpaceDE w:val="0"/>
              <w:autoSpaceDN w:val="0"/>
              <w:adjustRightInd w:val="0"/>
              <w:spacing w:before="60" w:after="60"/>
              <w:rPr>
                <w:color w:val="000000"/>
                <w:sz w:val="20"/>
                <w:szCs w:val="22"/>
                <w:lang w:val="fr-FR"/>
              </w:rPr>
            </w:pPr>
            <w:r>
              <w:rPr>
                <w:color w:val="000000"/>
                <w:sz w:val="20"/>
                <w:szCs w:val="22"/>
                <w:lang w:val="fr-FR"/>
              </w:rPr>
              <w:t xml:space="preserve">108,99 </w:t>
            </w:r>
          </w:p>
        </w:tc>
        <w:tc>
          <w:tcPr>
            <w:tcW w:w="1764" w:type="dxa"/>
          </w:tcPr>
          <w:p w:rsidR="00000000" w:rsidRDefault="00000000">
            <w:pPr>
              <w:tabs>
                <w:tab w:val="decimal" w:pos="830"/>
              </w:tabs>
              <w:autoSpaceDE w:val="0"/>
              <w:autoSpaceDN w:val="0"/>
              <w:adjustRightInd w:val="0"/>
              <w:spacing w:before="60" w:after="60"/>
              <w:rPr>
                <w:color w:val="000000"/>
                <w:sz w:val="20"/>
                <w:szCs w:val="22"/>
                <w:lang w:val="fr-FR"/>
              </w:rPr>
            </w:pPr>
            <w:r>
              <w:rPr>
                <w:color w:val="000000"/>
                <w:sz w:val="20"/>
                <w:szCs w:val="22"/>
                <w:lang w:val="fr-FR"/>
              </w:rPr>
              <w:t xml:space="preserve">2,3 </w:t>
            </w:r>
          </w:p>
        </w:tc>
        <w:tc>
          <w:tcPr>
            <w:tcW w:w="1726" w:type="dxa"/>
          </w:tcPr>
          <w:p w:rsidR="00000000" w:rsidRDefault="00000000">
            <w:pPr>
              <w:autoSpaceDE w:val="0"/>
              <w:autoSpaceDN w:val="0"/>
              <w:adjustRightInd w:val="0"/>
              <w:spacing w:before="60" w:after="60"/>
              <w:ind w:right="567"/>
              <w:jc w:val="right"/>
              <w:rPr>
                <w:color w:val="000000"/>
                <w:sz w:val="20"/>
                <w:szCs w:val="22"/>
                <w:lang w:val="fr-FR"/>
              </w:rPr>
            </w:pPr>
            <w:r>
              <w:rPr>
                <w:color w:val="000000"/>
                <w:sz w:val="20"/>
                <w:szCs w:val="22"/>
                <w:lang w:val="fr-FR"/>
              </w:rPr>
              <w:t xml:space="preserve">2 925 </w:t>
            </w:r>
          </w:p>
        </w:tc>
        <w:tc>
          <w:tcPr>
            <w:tcW w:w="1534" w:type="dxa"/>
          </w:tcPr>
          <w:p w:rsidR="00000000" w:rsidRDefault="00000000">
            <w:pPr>
              <w:tabs>
                <w:tab w:val="decimal" w:pos="733"/>
              </w:tabs>
              <w:autoSpaceDE w:val="0"/>
              <w:autoSpaceDN w:val="0"/>
              <w:adjustRightInd w:val="0"/>
              <w:spacing w:before="60" w:after="60"/>
              <w:rPr>
                <w:color w:val="000000"/>
                <w:sz w:val="20"/>
                <w:szCs w:val="22"/>
                <w:lang w:val="fr-FR"/>
              </w:rPr>
            </w:pPr>
            <w:r>
              <w:rPr>
                <w:color w:val="000000"/>
                <w:sz w:val="20"/>
                <w:szCs w:val="22"/>
                <w:lang w:val="fr-FR"/>
              </w:rPr>
              <w:t xml:space="preserve">6,9  </w:t>
            </w:r>
          </w:p>
        </w:tc>
      </w:tr>
      <w:tr w:rsidR="00000000">
        <w:tblPrEx>
          <w:tblCellMar>
            <w:top w:w="0" w:type="dxa"/>
            <w:bottom w:w="0" w:type="dxa"/>
          </w:tblCellMar>
        </w:tblPrEx>
        <w:tc>
          <w:tcPr>
            <w:tcW w:w="1354" w:type="dxa"/>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1998</w:t>
            </w:r>
          </w:p>
        </w:tc>
        <w:tc>
          <w:tcPr>
            <w:tcW w:w="1786" w:type="dxa"/>
          </w:tcPr>
          <w:p w:rsidR="00000000" w:rsidRDefault="00000000">
            <w:pPr>
              <w:tabs>
                <w:tab w:val="decimal" w:pos="830"/>
              </w:tabs>
              <w:autoSpaceDE w:val="0"/>
              <w:autoSpaceDN w:val="0"/>
              <w:adjustRightInd w:val="0"/>
              <w:spacing w:before="60" w:after="60"/>
              <w:rPr>
                <w:color w:val="000000"/>
                <w:sz w:val="20"/>
                <w:szCs w:val="22"/>
                <w:lang w:val="fr-FR"/>
              </w:rPr>
            </w:pPr>
            <w:r>
              <w:rPr>
                <w:color w:val="000000"/>
                <w:sz w:val="20"/>
                <w:szCs w:val="22"/>
                <w:lang w:val="fr-FR"/>
              </w:rPr>
              <w:t xml:space="preserve">241,04 </w:t>
            </w:r>
          </w:p>
        </w:tc>
        <w:tc>
          <w:tcPr>
            <w:tcW w:w="1764" w:type="dxa"/>
          </w:tcPr>
          <w:p w:rsidR="00000000" w:rsidRDefault="00000000">
            <w:pPr>
              <w:tabs>
                <w:tab w:val="decimal" w:pos="830"/>
              </w:tabs>
              <w:autoSpaceDE w:val="0"/>
              <w:autoSpaceDN w:val="0"/>
              <w:adjustRightInd w:val="0"/>
              <w:spacing w:before="60" w:after="60"/>
              <w:rPr>
                <w:color w:val="000000"/>
                <w:sz w:val="20"/>
                <w:szCs w:val="22"/>
                <w:lang w:val="fr-FR"/>
              </w:rPr>
            </w:pPr>
            <w:r>
              <w:rPr>
                <w:color w:val="000000"/>
                <w:sz w:val="20"/>
                <w:szCs w:val="22"/>
                <w:lang w:val="fr-FR"/>
              </w:rPr>
              <w:t xml:space="preserve">0,4 </w:t>
            </w:r>
          </w:p>
        </w:tc>
        <w:tc>
          <w:tcPr>
            <w:tcW w:w="1726" w:type="dxa"/>
          </w:tcPr>
          <w:p w:rsidR="00000000" w:rsidRDefault="00000000">
            <w:pPr>
              <w:autoSpaceDE w:val="0"/>
              <w:autoSpaceDN w:val="0"/>
              <w:adjustRightInd w:val="0"/>
              <w:spacing w:before="60" w:after="60"/>
              <w:ind w:right="567"/>
              <w:jc w:val="right"/>
              <w:rPr>
                <w:color w:val="000000"/>
                <w:sz w:val="20"/>
                <w:szCs w:val="22"/>
                <w:lang w:val="fr-FR"/>
              </w:rPr>
            </w:pPr>
            <w:r>
              <w:rPr>
                <w:color w:val="000000"/>
                <w:sz w:val="20"/>
                <w:szCs w:val="22"/>
                <w:lang w:val="fr-FR"/>
              </w:rPr>
              <w:t xml:space="preserve">6 825 </w:t>
            </w:r>
          </w:p>
        </w:tc>
        <w:tc>
          <w:tcPr>
            <w:tcW w:w="1534" w:type="dxa"/>
          </w:tcPr>
          <w:p w:rsidR="00000000" w:rsidRDefault="00000000">
            <w:pPr>
              <w:tabs>
                <w:tab w:val="decimal" w:pos="733"/>
              </w:tabs>
              <w:autoSpaceDE w:val="0"/>
              <w:autoSpaceDN w:val="0"/>
              <w:adjustRightInd w:val="0"/>
              <w:spacing w:before="60" w:after="60"/>
              <w:rPr>
                <w:color w:val="000000"/>
                <w:sz w:val="20"/>
                <w:szCs w:val="22"/>
                <w:lang w:val="fr-FR"/>
              </w:rPr>
            </w:pPr>
            <w:r>
              <w:rPr>
                <w:color w:val="000000"/>
                <w:sz w:val="20"/>
                <w:szCs w:val="22"/>
                <w:lang w:val="fr-FR"/>
              </w:rPr>
              <w:t xml:space="preserve">11,5  </w:t>
            </w:r>
          </w:p>
        </w:tc>
      </w:tr>
      <w:tr w:rsidR="00000000">
        <w:tblPrEx>
          <w:tblCellMar>
            <w:top w:w="0" w:type="dxa"/>
            <w:bottom w:w="0" w:type="dxa"/>
          </w:tblCellMar>
        </w:tblPrEx>
        <w:tc>
          <w:tcPr>
            <w:tcW w:w="1354" w:type="dxa"/>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1999</w:t>
            </w:r>
          </w:p>
        </w:tc>
        <w:tc>
          <w:tcPr>
            <w:tcW w:w="1786" w:type="dxa"/>
          </w:tcPr>
          <w:p w:rsidR="00000000" w:rsidRDefault="00000000">
            <w:pPr>
              <w:tabs>
                <w:tab w:val="decimal" w:pos="830"/>
              </w:tabs>
              <w:autoSpaceDE w:val="0"/>
              <w:autoSpaceDN w:val="0"/>
              <w:adjustRightInd w:val="0"/>
              <w:spacing w:before="60" w:after="60"/>
              <w:rPr>
                <w:color w:val="000000"/>
                <w:sz w:val="20"/>
                <w:szCs w:val="22"/>
                <w:lang w:val="fr-FR"/>
              </w:rPr>
            </w:pPr>
            <w:r>
              <w:rPr>
                <w:color w:val="000000"/>
                <w:sz w:val="20"/>
                <w:szCs w:val="22"/>
                <w:lang w:val="fr-FR"/>
              </w:rPr>
              <w:t xml:space="preserve">367 </w:t>
            </w:r>
          </w:p>
        </w:tc>
        <w:tc>
          <w:tcPr>
            <w:tcW w:w="1764" w:type="dxa"/>
          </w:tcPr>
          <w:p w:rsidR="00000000" w:rsidRDefault="00000000">
            <w:pPr>
              <w:tabs>
                <w:tab w:val="decimal" w:pos="830"/>
              </w:tabs>
              <w:autoSpaceDE w:val="0"/>
              <w:autoSpaceDN w:val="0"/>
              <w:adjustRightInd w:val="0"/>
              <w:spacing w:before="60" w:after="60"/>
              <w:rPr>
                <w:color w:val="000000"/>
                <w:sz w:val="20"/>
                <w:szCs w:val="22"/>
                <w:lang w:val="fr-FR"/>
              </w:rPr>
            </w:pPr>
            <w:r>
              <w:rPr>
                <w:color w:val="000000"/>
                <w:sz w:val="20"/>
                <w:szCs w:val="22"/>
                <w:lang w:val="fr-FR"/>
              </w:rPr>
              <w:t xml:space="preserve">-7,3 </w:t>
            </w:r>
          </w:p>
        </w:tc>
        <w:tc>
          <w:tcPr>
            <w:tcW w:w="1726" w:type="dxa"/>
          </w:tcPr>
          <w:p w:rsidR="00000000" w:rsidRDefault="00000000">
            <w:pPr>
              <w:autoSpaceDE w:val="0"/>
              <w:autoSpaceDN w:val="0"/>
              <w:adjustRightInd w:val="0"/>
              <w:spacing w:before="60" w:after="60"/>
              <w:ind w:right="567"/>
              <w:jc w:val="right"/>
              <w:rPr>
                <w:color w:val="000000"/>
                <w:sz w:val="20"/>
                <w:szCs w:val="22"/>
                <w:lang w:val="fr-FR"/>
              </w:rPr>
            </w:pPr>
            <w:r>
              <w:rPr>
                <w:color w:val="000000"/>
                <w:sz w:val="20"/>
                <w:szCs w:val="22"/>
                <w:lang w:val="fr-FR"/>
              </w:rPr>
              <w:t xml:space="preserve">20 243 </w:t>
            </w:r>
          </w:p>
        </w:tc>
        <w:tc>
          <w:tcPr>
            <w:tcW w:w="1534" w:type="dxa"/>
          </w:tcPr>
          <w:p w:rsidR="00000000" w:rsidRDefault="00000000">
            <w:pPr>
              <w:tabs>
                <w:tab w:val="decimal" w:pos="733"/>
              </w:tabs>
              <w:autoSpaceDE w:val="0"/>
              <w:autoSpaceDN w:val="0"/>
              <w:adjustRightInd w:val="0"/>
              <w:spacing w:before="60" w:after="60"/>
              <w:rPr>
                <w:color w:val="000000"/>
                <w:sz w:val="20"/>
                <w:szCs w:val="22"/>
                <w:lang w:val="fr-FR"/>
              </w:rPr>
            </w:pPr>
            <w:r>
              <w:rPr>
                <w:color w:val="000000"/>
                <w:sz w:val="20"/>
                <w:szCs w:val="22"/>
                <w:lang w:val="fr-FR"/>
              </w:rPr>
              <w:t xml:space="preserve">14,4  </w:t>
            </w:r>
          </w:p>
        </w:tc>
      </w:tr>
      <w:tr w:rsidR="00000000">
        <w:tblPrEx>
          <w:tblCellMar>
            <w:top w:w="0" w:type="dxa"/>
            <w:bottom w:w="0" w:type="dxa"/>
          </w:tblCellMar>
        </w:tblPrEx>
        <w:tc>
          <w:tcPr>
            <w:tcW w:w="1354" w:type="dxa"/>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2000</w:t>
            </w:r>
          </w:p>
        </w:tc>
        <w:tc>
          <w:tcPr>
            <w:tcW w:w="1786" w:type="dxa"/>
          </w:tcPr>
          <w:p w:rsidR="00000000" w:rsidRDefault="00000000">
            <w:pPr>
              <w:tabs>
                <w:tab w:val="decimal" w:pos="830"/>
              </w:tabs>
              <w:autoSpaceDE w:val="0"/>
              <w:autoSpaceDN w:val="0"/>
              <w:adjustRightInd w:val="0"/>
              <w:spacing w:before="60" w:after="60"/>
              <w:rPr>
                <w:color w:val="000000"/>
                <w:sz w:val="20"/>
                <w:szCs w:val="22"/>
                <w:lang w:val="fr-FR"/>
              </w:rPr>
            </w:pPr>
          </w:p>
        </w:tc>
        <w:tc>
          <w:tcPr>
            <w:tcW w:w="1764" w:type="dxa"/>
          </w:tcPr>
          <w:p w:rsidR="00000000" w:rsidRDefault="00000000">
            <w:pPr>
              <w:tabs>
                <w:tab w:val="decimal" w:pos="830"/>
              </w:tabs>
              <w:autoSpaceDE w:val="0"/>
              <w:autoSpaceDN w:val="0"/>
              <w:adjustRightInd w:val="0"/>
              <w:spacing w:before="60" w:after="60"/>
              <w:rPr>
                <w:color w:val="000000"/>
                <w:sz w:val="20"/>
                <w:szCs w:val="22"/>
                <w:lang w:val="fr-FR"/>
              </w:rPr>
            </w:pPr>
            <w:r>
              <w:rPr>
                <w:color w:val="000000"/>
                <w:sz w:val="20"/>
                <w:szCs w:val="22"/>
                <w:lang w:val="fr-FR"/>
              </w:rPr>
              <w:t xml:space="preserve">4,8 </w:t>
            </w:r>
          </w:p>
        </w:tc>
        <w:tc>
          <w:tcPr>
            <w:tcW w:w="1726" w:type="dxa"/>
          </w:tcPr>
          <w:p w:rsidR="00000000" w:rsidRDefault="00000000">
            <w:pPr>
              <w:autoSpaceDE w:val="0"/>
              <w:autoSpaceDN w:val="0"/>
              <w:adjustRightInd w:val="0"/>
              <w:spacing w:before="60" w:after="60"/>
              <w:ind w:right="567"/>
              <w:jc w:val="right"/>
              <w:rPr>
                <w:color w:val="000000"/>
                <w:sz w:val="20"/>
                <w:szCs w:val="22"/>
                <w:lang w:val="fr-FR"/>
              </w:rPr>
            </w:pPr>
            <w:r>
              <w:rPr>
                <w:color w:val="000000"/>
                <w:sz w:val="20"/>
                <w:szCs w:val="22"/>
                <w:lang w:val="fr-FR"/>
              </w:rPr>
              <w:t xml:space="preserve">25 000 </w:t>
            </w:r>
          </w:p>
        </w:tc>
        <w:tc>
          <w:tcPr>
            <w:tcW w:w="1534" w:type="dxa"/>
          </w:tcPr>
          <w:p w:rsidR="00000000" w:rsidRDefault="00000000">
            <w:pPr>
              <w:tabs>
                <w:tab w:val="decimal" w:pos="733"/>
              </w:tabs>
              <w:autoSpaceDE w:val="0"/>
              <w:autoSpaceDN w:val="0"/>
              <w:adjustRightInd w:val="0"/>
              <w:spacing w:before="60" w:after="60"/>
              <w:rPr>
                <w:color w:val="000000"/>
                <w:sz w:val="20"/>
                <w:szCs w:val="22"/>
                <w:lang w:val="fr-FR"/>
              </w:rPr>
            </w:pPr>
            <w:r>
              <w:rPr>
                <w:color w:val="000000"/>
                <w:sz w:val="20"/>
                <w:szCs w:val="22"/>
                <w:lang w:val="fr-FR"/>
              </w:rPr>
              <w:t xml:space="preserve">17,0  </w:t>
            </w:r>
          </w:p>
        </w:tc>
      </w:tr>
      <w:tr w:rsidR="00000000">
        <w:tblPrEx>
          <w:tblCellMar>
            <w:top w:w="0" w:type="dxa"/>
            <w:bottom w:w="0" w:type="dxa"/>
          </w:tblCellMar>
        </w:tblPrEx>
        <w:tc>
          <w:tcPr>
            <w:tcW w:w="1354" w:type="dxa"/>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2002</w:t>
            </w:r>
          </w:p>
        </w:tc>
        <w:tc>
          <w:tcPr>
            <w:tcW w:w="1786" w:type="dxa"/>
          </w:tcPr>
          <w:p w:rsidR="00000000" w:rsidRDefault="00000000">
            <w:pPr>
              <w:tabs>
                <w:tab w:val="decimal" w:pos="830"/>
              </w:tabs>
              <w:autoSpaceDE w:val="0"/>
              <w:autoSpaceDN w:val="0"/>
              <w:adjustRightInd w:val="0"/>
              <w:spacing w:before="60" w:after="60"/>
              <w:rPr>
                <w:color w:val="000000"/>
                <w:sz w:val="20"/>
                <w:szCs w:val="22"/>
                <w:lang w:val="fr-FR"/>
              </w:rPr>
            </w:pPr>
          </w:p>
        </w:tc>
        <w:tc>
          <w:tcPr>
            <w:tcW w:w="1764" w:type="dxa"/>
          </w:tcPr>
          <w:p w:rsidR="00000000" w:rsidRDefault="00000000">
            <w:pPr>
              <w:tabs>
                <w:tab w:val="decimal" w:pos="830"/>
              </w:tabs>
              <w:autoSpaceDE w:val="0"/>
              <w:autoSpaceDN w:val="0"/>
              <w:adjustRightInd w:val="0"/>
              <w:spacing w:before="60" w:after="60"/>
              <w:rPr>
                <w:color w:val="000000"/>
                <w:sz w:val="20"/>
                <w:szCs w:val="22"/>
                <w:lang w:val="fr-FR"/>
              </w:rPr>
            </w:pPr>
            <w:r>
              <w:rPr>
                <w:color w:val="000000"/>
                <w:sz w:val="20"/>
                <w:szCs w:val="22"/>
                <w:lang w:val="fr-FR"/>
              </w:rPr>
              <w:t xml:space="preserve">3,5 </w:t>
            </w:r>
          </w:p>
        </w:tc>
        <w:tc>
          <w:tcPr>
            <w:tcW w:w="1726" w:type="dxa"/>
          </w:tcPr>
          <w:p w:rsidR="00000000" w:rsidRDefault="00000000">
            <w:pPr>
              <w:autoSpaceDE w:val="0"/>
              <w:autoSpaceDN w:val="0"/>
              <w:adjustRightInd w:val="0"/>
              <w:spacing w:before="60" w:after="60"/>
              <w:ind w:right="567"/>
              <w:jc w:val="right"/>
              <w:rPr>
                <w:color w:val="000000"/>
                <w:sz w:val="20"/>
                <w:szCs w:val="22"/>
                <w:lang w:val="fr-FR"/>
              </w:rPr>
            </w:pPr>
            <w:r>
              <w:rPr>
                <w:color w:val="000000"/>
                <w:sz w:val="20"/>
                <w:szCs w:val="22"/>
                <w:lang w:val="fr-FR"/>
              </w:rPr>
              <w:t xml:space="preserve">25 000 </w:t>
            </w:r>
          </w:p>
        </w:tc>
        <w:tc>
          <w:tcPr>
            <w:tcW w:w="1534" w:type="dxa"/>
          </w:tcPr>
          <w:p w:rsidR="00000000" w:rsidRDefault="00000000">
            <w:pPr>
              <w:tabs>
                <w:tab w:val="decimal" w:pos="733"/>
              </w:tabs>
              <w:autoSpaceDE w:val="0"/>
              <w:autoSpaceDN w:val="0"/>
              <w:adjustRightInd w:val="0"/>
              <w:spacing w:before="60" w:after="60"/>
              <w:rPr>
                <w:color w:val="000000"/>
                <w:sz w:val="20"/>
                <w:szCs w:val="22"/>
                <w:lang w:val="fr-FR"/>
              </w:rPr>
            </w:pPr>
            <w:r>
              <w:rPr>
                <w:color w:val="000000"/>
                <w:sz w:val="20"/>
                <w:szCs w:val="22"/>
                <w:lang w:val="fr-FR"/>
              </w:rPr>
              <w:t xml:space="preserve">8,4  </w:t>
            </w:r>
          </w:p>
        </w:tc>
      </w:tr>
    </w:tbl>
    <w:p w:rsidR="00000000" w:rsidRDefault="00000000">
      <w:pPr>
        <w:autoSpaceDE w:val="0"/>
        <w:autoSpaceDN w:val="0"/>
        <w:adjustRightInd w:val="0"/>
        <w:spacing w:before="80" w:after="80"/>
        <w:ind w:left="567"/>
        <w:rPr>
          <w:i/>
          <w:iCs/>
          <w:color w:val="000000"/>
          <w:sz w:val="20"/>
          <w:szCs w:val="22"/>
          <w:lang w:val="fr-FR"/>
        </w:rPr>
      </w:pPr>
      <w:r>
        <w:rPr>
          <w:i/>
          <w:iCs/>
          <w:color w:val="000000"/>
          <w:sz w:val="20"/>
          <w:szCs w:val="22"/>
          <w:lang w:val="fr-FR"/>
        </w:rPr>
        <w:t xml:space="preserve">Source :  Bulletin statistique de la Banque centrale.  </w:t>
      </w:r>
    </w:p>
    <w:p w:rsidR="00000000" w:rsidRDefault="00000000">
      <w:pPr>
        <w:autoSpaceDE w:val="0"/>
        <w:autoSpaceDN w:val="0"/>
        <w:adjustRightInd w:val="0"/>
        <w:spacing w:after="80"/>
        <w:ind w:left="567"/>
        <w:rPr>
          <w:color w:val="000000"/>
          <w:sz w:val="20"/>
          <w:szCs w:val="22"/>
          <w:lang w:val="fr-FR"/>
        </w:rPr>
      </w:pPr>
      <w:r>
        <w:rPr>
          <w:color w:val="000000"/>
          <w:sz w:val="20"/>
          <w:szCs w:val="22"/>
          <w:lang w:val="fr-FR"/>
        </w:rPr>
        <w:t xml:space="preserve">* Cours de vente de fin de période.  </w:t>
      </w:r>
    </w:p>
    <w:p w:rsidR="00000000" w:rsidRDefault="00000000">
      <w:pPr>
        <w:spacing w:after="240"/>
        <w:ind w:left="567"/>
        <w:rPr>
          <w:color w:val="000000"/>
          <w:sz w:val="20"/>
          <w:szCs w:val="22"/>
          <w:lang w:val="fr-FR"/>
        </w:rPr>
      </w:pPr>
      <w:r>
        <w:rPr>
          <w:color w:val="000000"/>
          <w:sz w:val="20"/>
          <w:szCs w:val="22"/>
          <w:lang w:val="fr-FR"/>
        </w:rPr>
        <w:t xml:space="preserve">** INEC.  </w:t>
      </w:r>
    </w:p>
    <w:p w:rsidR="00000000" w:rsidRDefault="00000000">
      <w:pPr>
        <w:spacing w:after="240"/>
        <w:rPr>
          <w:color w:val="000000"/>
          <w:lang w:val="fr-FR"/>
        </w:rPr>
      </w:pPr>
      <w:r>
        <w:rPr>
          <w:color w:val="000000"/>
          <w:lang w:val="fr-FR"/>
        </w:rPr>
        <w:t>281.</w:t>
      </w:r>
      <w:r>
        <w:rPr>
          <w:color w:val="000000"/>
          <w:lang w:val="fr-FR"/>
        </w:rPr>
        <w:tab/>
        <w:t>La pauvreté a atteint des niveaux critiques en 1999 en raison de la récession frappant le pays.  Le nombre de nouveaux pauvres a augmenté du fait, principalement, que les personnes qui disposaient de revenus suffisants pour satisfaire leurs besoins essentiels, n'en avaient plus les moyens par suite de la dégradation récente de leurs revenus.  Les chiffres officiels de l'INEC montrent que le taux de chômage au plan national est passé de 11,5 % en 1998 à 14,4 % en 1999.  En chiffres absolus, on recense 543 452 chômeurs dans les zones urbaines de l'Équateur.  Le chômage s'est envolé an 2000 pour atteindre 17 % avant de baisser de moitié l'année suivante, grâce essentiellement au phénomène migratoire.</w:t>
      </w:r>
    </w:p>
    <w:p w:rsidR="00000000" w:rsidRDefault="00000000">
      <w:pPr>
        <w:spacing w:after="240"/>
        <w:rPr>
          <w:color w:val="000000"/>
          <w:lang w:val="fr-FR"/>
        </w:rPr>
      </w:pPr>
      <w:r>
        <w:rPr>
          <w:color w:val="000000"/>
          <w:lang w:val="fr-FR"/>
        </w:rPr>
        <w:t>282.</w:t>
      </w:r>
      <w:r>
        <w:rPr>
          <w:color w:val="000000"/>
          <w:lang w:val="fr-FR"/>
        </w:rPr>
        <w:tab/>
        <w:t xml:space="preserve">La situation de la pauvreté en Équateur s’est sérieusement aggravée au cours des dernières années.  En 1997, 51,7 % des foyers les plus pauvres se partageaient à peine 20 % du revenu global; en 1998, ce pourcentage a atteint 55,5 % et s'est maintenu à ce même niveau en 1999.  </w:t>
      </w:r>
      <w:r>
        <w:rPr>
          <w:color w:val="000000"/>
          <w:lang w:val="fr-FR"/>
        </w:rPr>
        <w:br/>
        <w:t>Ce qui veut dire que les pauvres ne cessent de s'appauvrir</w:t>
      </w:r>
      <w:r>
        <w:rPr>
          <w:rStyle w:val="FootnoteReference"/>
          <w:b/>
          <w:color w:val="000000"/>
          <w:lang w:val="fr-FR"/>
        </w:rPr>
        <w:footnoteReference w:id="32"/>
      </w:r>
      <w:r>
        <w:rPr>
          <w:color w:val="000000"/>
          <w:lang w:val="fr-FR"/>
        </w:rPr>
        <w:t>.</w:t>
      </w:r>
    </w:p>
    <w:p w:rsidR="00000000" w:rsidRDefault="00000000">
      <w:pPr>
        <w:pStyle w:val="BodyText"/>
        <w:spacing w:after="240"/>
        <w:jc w:val="left"/>
        <w:rPr>
          <w:color w:val="000000"/>
          <w:u w:val="none"/>
          <w:lang w:val="fr-FR"/>
        </w:rPr>
      </w:pPr>
      <w:r>
        <w:rPr>
          <w:u w:val="none"/>
          <w:lang w:val="fr-FR"/>
        </w:rPr>
        <w:t>283.</w:t>
      </w:r>
      <w:r>
        <w:rPr>
          <w:u w:val="none"/>
          <w:lang w:val="fr-FR"/>
        </w:rPr>
        <w:tab/>
        <w:t>Selon une étude réalisée par la société d'études COPRES de CEDATOS, "le principal problème auquel est confrontée la population est la pauvreté.  Le manque d'emplois est la principale cause de pauvreté; en octobre 1999, le chômage total se situait à 18,3 %, avec un taux de sous-emploi de 54,2 %.  Le pourcentage de la population économiquement active occupée à plein temps serait donc de 27,5 %, soit un total de 297 264 personnes.  Le chômage affecte davantage les femmes (21,1 %) que les hommes (16,5 %)"</w:t>
      </w:r>
      <w:r>
        <w:rPr>
          <w:rStyle w:val="FootnoteReference"/>
          <w:b/>
          <w:u w:val="none"/>
          <w:lang w:val="fr-FR"/>
        </w:rPr>
        <w:footnoteReference w:id="33"/>
      </w:r>
      <w:r>
        <w:rPr>
          <w:u w:val="none"/>
          <w:lang w:val="fr-FR"/>
        </w:rPr>
        <w:t>.</w:t>
      </w:r>
    </w:p>
    <w:p w:rsidR="00000000" w:rsidRDefault="00000000">
      <w:pPr>
        <w:spacing w:after="240"/>
        <w:rPr>
          <w:color w:val="000000"/>
          <w:lang w:val="fr-FR"/>
        </w:rPr>
      </w:pPr>
      <w:r>
        <w:rPr>
          <w:color w:val="000000"/>
          <w:lang w:val="fr-FR"/>
        </w:rPr>
        <w:t>284.</w:t>
      </w:r>
      <w:r>
        <w:rPr>
          <w:color w:val="000000"/>
          <w:lang w:val="fr-FR"/>
        </w:rPr>
        <w:tab/>
        <w:t>L’évaluation de la pauvreté est fondée sur la "méthode indirecte", consistant à établir un seuil de pauvreté qui est fonction des revenus minimums requis pour acheter un panier prédéfini de biens et de services correspondant aux besoins essentiels de la famille.  Le coût du panier constitue la limite en deçà de laquelle il y a pauvreté</w:t>
      </w:r>
      <w:r>
        <w:rPr>
          <w:rStyle w:val="FootnoteReference"/>
          <w:b/>
          <w:color w:val="000000"/>
          <w:lang w:val="fr-FR"/>
        </w:rPr>
        <w:footnoteReference w:id="34"/>
      </w:r>
      <w:r>
        <w:rPr>
          <w:color w:val="000000"/>
          <w:lang w:val="fr-FR"/>
        </w:rPr>
        <w:t>.  L’évolution du coût du panier de base déterminée par l'INEC est indiquée ci-après :</w:t>
      </w:r>
    </w:p>
    <w:p w:rsidR="00000000" w:rsidRDefault="00000000">
      <w:pPr>
        <w:spacing w:after="240"/>
        <w:rPr>
          <w:color w:val="000000"/>
          <w:lang w:val="fr-FR"/>
        </w:rPr>
      </w:pPr>
    </w:p>
    <w:tbl>
      <w:tblPr>
        <w:tblW w:w="8505"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127"/>
        <w:gridCol w:w="2126"/>
        <w:gridCol w:w="2126"/>
        <w:gridCol w:w="2126"/>
      </w:tblGrid>
      <w:tr w:rsidR="00000000">
        <w:tblPrEx>
          <w:tblCellMar>
            <w:top w:w="0" w:type="dxa"/>
            <w:bottom w:w="0" w:type="dxa"/>
          </w:tblCellMar>
        </w:tblPrEx>
        <w:trPr>
          <w:jc w:val="center"/>
        </w:trPr>
        <w:tc>
          <w:tcPr>
            <w:tcW w:w="3626" w:type="dxa"/>
            <w:gridSpan w:val="2"/>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Coût du panier de base</w:t>
            </w:r>
          </w:p>
        </w:tc>
        <w:tc>
          <w:tcPr>
            <w:tcW w:w="3626" w:type="dxa"/>
            <w:gridSpan w:val="2"/>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Coût du panier de pauvreté</w:t>
            </w:r>
          </w:p>
        </w:tc>
      </w:tr>
      <w:tr w:rsidR="00000000">
        <w:tblPrEx>
          <w:tblCellMar>
            <w:top w:w="0" w:type="dxa"/>
            <w:bottom w:w="0" w:type="dxa"/>
          </w:tblCellMar>
        </w:tblPrEx>
        <w:trPr>
          <w:jc w:val="center"/>
        </w:trPr>
        <w:tc>
          <w:tcPr>
            <w:tcW w:w="1813"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1999</w:t>
            </w:r>
          </w:p>
        </w:tc>
        <w:tc>
          <w:tcPr>
            <w:tcW w:w="1813"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Sucres</w:t>
            </w:r>
          </w:p>
        </w:tc>
        <w:tc>
          <w:tcPr>
            <w:tcW w:w="1813"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Sucres</w:t>
            </w:r>
          </w:p>
        </w:tc>
        <w:tc>
          <w:tcPr>
            <w:tcW w:w="1813"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Dollars E.U.  2002</w:t>
            </w:r>
          </w:p>
        </w:tc>
      </w:tr>
      <w:tr w:rsidR="00000000">
        <w:tblPrEx>
          <w:tblCellMar>
            <w:top w:w="0" w:type="dxa"/>
            <w:bottom w:w="0" w:type="dxa"/>
          </w:tblCellMar>
        </w:tblPrEx>
        <w:trPr>
          <w:jc w:val="center"/>
        </w:trPr>
        <w:tc>
          <w:tcPr>
            <w:tcW w:w="1813" w:type="dxa"/>
            <w:tcBorders>
              <w:top w:val="single" w:sz="4" w:space="0" w:color="auto"/>
            </w:tcBorders>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Janvier </w:t>
            </w:r>
          </w:p>
        </w:tc>
        <w:tc>
          <w:tcPr>
            <w:tcW w:w="1813" w:type="dxa"/>
            <w:tcBorders>
              <w:top w:val="single" w:sz="4" w:space="0" w:color="auto"/>
            </w:tcBorders>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2 512 250 </w:t>
            </w:r>
          </w:p>
        </w:tc>
        <w:tc>
          <w:tcPr>
            <w:tcW w:w="1813" w:type="dxa"/>
            <w:tcBorders>
              <w:top w:val="single" w:sz="4" w:space="0" w:color="auto"/>
            </w:tcBorders>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1 140 969 </w:t>
            </w:r>
          </w:p>
        </w:tc>
        <w:tc>
          <w:tcPr>
            <w:tcW w:w="1813" w:type="dxa"/>
            <w:tcBorders>
              <w:top w:val="single" w:sz="4" w:space="0" w:color="auto"/>
            </w:tcBorders>
          </w:tcPr>
          <w:p w:rsidR="00000000" w:rsidRDefault="00000000">
            <w:pPr>
              <w:tabs>
                <w:tab w:val="decimal" w:pos="837"/>
              </w:tabs>
              <w:autoSpaceDE w:val="0"/>
              <w:autoSpaceDN w:val="0"/>
              <w:adjustRightInd w:val="0"/>
              <w:spacing w:before="40" w:after="40"/>
              <w:rPr>
                <w:color w:val="000000"/>
                <w:sz w:val="20"/>
                <w:szCs w:val="22"/>
                <w:lang w:val="fr-FR"/>
              </w:rPr>
            </w:pPr>
            <w:r>
              <w:rPr>
                <w:color w:val="000000"/>
                <w:sz w:val="20"/>
                <w:szCs w:val="22"/>
                <w:lang w:val="fr-FR"/>
              </w:rPr>
              <w:t xml:space="preserve">242,91  </w:t>
            </w:r>
          </w:p>
        </w:tc>
      </w:tr>
      <w:tr w:rsidR="00000000">
        <w:tblPrEx>
          <w:tblCellMar>
            <w:top w:w="0" w:type="dxa"/>
            <w:bottom w:w="0" w:type="dxa"/>
          </w:tblCellMar>
        </w:tblPrEx>
        <w:trPr>
          <w:jc w:val="center"/>
        </w:trPr>
        <w:tc>
          <w:tcPr>
            <w:tcW w:w="181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Février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2 603 742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1 176 697 </w:t>
            </w:r>
          </w:p>
        </w:tc>
        <w:tc>
          <w:tcPr>
            <w:tcW w:w="1813" w:type="dxa"/>
          </w:tcPr>
          <w:p w:rsidR="00000000" w:rsidRDefault="00000000">
            <w:pPr>
              <w:tabs>
                <w:tab w:val="decimal" w:pos="837"/>
              </w:tabs>
              <w:autoSpaceDE w:val="0"/>
              <w:autoSpaceDN w:val="0"/>
              <w:adjustRightInd w:val="0"/>
              <w:spacing w:before="40" w:after="40"/>
              <w:rPr>
                <w:color w:val="000000"/>
                <w:sz w:val="20"/>
                <w:szCs w:val="22"/>
                <w:lang w:val="fr-FR"/>
              </w:rPr>
            </w:pPr>
            <w:r>
              <w:rPr>
                <w:color w:val="000000"/>
                <w:sz w:val="20"/>
                <w:szCs w:val="22"/>
                <w:lang w:val="fr-FR"/>
              </w:rPr>
              <w:t xml:space="preserve">245,43  </w:t>
            </w:r>
          </w:p>
        </w:tc>
      </w:tr>
      <w:tr w:rsidR="00000000">
        <w:tblPrEx>
          <w:tblCellMar>
            <w:top w:w="0" w:type="dxa"/>
            <w:bottom w:w="0" w:type="dxa"/>
          </w:tblCellMar>
        </w:tblPrEx>
        <w:trPr>
          <w:jc w:val="center"/>
        </w:trPr>
        <w:tc>
          <w:tcPr>
            <w:tcW w:w="181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Mars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2 875 117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1 293 050 </w:t>
            </w:r>
          </w:p>
        </w:tc>
        <w:tc>
          <w:tcPr>
            <w:tcW w:w="1813" w:type="dxa"/>
          </w:tcPr>
          <w:p w:rsidR="00000000" w:rsidRDefault="00000000">
            <w:pPr>
              <w:tabs>
                <w:tab w:val="decimal" w:pos="837"/>
              </w:tabs>
              <w:autoSpaceDE w:val="0"/>
              <w:autoSpaceDN w:val="0"/>
              <w:adjustRightInd w:val="0"/>
              <w:spacing w:before="40" w:after="40"/>
              <w:rPr>
                <w:color w:val="000000"/>
                <w:sz w:val="20"/>
                <w:szCs w:val="22"/>
                <w:lang w:val="fr-FR"/>
              </w:rPr>
            </w:pPr>
            <w:r>
              <w:rPr>
                <w:color w:val="000000"/>
                <w:sz w:val="20"/>
                <w:szCs w:val="22"/>
                <w:lang w:val="fr-FR"/>
              </w:rPr>
              <w:t xml:space="preserve">248,38  </w:t>
            </w:r>
          </w:p>
        </w:tc>
      </w:tr>
      <w:tr w:rsidR="00000000">
        <w:tblPrEx>
          <w:tblCellMar>
            <w:top w:w="0" w:type="dxa"/>
            <w:bottom w:w="0" w:type="dxa"/>
          </w:tblCellMar>
        </w:tblPrEx>
        <w:trPr>
          <w:jc w:val="center"/>
        </w:trPr>
        <w:tc>
          <w:tcPr>
            <w:tcW w:w="181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Avril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3 122 004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1 386 524 </w:t>
            </w:r>
          </w:p>
        </w:tc>
        <w:tc>
          <w:tcPr>
            <w:tcW w:w="1813" w:type="dxa"/>
          </w:tcPr>
          <w:p w:rsidR="00000000" w:rsidRDefault="00000000">
            <w:pPr>
              <w:tabs>
                <w:tab w:val="decimal" w:pos="837"/>
              </w:tabs>
              <w:autoSpaceDE w:val="0"/>
              <w:autoSpaceDN w:val="0"/>
              <w:adjustRightInd w:val="0"/>
              <w:spacing w:before="40" w:after="40"/>
              <w:rPr>
                <w:color w:val="000000"/>
                <w:sz w:val="20"/>
                <w:szCs w:val="22"/>
                <w:lang w:val="fr-FR"/>
              </w:rPr>
            </w:pPr>
            <w:r>
              <w:rPr>
                <w:color w:val="000000"/>
                <w:sz w:val="20"/>
                <w:szCs w:val="22"/>
                <w:lang w:val="fr-FR"/>
              </w:rPr>
              <w:t xml:space="preserve">250,99  </w:t>
            </w:r>
          </w:p>
        </w:tc>
      </w:tr>
      <w:tr w:rsidR="00000000">
        <w:tblPrEx>
          <w:tblCellMar>
            <w:top w:w="0" w:type="dxa"/>
            <w:bottom w:w="0" w:type="dxa"/>
          </w:tblCellMar>
        </w:tblPrEx>
        <w:trPr>
          <w:jc w:val="center"/>
        </w:trPr>
        <w:tc>
          <w:tcPr>
            <w:tcW w:w="181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Mai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3 168 974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1 413 659 </w:t>
            </w:r>
          </w:p>
        </w:tc>
        <w:tc>
          <w:tcPr>
            <w:tcW w:w="1813" w:type="dxa"/>
          </w:tcPr>
          <w:p w:rsidR="00000000" w:rsidRDefault="00000000">
            <w:pPr>
              <w:tabs>
                <w:tab w:val="decimal" w:pos="837"/>
              </w:tabs>
              <w:autoSpaceDE w:val="0"/>
              <w:autoSpaceDN w:val="0"/>
              <w:adjustRightInd w:val="0"/>
              <w:spacing w:before="40" w:after="40"/>
              <w:rPr>
                <w:color w:val="000000"/>
                <w:sz w:val="20"/>
                <w:szCs w:val="22"/>
                <w:lang w:val="fr-FR"/>
              </w:rPr>
            </w:pPr>
            <w:r>
              <w:rPr>
                <w:color w:val="000000"/>
                <w:sz w:val="20"/>
                <w:szCs w:val="22"/>
                <w:lang w:val="fr-FR"/>
              </w:rPr>
              <w:t xml:space="preserve">252,71  </w:t>
            </w:r>
          </w:p>
        </w:tc>
      </w:tr>
      <w:tr w:rsidR="00000000">
        <w:tblPrEx>
          <w:tblCellMar>
            <w:top w:w="0" w:type="dxa"/>
            <w:bottom w:w="0" w:type="dxa"/>
          </w:tblCellMar>
        </w:tblPrEx>
        <w:trPr>
          <w:jc w:val="center"/>
        </w:trPr>
        <w:tc>
          <w:tcPr>
            <w:tcW w:w="181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Juin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3 204 801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1 423 280 </w:t>
            </w:r>
          </w:p>
        </w:tc>
        <w:tc>
          <w:tcPr>
            <w:tcW w:w="1813" w:type="dxa"/>
          </w:tcPr>
          <w:p w:rsidR="00000000" w:rsidRDefault="00000000">
            <w:pPr>
              <w:tabs>
                <w:tab w:val="decimal" w:pos="837"/>
              </w:tabs>
              <w:autoSpaceDE w:val="0"/>
              <w:autoSpaceDN w:val="0"/>
              <w:adjustRightInd w:val="0"/>
              <w:spacing w:before="40" w:after="40"/>
              <w:rPr>
                <w:color w:val="000000"/>
                <w:sz w:val="20"/>
                <w:szCs w:val="22"/>
                <w:lang w:val="fr-FR"/>
              </w:rPr>
            </w:pPr>
            <w:r>
              <w:rPr>
                <w:color w:val="000000"/>
                <w:sz w:val="20"/>
                <w:szCs w:val="22"/>
                <w:lang w:val="fr-FR"/>
              </w:rPr>
              <w:t xml:space="preserve">252,79  </w:t>
            </w:r>
          </w:p>
        </w:tc>
      </w:tr>
      <w:tr w:rsidR="00000000">
        <w:tblPrEx>
          <w:tblCellMar>
            <w:top w:w="0" w:type="dxa"/>
            <w:bottom w:w="0" w:type="dxa"/>
          </w:tblCellMar>
        </w:tblPrEx>
        <w:trPr>
          <w:jc w:val="center"/>
        </w:trPr>
        <w:tc>
          <w:tcPr>
            <w:tcW w:w="181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Juillet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3 279 856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1 457 622 </w:t>
            </w:r>
          </w:p>
        </w:tc>
        <w:tc>
          <w:tcPr>
            <w:tcW w:w="1813" w:type="dxa"/>
          </w:tcPr>
          <w:p w:rsidR="00000000" w:rsidRDefault="00000000">
            <w:pPr>
              <w:tabs>
                <w:tab w:val="decimal" w:pos="837"/>
              </w:tabs>
              <w:autoSpaceDE w:val="0"/>
              <w:autoSpaceDN w:val="0"/>
              <w:adjustRightInd w:val="0"/>
              <w:spacing w:before="40" w:after="40"/>
              <w:rPr>
                <w:color w:val="000000"/>
                <w:sz w:val="20"/>
                <w:szCs w:val="22"/>
                <w:lang w:val="fr-FR"/>
              </w:rPr>
            </w:pPr>
            <w:r>
              <w:rPr>
                <w:color w:val="000000"/>
                <w:sz w:val="20"/>
                <w:szCs w:val="22"/>
                <w:lang w:val="fr-FR"/>
              </w:rPr>
              <w:t xml:space="preserve">254,63  </w:t>
            </w:r>
          </w:p>
        </w:tc>
      </w:tr>
      <w:tr w:rsidR="00000000">
        <w:tblPrEx>
          <w:tblCellMar>
            <w:top w:w="0" w:type="dxa"/>
            <w:bottom w:w="0" w:type="dxa"/>
          </w:tblCellMar>
        </w:tblPrEx>
        <w:trPr>
          <w:jc w:val="center"/>
        </w:trPr>
        <w:tc>
          <w:tcPr>
            <w:tcW w:w="181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Août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3 307 825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1 456 104 </w:t>
            </w:r>
          </w:p>
        </w:tc>
        <w:tc>
          <w:tcPr>
            <w:tcW w:w="1813" w:type="dxa"/>
          </w:tcPr>
          <w:p w:rsidR="00000000" w:rsidRDefault="00000000">
            <w:pPr>
              <w:tabs>
                <w:tab w:val="decimal" w:pos="837"/>
              </w:tabs>
              <w:autoSpaceDE w:val="0"/>
              <w:autoSpaceDN w:val="0"/>
              <w:adjustRightInd w:val="0"/>
              <w:spacing w:before="40" w:after="40"/>
              <w:rPr>
                <w:color w:val="000000"/>
                <w:sz w:val="20"/>
                <w:szCs w:val="22"/>
                <w:lang w:val="fr-FR"/>
              </w:rPr>
            </w:pPr>
            <w:r>
              <w:rPr>
                <w:color w:val="000000"/>
                <w:sz w:val="20"/>
                <w:szCs w:val="22"/>
                <w:lang w:val="fr-FR"/>
              </w:rPr>
              <w:t xml:space="preserve">256,54  </w:t>
            </w:r>
          </w:p>
        </w:tc>
      </w:tr>
      <w:tr w:rsidR="00000000">
        <w:tblPrEx>
          <w:tblCellMar>
            <w:top w:w="0" w:type="dxa"/>
            <w:bottom w:w="0" w:type="dxa"/>
          </w:tblCellMar>
        </w:tblPrEx>
        <w:trPr>
          <w:jc w:val="center"/>
        </w:trPr>
        <w:tc>
          <w:tcPr>
            <w:tcW w:w="181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Septembre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3 360 077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1 472 150 </w:t>
            </w:r>
          </w:p>
        </w:tc>
        <w:tc>
          <w:tcPr>
            <w:tcW w:w="1813" w:type="dxa"/>
          </w:tcPr>
          <w:p w:rsidR="00000000" w:rsidRDefault="00000000">
            <w:pPr>
              <w:tabs>
                <w:tab w:val="decimal" w:pos="837"/>
              </w:tabs>
              <w:autoSpaceDE w:val="0"/>
              <w:autoSpaceDN w:val="0"/>
              <w:adjustRightInd w:val="0"/>
              <w:spacing w:before="40" w:after="40"/>
              <w:rPr>
                <w:color w:val="000000"/>
                <w:sz w:val="20"/>
                <w:szCs w:val="22"/>
                <w:lang w:val="fr-FR"/>
              </w:rPr>
            </w:pPr>
            <w:r>
              <w:rPr>
                <w:color w:val="000000"/>
                <w:sz w:val="20"/>
                <w:szCs w:val="22"/>
                <w:lang w:val="fr-FR"/>
              </w:rPr>
              <w:t xml:space="preserve">256,89  </w:t>
            </w:r>
          </w:p>
        </w:tc>
      </w:tr>
      <w:tr w:rsidR="00000000">
        <w:tblPrEx>
          <w:tblCellMar>
            <w:top w:w="0" w:type="dxa"/>
            <w:bottom w:w="0" w:type="dxa"/>
          </w:tblCellMar>
        </w:tblPrEx>
        <w:trPr>
          <w:jc w:val="center"/>
        </w:trPr>
        <w:tc>
          <w:tcPr>
            <w:tcW w:w="181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Octobre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3 479 926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1 506 420  </w:t>
            </w:r>
          </w:p>
        </w:tc>
        <w:tc>
          <w:tcPr>
            <w:tcW w:w="1813" w:type="dxa"/>
          </w:tcPr>
          <w:p w:rsidR="00000000" w:rsidRDefault="00000000">
            <w:pPr>
              <w:tabs>
                <w:tab w:val="decimal" w:pos="837"/>
              </w:tabs>
              <w:autoSpaceDE w:val="0"/>
              <w:autoSpaceDN w:val="0"/>
              <w:adjustRightInd w:val="0"/>
              <w:spacing w:before="40" w:after="40"/>
              <w:rPr>
                <w:color w:val="000000"/>
                <w:sz w:val="20"/>
                <w:szCs w:val="22"/>
                <w:lang w:val="fr-FR"/>
              </w:rPr>
            </w:pPr>
          </w:p>
        </w:tc>
      </w:tr>
      <w:tr w:rsidR="00000000">
        <w:tblPrEx>
          <w:tblCellMar>
            <w:top w:w="0" w:type="dxa"/>
            <w:bottom w:w="0" w:type="dxa"/>
          </w:tblCellMar>
        </w:tblPrEx>
        <w:trPr>
          <w:jc w:val="center"/>
        </w:trPr>
        <w:tc>
          <w:tcPr>
            <w:tcW w:w="181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Novembre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3 722 291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1 592 009  </w:t>
            </w:r>
          </w:p>
        </w:tc>
        <w:tc>
          <w:tcPr>
            <w:tcW w:w="1813" w:type="dxa"/>
          </w:tcPr>
          <w:p w:rsidR="00000000" w:rsidRDefault="00000000">
            <w:pPr>
              <w:tabs>
                <w:tab w:val="decimal" w:pos="837"/>
              </w:tabs>
              <w:autoSpaceDE w:val="0"/>
              <w:autoSpaceDN w:val="0"/>
              <w:adjustRightInd w:val="0"/>
              <w:spacing w:before="40" w:after="40"/>
              <w:rPr>
                <w:color w:val="000000"/>
                <w:sz w:val="20"/>
                <w:szCs w:val="22"/>
                <w:lang w:val="fr-FR"/>
              </w:rPr>
            </w:pPr>
          </w:p>
        </w:tc>
      </w:tr>
      <w:tr w:rsidR="00000000">
        <w:tblPrEx>
          <w:tblCellMar>
            <w:top w:w="0" w:type="dxa"/>
            <w:bottom w:w="0" w:type="dxa"/>
          </w:tblCellMar>
        </w:tblPrEx>
        <w:trPr>
          <w:jc w:val="center"/>
        </w:trPr>
        <w:tc>
          <w:tcPr>
            <w:tcW w:w="181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Décembre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3 990 099 </w:t>
            </w:r>
          </w:p>
        </w:tc>
        <w:tc>
          <w:tcPr>
            <w:tcW w:w="1813" w:type="dxa"/>
          </w:tcPr>
          <w:p w:rsidR="00000000" w:rsidRDefault="00000000">
            <w:pPr>
              <w:autoSpaceDE w:val="0"/>
              <w:autoSpaceDN w:val="0"/>
              <w:adjustRightInd w:val="0"/>
              <w:spacing w:before="40" w:after="40"/>
              <w:ind w:right="677"/>
              <w:jc w:val="right"/>
              <w:rPr>
                <w:color w:val="000000"/>
                <w:sz w:val="20"/>
                <w:szCs w:val="22"/>
                <w:lang w:val="fr-FR"/>
              </w:rPr>
            </w:pPr>
            <w:r>
              <w:rPr>
                <w:color w:val="000000"/>
                <w:sz w:val="20"/>
                <w:szCs w:val="22"/>
                <w:lang w:val="fr-FR"/>
              </w:rPr>
              <w:t xml:space="preserve">1 694 738  </w:t>
            </w:r>
          </w:p>
        </w:tc>
        <w:tc>
          <w:tcPr>
            <w:tcW w:w="1813" w:type="dxa"/>
          </w:tcPr>
          <w:p w:rsidR="00000000" w:rsidRDefault="00000000">
            <w:pPr>
              <w:tabs>
                <w:tab w:val="decimal" w:pos="837"/>
              </w:tabs>
              <w:autoSpaceDE w:val="0"/>
              <w:autoSpaceDN w:val="0"/>
              <w:adjustRightInd w:val="0"/>
              <w:spacing w:before="40" w:after="40"/>
              <w:rPr>
                <w:color w:val="000000"/>
                <w:sz w:val="20"/>
                <w:szCs w:val="22"/>
                <w:lang w:val="fr-FR"/>
              </w:rPr>
            </w:pPr>
          </w:p>
        </w:tc>
      </w:tr>
    </w:tbl>
    <w:p w:rsidR="00000000" w:rsidRDefault="00000000">
      <w:pPr>
        <w:autoSpaceDE w:val="0"/>
        <w:autoSpaceDN w:val="0"/>
        <w:adjustRightInd w:val="0"/>
        <w:spacing w:before="80" w:after="120"/>
        <w:ind w:left="567"/>
        <w:rPr>
          <w:color w:val="000000"/>
          <w:sz w:val="20"/>
          <w:szCs w:val="22"/>
          <w:lang w:val="fr-FR"/>
        </w:rPr>
      </w:pPr>
      <w:r>
        <w:rPr>
          <w:i/>
          <w:iCs/>
          <w:color w:val="000000"/>
          <w:sz w:val="20"/>
          <w:szCs w:val="22"/>
          <w:lang w:val="fr-FR"/>
        </w:rPr>
        <w:t>Source :</w:t>
      </w:r>
      <w:r>
        <w:rPr>
          <w:color w:val="000000"/>
          <w:sz w:val="20"/>
          <w:szCs w:val="22"/>
          <w:lang w:val="fr-FR"/>
        </w:rPr>
        <w:t xml:space="preserve"> INEC.  </w:t>
      </w:r>
    </w:p>
    <w:p w:rsidR="00000000" w:rsidRDefault="00000000">
      <w:pPr>
        <w:spacing w:after="240"/>
        <w:rPr>
          <w:color w:val="000000"/>
          <w:lang w:val="fr-FR"/>
        </w:rPr>
      </w:pPr>
      <w:r>
        <w:rPr>
          <w:color w:val="000000"/>
          <w:lang w:val="fr-FR"/>
        </w:rPr>
        <w:t>285.</w:t>
      </w:r>
      <w:r>
        <w:rPr>
          <w:color w:val="000000"/>
          <w:lang w:val="fr-FR"/>
        </w:rPr>
        <w:tab/>
        <w:t>En 1999, 78,5 % de la population est pauvre ― cette population se décompose en 46,2 % d'indigents et 32,3 % de pauvres ―, ce qui ne laisse que 21,5 % de la population au-dessus du seuil de pauvreté</w:t>
      </w:r>
      <w:r>
        <w:rPr>
          <w:rStyle w:val="FootnoteReference"/>
          <w:b/>
          <w:color w:val="000000"/>
          <w:lang w:val="fr-FR"/>
        </w:rPr>
        <w:footnoteReference w:id="35"/>
      </w:r>
      <w:r>
        <w:rPr>
          <w:color w:val="000000"/>
          <w:lang w:val="fr-FR"/>
        </w:rPr>
        <w:t>.</w:t>
      </w:r>
    </w:p>
    <w:p w:rsidR="00000000" w:rsidRDefault="00000000">
      <w:pPr>
        <w:spacing w:after="240"/>
        <w:rPr>
          <w:color w:val="000000"/>
          <w:lang w:val="fr-FR"/>
        </w:rPr>
      </w:pPr>
      <w:r>
        <w:rPr>
          <w:color w:val="000000"/>
          <w:lang w:val="fr-FR"/>
        </w:rPr>
        <w:t>286.</w:t>
      </w:r>
      <w:r>
        <w:rPr>
          <w:color w:val="000000"/>
          <w:lang w:val="fr-FR"/>
        </w:rPr>
        <w:tab/>
        <w:t>La chute de 7,3 % du PIB signifie que, du fait de la récession de l'économie par rapport à l'année antérieure, le pays a accusé un déficit de production d'environ 6 046 000 000 de dollars..  L'économie a été affectée par des problèmes tels que le phénomène El Niño, la maladie de la tâche blanche de la crevette et le gel des comptes bancaires.</w:t>
      </w:r>
    </w:p>
    <w:p w:rsidR="00000000" w:rsidRDefault="00000000">
      <w:pPr>
        <w:spacing w:after="240"/>
        <w:rPr>
          <w:color w:val="000000"/>
          <w:lang w:val="fr-FR"/>
        </w:rPr>
      </w:pPr>
      <w:r>
        <w:rPr>
          <w:color w:val="000000"/>
          <w:lang w:val="fr-FR"/>
        </w:rPr>
        <w:t>287.</w:t>
      </w:r>
      <w:r>
        <w:rPr>
          <w:color w:val="000000"/>
          <w:lang w:val="fr-FR"/>
        </w:rPr>
        <w:tab/>
        <w:t>La récession s'est manifestée par la fermeture d'entreprises et l'augmentation consécutive du chômage qui, d'après les données de l'INEC, avoisinait les 14,4 % en septembre 1999, niveau qui était de 11,5 % en 1998.</w:t>
      </w:r>
    </w:p>
    <w:p w:rsidR="00000000" w:rsidRDefault="00000000">
      <w:pPr>
        <w:spacing w:after="240"/>
        <w:rPr>
          <w:color w:val="000000"/>
          <w:lang w:val="fr-FR"/>
        </w:rPr>
      </w:pPr>
      <w:r>
        <w:rPr>
          <w:i/>
          <w:color w:val="000000"/>
          <w:lang w:val="fr-FR"/>
        </w:rPr>
        <w:t>Niveau de pauvreté, PNB</w:t>
      </w:r>
    </w:p>
    <w:p w:rsidR="00000000" w:rsidRDefault="00000000">
      <w:pPr>
        <w:spacing w:after="480"/>
        <w:rPr>
          <w:color w:val="000000"/>
          <w:lang w:val="fr-FR"/>
        </w:rPr>
      </w:pPr>
      <w:r>
        <w:rPr>
          <w:color w:val="000000"/>
          <w:lang w:val="fr-FR"/>
        </w:rPr>
        <w:t>288.</w:t>
      </w:r>
      <w:r>
        <w:rPr>
          <w:color w:val="000000"/>
          <w:lang w:val="fr-FR"/>
        </w:rPr>
        <w:tab/>
        <w:t>En 1997, le quintile (20 %) le plus riche de la population détenait 54,3 % de la richesse nationale, alors que le quintile (20 %) le plus pauvre n'en détenait que 5,4 %.  Cet indicateur est utile pour étudier dans le temps l'évolution du niveau de participation des diverses couches de la population au revenu total</w:t>
      </w:r>
      <w:r>
        <w:rPr>
          <w:rStyle w:val="FootnoteReference"/>
          <w:b/>
          <w:color w:val="000000"/>
          <w:lang w:val="fr-FR"/>
        </w:rPr>
        <w:footnoteReference w:id="36"/>
      </w:r>
      <w:r>
        <w:rPr>
          <w:color w:val="000000"/>
          <w:lang w:val="fr-FR"/>
        </w:rPr>
        <w:t>.</w:t>
      </w:r>
    </w:p>
    <w:tbl>
      <w:tblPr>
        <w:tblW w:w="6804"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411"/>
        <w:gridCol w:w="2393"/>
      </w:tblGrid>
      <w:tr w:rsidR="00000000">
        <w:tblPrEx>
          <w:tblCellMar>
            <w:top w:w="0" w:type="dxa"/>
            <w:bottom w:w="0" w:type="dxa"/>
          </w:tblCellMar>
        </w:tblPrEx>
        <w:trPr>
          <w:jc w:val="center"/>
        </w:trPr>
        <w:tc>
          <w:tcPr>
            <w:tcW w:w="6804" w:type="dxa"/>
            <w:gridSpan w:val="2"/>
            <w:tcBorders>
              <w:top w:val="nil"/>
              <w:bottom w:val="single" w:sz="4" w:space="0" w:color="auto"/>
            </w:tcBorders>
            <w:vAlign w:val="center"/>
          </w:tcPr>
          <w:p w:rsidR="00000000" w:rsidRDefault="00000000">
            <w:pPr>
              <w:autoSpaceDE w:val="0"/>
              <w:autoSpaceDN w:val="0"/>
              <w:adjustRightInd w:val="0"/>
              <w:spacing w:before="60" w:after="60"/>
              <w:jc w:val="center"/>
              <w:rPr>
                <w:b/>
                <w:bCs/>
                <w:color w:val="000000"/>
                <w:sz w:val="20"/>
                <w:szCs w:val="22"/>
                <w:lang w:val="fr-FR"/>
              </w:rPr>
            </w:pPr>
            <w:r>
              <w:rPr>
                <w:b/>
                <w:bCs/>
                <w:color w:val="000000"/>
                <w:sz w:val="20"/>
                <w:szCs w:val="22"/>
                <w:lang w:val="fr-FR"/>
              </w:rPr>
              <w:t>Indicateurs démographiques 1998</w:t>
            </w:r>
          </w:p>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(Ministère de la santé)</w:t>
            </w:r>
          </w:p>
        </w:tc>
      </w:tr>
      <w:tr w:rsidR="00000000">
        <w:tblPrEx>
          <w:tblCellMar>
            <w:top w:w="0" w:type="dxa"/>
            <w:bottom w:w="0" w:type="dxa"/>
          </w:tblCellMar>
        </w:tblPrEx>
        <w:trPr>
          <w:jc w:val="center"/>
        </w:trPr>
        <w:tc>
          <w:tcPr>
            <w:tcW w:w="4411" w:type="dxa"/>
            <w:tcBorders>
              <w:top w:val="single" w:sz="4" w:space="0" w:color="auto"/>
            </w:tcBorders>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Taux de fécondité * </w:t>
            </w:r>
          </w:p>
        </w:tc>
        <w:tc>
          <w:tcPr>
            <w:tcW w:w="2393" w:type="dxa"/>
            <w:tcBorders>
              <w:top w:val="single" w:sz="4" w:space="0" w:color="auto"/>
            </w:tcBorders>
          </w:tcPr>
          <w:p w:rsidR="00000000" w:rsidRDefault="00000000">
            <w:pPr>
              <w:tabs>
                <w:tab w:val="decimal" w:pos="1055"/>
              </w:tabs>
              <w:autoSpaceDE w:val="0"/>
              <w:autoSpaceDN w:val="0"/>
              <w:adjustRightInd w:val="0"/>
              <w:spacing w:before="60" w:after="60"/>
              <w:rPr>
                <w:color w:val="000000"/>
                <w:sz w:val="20"/>
                <w:szCs w:val="22"/>
                <w:lang w:val="fr-FR"/>
              </w:rPr>
            </w:pPr>
            <w:r>
              <w:rPr>
                <w:color w:val="000000"/>
                <w:sz w:val="20"/>
                <w:szCs w:val="22"/>
                <w:lang w:val="fr-FR"/>
              </w:rPr>
              <w:t xml:space="preserve">87,7  </w:t>
            </w:r>
          </w:p>
        </w:tc>
      </w:tr>
      <w:tr w:rsidR="00000000">
        <w:tblPrEx>
          <w:tblCellMar>
            <w:top w:w="0" w:type="dxa"/>
            <w:bottom w:w="0" w:type="dxa"/>
          </w:tblCellMar>
        </w:tblPrEx>
        <w:trPr>
          <w:jc w:val="center"/>
        </w:trPr>
        <w:tc>
          <w:tcPr>
            <w:tcW w:w="4411"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Taux de mortalité générale * </w:t>
            </w:r>
          </w:p>
        </w:tc>
        <w:tc>
          <w:tcPr>
            <w:tcW w:w="2393" w:type="dxa"/>
          </w:tcPr>
          <w:p w:rsidR="00000000" w:rsidRDefault="00000000">
            <w:pPr>
              <w:tabs>
                <w:tab w:val="decimal" w:pos="1055"/>
              </w:tabs>
              <w:autoSpaceDE w:val="0"/>
              <w:autoSpaceDN w:val="0"/>
              <w:adjustRightInd w:val="0"/>
              <w:spacing w:before="60" w:after="60"/>
              <w:rPr>
                <w:color w:val="000000"/>
                <w:sz w:val="20"/>
                <w:szCs w:val="22"/>
                <w:lang w:val="fr-FR"/>
              </w:rPr>
            </w:pPr>
            <w:r>
              <w:rPr>
                <w:color w:val="000000"/>
                <w:sz w:val="20"/>
                <w:szCs w:val="22"/>
                <w:lang w:val="fr-FR"/>
              </w:rPr>
              <w:t xml:space="preserve">4,4  </w:t>
            </w:r>
          </w:p>
        </w:tc>
      </w:tr>
      <w:tr w:rsidR="00000000">
        <w:tblPrEx>
          <w:tblCellMar>
            <w:top w:w="0" w:type="dxa"/>
            <w:bottom w:w="0" w:type="dxa"/>
          </w:tblCellMar>
        </w:tblPrEx>
        <w:trPr>
          <w:jc w:val="center"/>
        </w:trPr>
        <w:tc>
          <w:tcPr>
            <w:tcW w:w="4411"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Taux de mortalité infantile </w:t>
            </w:r>
          </w:p>
        </w:tc>
        <w:tc>
          <w:tcPr>
            <w:tcW w:w="2393" w:type="dxa"/>
          </w:tcPr>
          <w:p w:rsidR="00000000" w:rsidRDefault="00000000">
            <w:pPr>
              <w:tabs>
                <w:tab w:val="decimal" w:pos="1055"/>
              </w:tabs>
              <w:autoSpaceDE w:val="0"/>
              <w:autoSpaceDN w:val="0"/>
              <w:adjustRightInd w:val="0"/>
              <w:spacing w:before="60" w:after="60"/>
              <w:rPr>
                <w:color w:val="000000"/>
                <w:sz w:val="20"/>
                <w:szCs w:val="22"/>
                <w:lang w:val="fr-FR"/>
              </w:rPr>
            </w:pPr>
            <w:r>
              <w:rPr>
                <w:color w:val="000000"/>
                <w:sz w:val="20"/>
                <w:szCs w:val="22"/>
                <w:lang w:val="fr-FR"/>
              </w:rPr>
              <w:t xml:space="preserve">32,2  </w:t>
            </w:r>
          </w:p>
        </w:tc>
      </w:tr>
      <w:tr w:rsidR="00000000">
        <w:tblPrEx>
          <w:tblCellMar>
            <w:top w:w="0" w:type="dxa"/>
            <w:bottom w:w="0" w:type="dxa"/>
          </w:tblCellMar>
        </w:tblPrEx>
        <w:trPr>
          <w:jc w:val="center"/>
        </w:trPr>
        <w:tc>
          <w:tcPr>
            <w:tcW w:w="4411"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Taux de mortalité néonatale * </w:t>
            </w:r>
          </w:p>
        </w:tc>
        <w:tc>
          <w:tcPr>
            <w:tcW w:w="2393" w:type="dxa"/>
          </w:tcPr>
          <w:p w:rsidR="00000000" w:rsidRDefault="00000000">
            <w:pPr>
              <w:tabs>
                <w:tab w:val="decimal" w:pos="1055"/>
              </w:tabs>
              <w:autoSpaceDE w:val="0"/>
              <w:autoSpaceDN w:val="0"/>
              <w:adjustRightInd w:val="0"/>
              <w:spacing w:before="60" w:after="60"/>
              <w:rPr>
                <w:color w:val="000000"/>
                <w:sz w:val="20"/>
                <w:szCs w:val="22"/>
                <w:lang w:val="fr-FR"/>
              </w:rPr>
            </w:pPr>
            <w:r>
              <w:rPr>
                <w:color w:val="000000"/>
                <w:sz w:val="20"/>
                <w:szCs w:val="22"/>
                <w:lang w:val="fr-FR"/>
              </w:rPr>
              <w:t xml:space="preserve">14,5  </w:t>
            </w:r>
          </w:p>
        </w:tc>
      </w:tr>
      <w:tr w:rsidR="00000000">
        <w:tblPrEx>
          <w:tblCellMar>
            <w:top w:w="0" w:type="dxa"/>
            <w:bottom w:w="0" w:type="dxa"/>
          </w:tblCellMar>
        </w:tblPrEx>
        <w:trPr>
          <w:jc w:val="center"/>
        </w:trPr>
        <w:tc>
          <w:tcPr>
            <w:tcW w:w="4411"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Taux de mortalité postnatale * </w:t>
            </w:r>
          </w:p>
        </w:tc>
        <w:tc>
          <w:tcPr>
            <w:tcW w:w="2393" w:type="dxa"/>
          </w:tcPr>
          <w:p w:rsidR="00000000" w:rsidRDefault="00000000">
            <w:pPr>
              <w:tabs>
                <w:tab w:val="decimal" w:pos="1055"/>
              </w:tabs>
              <w:autoSpaceDE w:val="0"/>
              <w:autoSpaceDN w:val="0"/>
              <w:adjustRightInd w:val="0"/>
              <w:spacing w:before="60" w:after="60"/>
              <w:rPr>
                <w:color w:val="000000"/>
                <w:sz w:val="20"/>
                <w:szCs w:val="22"/>
                <w:lang w:val="fr-FR"/>
              </w:rPr>
            </w:pPr>
            <w:r>
              <w:rPr>
                <w:color w:val="000000"/>
                <w:sz w:val="20"/>
                <w:szCs w:val="22"/>
                <w:lang w:val="fr-FR"/>
              </w:rPr>
              <w:t xml:space="preserve">17,7  </w:t>
            </w:r>
          </w:p>
        </w:tc>
      </w:tr>
      <w:tr w:rsidR="00000000">
        <w:tblPrEx>
          <w:tblCellMar>
            <w:top w:w="0" w:type="dxa"/>
            <w:bottom w:w="0" w:type="dxa"/>
          </w:tblCellMar>
        </w:tblPrEx>
        <w:trPr>
          <w:jc w:val="center"/>
        </w:trPr>
        <w:tc>
          <w:tcPr>
            <w:tcW w:w="4411"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Taux de mortalité périnatale * </w:t>
            </w:r>
          </w:p>
        </w:tc>
        <w:tc>
          <w:tcPr>
            <w:tcW w:w="2393" w:type="dxa"/>
          </w:tcPr>
          <w:p w:rsidR="00000000" w:rsidRDefault="00000000">
            <w:pPr>
              <w:tabs>
                <w:tab w:val="decimal" w:pos="1055"/>
              </w:tabs>
              <w:autoSpaceDE w:val="0"/>
              <w:autoSpaceDN w:val="0"/>
              <w:adjustRightInd w:val="0"/>
              <w:spacing w:before="60" w:after="60"/>
              <w:rPr>
                <w:color w:val="000000"/>
                <w:sz w:val="20"/>
                <w:szCs w:val="22"/>
                <w:lang w:val="fr-FR"/>
              </w:rPr>
            </w:pPr>
            <w:r>
              <w:rPr>
                <w:color w:val="000000"/>
                <w:sz w:val="20"/>
                <w:szCs w:val="22"/>
                <w:lang w:val="fr-FR"/>
              </w:rPr>
              <w:t xml:space="preserve">19,7  </w:t>
            </w:r>
          </w:p>
        </w:tc>
      </w:tr>
      <w:tr w:rsidR="00000000">
        <w:tblPrEx>
          <w:tblCellMar>
            <w:top w:w="0" w:type="dxa"/>
            <w:bottom w:w="0" w:type="dxa"/>
          </w:tblCellMar>
        </w:tblPrEx>
        <w:trPr>
          <w:jc w:val="center"/>
        </w:trPr>
        <w:tc>
          <w:tcPr>
            <w:tcW w:w="4411"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Taux de mortalité maternelle ** </w:t>
            </w:r>
          </w:p>
        </w:tc>
        <w:tc>
          <w:tcPr>
            <w:tcW w:w="2393" w:type="dxa"/>
          </w:tcPr>
          <w:p w:rsidR="00000000" w:rsidRDefault="00000000">
            <w:pPr>
              <w:tabs>
                <w:tab w:val="decimal" w:pos="1055"/>
              </w:tabs>
              <w:autoSpaceDE w:val="0"/>
              <w:autoSpaceDN w:val="0"/>
              <w:adjustRightInd w:val="0"/>
              <w:spacing w:before="60" w:after="60"/>
              <w:rPr>
                <w:color w:val="000000"/>
                <w:sz w:val="20"/>
                <w:szCs w:val="22"/>
                <w:lang w:val="fr-FR"/>
              </w:rPr>
            </w:pPr>
            <w:r>
              <w:rPr>
                <w:color w:val="000000"/>
                <w:sz w:val="20"/>
                <w:szCs w:val="22"/>
                <w:lang w:val="fr-FR"/>
              </w:rPr>
              <w:t xml:space="preserve">93,4  </w:t>
            </w:r>
          </w:p>
        </w:tc>
      </w:tr>
      <w:tr w:rsidR="00000000">
        <w:tblPrEx>
          <w:tblCellMar>
            <w:top w:w="0" w:type="dxa"/>
            <w:bottom w:w="0" w:type="dxa"/>
          </w:tblCellMar>
        </w:tblPrEx>
        <w:trPr>
          <w:jc w:val="center"/>
        </w:trPr>
        <w:tc>
          <w:tcPr>
            <w:tcW w:w="4411"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Pourcentage d'accouchements avec assistance </w:t>
            </w:r>
          </w:p>
        </w:tc>
        <w:tc>
          <w:tcPr>
            <w:tcW w:w="2393" w:type="dxa"/>
          </w:tcPr>
          <w:p w:rsidR="00000000" w:rsidRDefault="00000000">
            <w:pPr>
              <w:tabs>
                <w:tab w:val="decimal" w:pos="1055"/>
              </w:tabs>
              <w:autoSpaceDE w:val="0"/>
              <w:autoSpaceDN w:val="0"/>
              <w:adjustRightInd w:val="0"/>
              <w:spacing w:before="60" w:after="60"/>
              <w:rPr>
                <w:color w:val="000000"/>
                <w:sz w:val="20"/>
                <w:szCs w:val="22"/>
                <w:lang w:val="fr-FR"/>
              </w:rPr>
            </w:pPr>
            <w:r>
              <w:rPr>
                <w:color w:val="000000"/>
                <w:sz w:val="20"/>
                <w:szCs w:val="22"/>
                <w:lang w:val="fr-FR"/>
              </w:rPr>
              <w:t xml:space="preserve">70,9  </w:t>
            </w:r>
          </w:p>
        </w:tc>
      </w:tr>
      <w:tr w:rsidR="00000000">
        <w:tblPrEx>
          <w:tblCellMar>
            <w:top w:w="0" w:type="dxa"/>
            <w:bottom w:w="0" w:type="dxa"/>
          </w:tblCellMar>
        </w:tblPrEx>
        <w:trPr>
          <w:jc w:val="center"/>
        </w:trPr>
        <w:tc>
          <w:tcPr>
            <w:tcW w:w="6804" w:type="dxa"/>
            <w:gridSpan w:val="2"/>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Couverture des soins de santé maternelle : </w:t>
            </w:r>
          </w:p>
        </w:tc>
      </w:tr>
      <w:tr w:rsidR="00000000">
        <w:tblPrEx>
          <w:tblCellMar>
            <w:top w:w="0" w:type="dxa"/>
            <w:bottom w:w="0" w:type="dxa"/>
          </w:tblCellMar>
        </w:tblPrEx>
        <w:trPr>
          <w:jc w:val="center"/>
        </w:trPr>
        <w:tc>
          <w:tcPr>
            <w:tcW w:w="4411"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  Période prénatale</w:t>
            </w:r>
          </w:p>
        </w:tc>
        <w:tc>
          <w:tcPr>
            <w:tcW w:w="2393" w:type="dxa"/>
          </w:tcPr>
          <w:p w:rsidR="00000000" w:rsidRDefault="00000000">
            <w:pPr>
              <w:tabs>
                <w:tab w:val="decimal" w:pos="1055"/>
              </w:tabs>
              <w:autoSpaceDE w:val="0"/>
              <w:autoSpaceDN w:val="0"/>
              <w:adjustRightInd w:val="0"/>
              <w:spacing w:before="60" w:after="60"/>
              <w:rPr>
                <w:color w:val="000000"/>
                <w:sz w:val="20"/>
                <w:szCs w:val="22"/>
                <w:lang w:val="fr-FR"/>
              </w:rPr>
            </w:pPr>
            <w:r>
              <w:rPr>
                <w:color w:val="000000"/>
                <w:sz w:val="20"/>
                <w:szCs w:val="22"/>
                <w:lang w:val="fr-FR"/>
              </w:rPr>
              <w:t xml:space="preserve">69,3  </w:t>
            </w:r>
          </w:p>
        </w:tc>
      </w:tr>
      <w:tr w:rsidR="00000000">
        <w:tblPrEx>
          <w:tblCellMar>
            <w:top w:w="0" w:type="dxa"/>
            <w:bottom w:w="0" w:type="dxa"/>
          </w:tblCellMar>
        </w:tblPrEx>
        <w:trPr>
          <w:jc w:val="center"/>
        </w:trPr>
        <w:tc>
          <w:tcPr>
            <w:tcW w:w="4411"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  Accouchement </w:t>
            </w:r>
          </w:p>
        </w:tc>
        <w:tc>
          <w:tcPr>
            <w:tcW w:w="2393" w:type="dxa"/>
          </w:tcPr>
          <w:p w:rsidR="00000000" w:rsidRDefault="00000000">
            <w:pPr>
              <w:tabs>
                <w:tab w:val="decimal" w:pos="1055"/>
              </w:tabs>
              <w:autoSpaceDE w:val="0"/>
              <w:autoSpaceDN w:val="0"/>
              <w:adjustRightInd w:val="0"/>
              <w:spacing w:before="60" w:after="60"/>
              <w:rPr>
                <w:color w:val="000000"/>
                <w:sz w:val="20"/>
                <w:szCs w:val="22"/>
                <w:lang w:val="fr-FR"/>
              </w:rPr>
            </w:pPr>
            <w:r>
              <w:rPr>
                <w:color w:val="000000"/>
                <w:sz w:val="20"/>
                <w:szCs w:val="22"/>
                <w:lang w:val="fr-FR"/>
              </w:rPr>
              <w:t xml:space="preserve">26,9  </w:t>
            </w:r>
          </w:p>
        </w:tc>
      </w:tr>
      <w:tr w:rsidR="00000000">
        <w:tblPrEx>
          <w:tblCellMar>
            <w:top w:w="0" w:type="dxa"/>
            <w:bottom w:w="0" w:type="dxa"/>
          </w:tblCellMar>
        </w:tblPrEx>
        <w:trPr>
          <w:jc w:val="center"/>
        </w:trPr>
        <w:tc>
          <w:tcPr>
            <w:tcW w:w="4411"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  Période postnatale </w:t>
            </w:r>
          </w:p>
        </w:tc>
        <w:tc>
          <w:tcPr>
            <w:tcW w:w="2393" w:type="dxa"/>
          </w:tcPr>
          <w:p w:rsidR="00000000" w:rsidRDefault="00000000">
            <w:pPr>
              <w:tabs>
                <w:tab w:val="decimal" w:pos="1055"/>
              </w:tabs>
              <w:autoSpaceDE w:val="0"/>
              <w:autoSpaceDN w:val="0"/>
              <w:adjustRightInd w:val="0"/>
              <w:spacing w:before="60" w:after="60"/>
              <w:rPr>
                <w:color w:val="000000"/>
                <w:sz w:val="20"/>
                <w:szCs w:val="22"/>
                <w:lang w:val="fr-FR"/>
              </w:rPr>
            </w:pPr>
            <w:r>
              <w:rPr>
                <w:color w:val="000000"/>
                <w:sz w:val="20"/>
                <w:szCs w:val="22"/>
                <w:lang w:val="fr-FR"/>
              </w:rPr>
              <w:t xml:space="preserve">15,1  </w:t>
            </w:r>
          </w:p>
        </w:tc>
      </w:tr>
      <w:tr w:rsidR="00000000">
        <w:tblPrEx>
          <w:tblCellMar>
            <w:top w:w="0" w:type="dxa"/>
            <w:bottom w:w="0" w:type="dxa"/>
          </w:tblCellMar>
        </w:tblPrEx>
        <w:trPr>
          <w:jc w:val="center"/>
        </w:trPr>
        <w:tc>
          <w:tcPr>
            <w:tcW w:w="4411"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  Régulation des naissances</w:t>
            </w:r>
          </w:p>
        </w:tc>
        <w:tc>
          <w:tcPr>
            <w:tcW w:w="2393" w:type="dxa"/>
          </w:tcPr>
          <w:p w:rsidR="00000000" w:rsidRDefault="00000000">
            <w:pPr>
              <w:tabs>
                <w:tab w:val="decimal" w:pos="1055"/>
              </w:tabs>
              <w:autoSpaceDE w:val="0"/>
              <w:autoSpaceDN w:val="0"/>
              <w:adjustRightInd w:val="0"/>
              <w:spacing w:before="60" w:after="60"/>
              <w:rPr>
                <w:color w:val="000000"/>
                <w:sz w:val="20"/>
                <w:szCs w:val="22"/>
                <w:lang w:val="fr-FR"/>
              </w:rPr>
            </w:pPr>
            <w:r>
              <w:rPr>
                <w:color w:val="000000"/>
                <w:sz w:val="20"/>
                <w:szCs w:val="22"/>
                <w:lang w:val="fr-FR"/>
              </w:rPr>
              <w:t xml:space="preserve">3,6  </w:t>
            </w:r>
          </w:p>
        </w:tc>
      </w:tr>
      <w:tr w:rsidR="00000000">
        <w:tblPrEx>
          <w:tblCellMar>
            <w:top w:w="0" w:type="dxa"/>
            <w:bottom w:w="0" w:type="dxa"/>
          </w:tblCellMar>
        </w:tblPrEx>
        <w:trPr>
          <w:jc w:val="center"/>
        </w:trPr>
        <w:tc>
          <w:tcPr>
            <w:tcW w:w="4411"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  D.O.C </w:t>
            </w:r>
          </w:p>
        </w:tc>
        <w:tc>
          <w:tcPr>
            <w:tcW w:w="2393" w:type="dxa"/>
          </w:tcPr>
          <w:p w:rsidR="00000000" w:rsidRDefault="00000000">
            <w:pPr>
              <w:tabs>
                <w:tab w:val="decimal" w:pos="1055"/>
              </w:tabs>
              <w:autoSpaceDE w:val="0"/>
              <w:autoSpaceDN w:val="0"/>
              <w:adjustRightInd w:val="0"/>
              <w:spacing w:before="60" w:after="60"/>
              <w:rPr>
                <w:color w:val="000000"/>
                <w:sz w:val="20"/>
                <w:szCs w:val="22"/>
                <w:lang w:val="fr-FR"/>
              </w:rPr>
            </w:pPr>
            <w:r>
              <w:rPr>
                <w:color w:val="000000"/>
                <w:sz w:val="20"/>
                <w:szCs w:val="22"/>
                <w:lang w:val="fr-FR"/>
              </w:rPr>
              <w:t xml:space="preserve">4,9  </w:t>
            </w:r>
          </w:p>
        </w:tc>
      </w:tr>
    </w:tbl>
    <w:p w:rsidR="00000000" w:rsidRDefault="00000000">
      <w:pPr>
        <w:autoSpaceDE w:val="0"/>
        <w:autoSpaceDN w:val="0"/>
        <w:adjustRightInd w:val="0"/>
        <w:spacing w:before="80" w:after="40"/>
        <w:ind w:left="1620"/>
        <w:rPr>
          <w:color w:val="000000"/>
          <w:sz w:val="20"/>
          <w:szCs w:val="22"/>
          <w:lang w:val="fr-FR"/>
        </w:rPr>
      </w:pPr>
      <w:r>
        <w:rPr>
          <w:color w:val="000000"/>
          <w:sz w:val="20"/>
          <w:szCs w:val="22"/>
          <w:lang w:val="fr-FR"/>
        </w:rPr>
        <w:t xml:space="preserve">* Taux pour 1.000 naissances vivantes.  </w:t>
      </w:r>
    </w:p>
    <w:p w:rsidR="00000000" w:rsidRDefault="00000000">
      <w:pPr>
        <w:autoSpaceDE w:val="0"/>
        <w:autoSpaceDN w:val="0"/>
        <w:adjustRightInd w:val="0"/>
        <w:spacing w:after="360"/>
        <w:ind w:left="1620"/>
        <w:rPr>
          <w:color w:val="000000"/>
          <w:sz w:val="20"/>
          <w:szCs w:val="22"/>
          <w:lang w:val="fr-FR"/>
        </w:rPr>
      </w:pPr>
      <w:r>
        <w:rPr>
          <w:color w:val="000000"/>
          <w:sz w:val="20"/>
          <w:szCs w:val="22"/>
          <w:lang w:val="fr-FR"/>
        </w:rPr>
        <w:t xml:space="preserve">** Taux pour 100.000 naissances vivantes.  </w:t>
      </w:r>
    </w:p>
    <w:p w:rsidR="00000000" w:rsidRDefault="00000000">
      <w:pPr>
        <w:spacing w:after="240"/>
        <w:rPr>
          <w:color w:val="000000"/>
          <w:lang w:val="fr-FR"/>
        </w:rPr>
      </w:pPr>
      <w:r>
        <w:rPr>
          <w:b/>
          <w:color w:val="000000"/>
          <w:lang w:val="fr-FR"/>
        </w:rPr>
        <w:t>Le droit à une alimentation suffisante</w:t>
      </w:r>
    </w:p>
    <w:p w:rsidR="00000000" w:rsidRDefault="00000000">
      <w:pPr>
        <w:spacing w:after="240"/>
        <w:rPr>
          <w:color w:val="000000"/>
          <w:lang w:val="fr-FR"/>
        </w:rPr>
      </w:pPr>
      <w:r>
        <w:rPr>
          <w:color w:val="000000"/>
          <w:lang w:val="fr-FR"/>
        </w:rPr>
        <w:t>289.</w:t>
      </w:r>
      <w:r>
        <w:rPr>
          <w:color w:val="000000"/>
          <w:lang w:val="fr-FR"/>
        </w:rPr>
        <w:tab/>
        <w:t xml:space="preserve">La Constitution dispose (titre III, chapitre II relatif aux droits civils, art. 23, par. 20) que l’État reconnaît et garantit aux personnes "le droit à une qualité de la vie qui assure la santé, l'alimentation et la nutrition, l'eau potable, </w:t>
      </w:r>
      <w:r>
        <w:rPr>
          <w:lang w:val="fr-FR"/>
        </w:rPr>
        <w:t>la salubrité de l'environnement</w:t>
      </w:r>
      <w:r>
        <w:rPr>
          <w:color w:val="000000"/>
          <w:lang w:val="fr-FR"/>
        </w:rPr>
        <w:t>, l'éducation, le travail, l'emploi, les loisirs, le logement, l'habillement et les autres services sociaux nécessaires".  Au paragraphe 2 de l'article 43, elle précise que "l’État encourage la culture pour la santé et la vie, en mettant l'accent sur l'éducation alimentaire et nutritionnelle des mères et des enfants, et sur l’hygiène sexuelle et la santé génésique, par l'intermédiaire de la participation de la société et avec la collaboration des moyens de communication".</w:t>
      </w:r>
    </w:p>
    <w:p w:rsidR="00000000" w:rsidRDefault="00000000">
      <w:pPr>
        <w:spacing w:after="240"/>
        <w:rPr>
          <w:color w:val="000000"/>
          <w:lang w:val="fr-FR"/>
        </w:rPr>
      </w:pPr>
      <w:r>
        <w:rPr>
          <w:color w:val="000000"/>
          <w:lang w:val="fr-FR"/>
        </w:rPr>
        <w:t>290.</w:t>
      </w:r>
      <w:r>
        <w:rPr>
          <w:color w:val="000000"/>
          <w:lang w:val="fr-FR"/>
        </w:rPr>
        <w:tab/>
        <w:t>La crise que traverse le pays a eu des incidences négatives sur la population, dont le pouvoir d'achat a diminué; il en est résulté un accroissement des disparités entre pauvres et riches résultant de l'inégale répartition de la richesse nationale, inégalité qui s’est aggravée de façon spectaculaire au cours des dernières années avec des niveaux de pauvreté caractérisée par des indices élevés de malnutrition et d'insalubrité.</w:t>
      </w:r>
    </w:p>
    <w:p w:rsidR="00000000" w:rsidRDefault="00000000">
      <w:pPr>
        <w:spacing w:after="240"/>
        <w:rPr>
          <w:color w:val="000000"/>
          <w:lang w:val="fr-FR"/>
        </w:rPr>
      </w:pPr>
      <w:r>
        <w:rPr>
          <w:color w:val="000000"/>
          <w:lang w:val="fr-FR"/>
        </w:rPr>
        <w:t>291.</w:t>
      </w:r>
      <w:r>
        <w:rPr>
          <w:color w:val="000000"/>
          <w:lang w:val="fr-FR"/>
        </w:rPr>
        <w:tab/>
        <w:t>D'après les estimations du Ministère de la santé (MSP), 50 % des enfants de moins de deux ans souffrent de retard de croissance et ont un régime alimentaire déficient en calories, protéines, fer, zinc et vitamine A.  Des enquêtes biochimiques ont montré que l'anémie affecte plus de la moitié des femmes enceintes et des enfants de moins de trois ans et que la carence en vitamine A touche au niveau national 200 000 enfants de moins de cinq ans</w:t>
      </w:r>
      <w:r>
        <w:rPr>
          <w:rStyle w:val="FootnoteReference"/>
          <w:b/>
          <w:color w:val="000000"/>
          <w:lang w:val="fr-FR"/>
        </w:rPr>
        <w:footnoteReference w:id="37"/>
      </w:r>
      <w:r>
        <w:rPr>
          <w:color w:val="000000"/>
          <w:lang w:val="fr-FR"/>
        </w:rPr>
        <w:t>.</w:t>
      </w:r>
    </w:p>
    <w:p w:rsidR="00000000" w:rsidRDefault="00000000">
      <w:pPr>
        <w:pStyle w:val="BodyText"/>
        <w:spacing w:after="240"/>
        <w:jc w:val="left"/>
        <w:rPr>
          <w:u w:val="none"/>
          <w:lang w:val="fr-FR"/>
        </w:rPr>
      </w:pPr>
      <w:r>
        <w:rPr>
          <w:u w:val="none"/>
          <w:lang w:val="fr-FR"/>
        </w:rPr>
        <w:t>292.</w:t>
      </w:r>
      <w:r>
        <w:rPr>
          <w:u w:val="none"/>
          <w:lang w:val="fr-FR"/>
        </w:rPr>
        <w:tab/>
        <w:t>La disponibilité en aliments évaluée par les études nutritionnelles effectuées dans le pays par le Ministère de l'agriculture et de l'élevage au moyen des fiches de bilan alimentaire sur la teneur en calories, protéines et graisses des produits sélectionnés correspond en fait à la disponibilité apparente de substances nutritives en fonction de la consommation par habitant et par jour de la population équatorienne.  Les quantités observées d'aliments et de nutriments par personne ne correspondent pas à une consommation effective, mais représentent seulement la quantité moyenne disponible au cours de la période 1990-1998 pour couvrir les besoins alimentaires de la population.</w:t>
      </w:r>
    </w:p>
    <w:p w:rsidR="00000000" w:rsidRDefault="00000000">
      <w:pPr>
        <w:spacing w:after="240"/>
        <w:rPr>
          <w:color w:val="000000"/>
          <w:lang w:val="fr-FR"/>
        </w:rPr>
      </w:pPr>
      <w:r>
        <w:rPr>
          <w:color w:val="000000"/>
          <w:lang w:val="fr-FR"/>
        </w:rPr>
        <w:t>293.</w:t>
      </w:r>
      <w:r>
        <w:rPr>
          <w:color w:val="000000"/>
          <w:lang w:val="fr-FR"/>
        </w:rPr>
        <w:tab/>
        <w:t>L'information ainsi recueillie ne reflète nullement la véritable situation nutritionnelle et alimentaire des équatoriens, car les données statistiques ne reflètent que la disponibilité théorique (offre) de produits alimentaires, la véritable consommation alimentaire étant fonction de variables telles que la répartition spatiale, les conditions socio-économiques, l'inégalité de la répartition du revenu, etc.</w:t>
      </w:r>
      <w:r>
        <w:rPr>
          <w:rStyle w:val="FootnoteReference"/>
          <w:b/>
          <w:color w:val="000000"/>
          <w:lang w:val="fr-FR"/>
        </w:rPr>
        <w:footnoteReference w:id="38"/>
      </w:r>
    </w:p>
    <w:p w:rsidR="00000000" w:rsidRDefault="00000000">
      <w:pPr>
        <w:autoSpaceDE w:val="0"/>
        <w:autoSpaceDN w:val="0"/>
        <w:adjustRightInd w:val="0"/>
        <w:spacing w:after="120"/>
        <w:jc w:val="center"/>
        <w:rPr>
          <w:i/>
          <w:iCs/>
          <w:color w:val="000000"/>
          <w:sz w:val="20"/>
          <w:szCs w:val="22"/>
          <w:lang w:val="fr-FR"/>
        </w:rPr>
      </w:pPr>
      <w:r>
        <w:rPr>
          <w:b/>
          <w:bCs/>
          <w:color w:val="000000"/>
          <w:sz w:val="20"/>
          <w:szCs w:val="22"/>
          <w:lang w:val="fr-FR"/>
        </w:rPr>
        <w:t xml:space="preserve">Disponibilités en calories et protéines </w:t>
      </w:r>
      <w:r>
        <w:rPr>
          <w:b/>
          <w:bCs/>
          <w:color w:val="000000"/>
          <w:sz w:val="20"/>
          <w:szCs w:val="22"/>
          <w:lang w:val="fr-FR"/>
        </w:rPr>
        <w:br/>
      </w:r>
      <w:r>
        <w:rPr>
          <w:i/>
          <w:iCs/>
          <w:color w:val="000000"/>
          <w:sz w:val="20"/>
          <w:szCs w:val="22"/>
          <w:lang w:val="fr-FR"/>
        </w:rPr>
        <w:t xml:space="preserve">(Par habitant/jour)  </w:t>
      </w:r>
    </w:p>
    <w:tbl>
      <w:tblPr>
        <w:tblW w:w="6804"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347"/>
        <w:gridCol w:w="2149"/>
        <w:gridCol w:w="1933"/>
        <w:gridCol w:w="1375"/>
      </w:tblGrid>
      <w:tr w:rsidR="00000000">
        <w:tblPrEx>
          <w:tblCellMar>
            <w:top w:w="0" w:type="dxa"/>
            <w:bottom w:w="0" w:type="dxa"/>
          </w:tblCellMar>
        </w:tblPrEx>
        <w:trPr>
          <w:jc w:val="center"/>
        </w:trPr>
        <w:tc>
          <w:tcPr>
            <w:tcW w:w="1056"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Année</w:t>
            </w:r>
          </w:p>
        </w:tc>
        <w:tc>
          <w:tcPr>
            <w:tcW w:w="1685"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Calories</w:t>
            </w:r>
          </w:p>
        </w:tc>
        <w:tc>
          <w:tcPr>
            <w:tcW w:w="1515"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Protéines</w:t>
            </w:r>
          </w:p>
        </w:tc>
        <w:tc>
          <w:tcPr>
            <w:tcW w:w="1078"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Graisses</w:t>
            </w:r>
          </w:p>
        </w:tc>
      </w:tr>
      <w:tr w:rsidR="00000000">
        <w:tblPrEx>
          <w:tblCellMar>
            <w:top w:w="0" w:type="dxa"/>
            <w:bottom w:w="0" w:type="dxa"/>
          </w:tblCellMar>
        </w:tblPrEx>
        <w:trPr>
          <w:jc w:val="center"/>
        </w:trPr>
        <w:tc>
          <w:tcPr>
            <w:tcW w:w="1056" w:type="dxa"/>
            <w:tcBorders>
              <w:top w:val="single" w:sz="4" w:space="0" w:color="auto"/>
            </w:tcBorders>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1990 </w:t>
            </w:r>
          </w:p>
        </w:tc>
        <w:tc>
          <w:tcPr>
            <w:tcW w:w="1685" w:type="dxa"/>
            <w:tcBorders>
              <w:top w:val="single" w:sz="4" w:space="0" w:color="auto"/>
            </w:tcBorders>
          </w:tcPr>
          <w:p w:rsidR="00000000" w:rsidRDefault="00000000">
            <w:pPr>
              <w:tabs>
                <w:tab w:val="decimal" w:pos="879"/>
              </w:tabs>
              <w:autoSpaceDE w:val="0"/>
              <w:autoSpaceDN w:val="0"/>
              <w:adjustRightInd w:val="0"/>
              <w:spacing w:before="60" w:after="60"/>
              <w:rPr>
                <w:color w:val="000000"/>
                <w:sz w:val="20"/>
                <w:szCs w:val="22"/>
                <w:lang w:val="fr-FR"/>
              </w:rPr>
            </w:pPr>
            <w:r>
              <w:rPr>
                <w:color w:val="000000"/>
                <w:sz w:val="20"/>
                <w:szCs w:val="22"/>
                <w:lang w:val="fr-FR"/>
              </w:rPr>
              <w:t xml:space="preserve">2 441,32 </w:t>
            </w:r>
          </w:p>
        </w:tc>
        <w:tc>
          <w:tcPr>
            <w:tcW w:w="1515" w:type="dxa"/>
            <w:tcBorders>
              <w:top w:val="single" w:sz="4" w:space="0" w:color="auto"/>
            </w:tcBorders>
          </w:tcPr>
          <w:p w:rsidR="00000000" w:rsidRDefault="00000000">
            <w:pPr>
              <w:tabs>
                <w:tab w:val="decimal" w:pos="879"/>
              </w:tabs>
              <w:autoSpaceDE w:val="0"/>
              <w:autoSpaceDN w:val="0"/>
              <w:adjustRightInd w:val="0"/>
              <w:spacing w:before="60" w:after="60"/>
              <w:rPr>
                <w:color w:val="000000"/>
                <w:sz w:val="20"/>
                <w:szCs w:val="22"/>
                <w:lang w:val="fr-FR"/>
              </w:rPr>
            </w:pPr>
            <w:r>
              <w:rPr>
                <w:color w:val="000000"/>
                <w:sz w:val="20"/>
                <w:szCs w:val="22"/>
                <w:lang w:val="fr-FR"/>
              </w:rPr>
              <w:t xml:space="preserve">59,59 </w:t>
            </w:r>
          </w:p>
        </w:tc>
        <w:tc>
          <w:tcPr>
            <w:tcW w:w="1078" w:type="dxa"/>
            <w:tcBorders>
              <w:top w:val="single" w:sz="4" w:space="0" w:color="auto"/>
            </w:tcBorders>
          </w:tcPr>
          <w:p w:rsidR="00000000" w:rsidRDefault="00000000">
            <w:pPr>
              <w:tabs>
                <w:tab w:val="decimal" w:pos="577"/>
              </w:tabs>
              <w:autoSpaceDE w:val="0"/>
              <w:autoSpaceDN w:val="0"/>
              <w:adjustRightInd w:val="0"/>
              <w:spacing w:before="60" w:after="60"/>
              <w:rPr>
                <w:color w:val="000000"/>
                <w:sz w:val="20"/>
                <w:szCs w:val="22"/>
                <w:lang w:val="fr-FR"/>
              </w:rPr>
            </w:pPr>
            <w:r>
              <w:rPr>
                <w:color w:val="000000"/>
                <w:sz w:val="20"/>
                <w:szCs w:val="22"/>
                <w:lang w:val="fr-FR"/>
              </w:rPr>
              <w:t xml:space="preserve">49,53  </w:t>
            </w:r>
          </w:p>
        </w:tc>
      </w:tr>
      <w:tr w:rsidR="00000000">
        <w:tblPrEx>
          <w:tblCellMar>
            <w:top w:w="0" w:type="dxa"/>
            <w:bottom w:w="0" w:type="dxa"/>
          </w:tblCellMar>
        </w:tblPrEx>
        <w:trPr>
          <w:jc w:val="center"/>
        </w:trPr>
        <w:tc>
          <w:tcPr>
            <w:tcW w:w="1056"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1995 </w:t>
            </w:r>
          </w:p>
        </w:tc>
        <w:tc>
          <w:tcPr>
            <w:tcW w:w="1685" w:type="dxa"/>
          </w:tcPr>
          <w:p w:rsidR="00000000" w:rsidRDefault="00000000">
            <w:pPr>
              <w:tabs>
                <w:tab w:val="decimal" w:pos="879"/>
              </w:tabs>
              <w:autoSpaceDE w:val="0"/>
              <w:autoSpaceDN w:val="0"/>
              <w:adjustRightInd w:val="0"/>
              <w:spacing w:before="60" w:after="60"/>
              <w:rPr>
                <w:color w:val="000000"/>
                <w:sz w:val="20"/>
                <w:szCs w:val="22"/>
                <w:lang w:val="fr-FR"/>
              </w:rPr>
            </w:pPr>
            <w:r>
              <w:rPr>
                <w:color w:val="000000"/>
                <w:sz w:val="20"/>
                <w:szCs w:val="22"/>
                <w:lang w:val="fr-FR"/>
              </w:rPr>
              <w:t xml:space="preserve">2 588,89 </w:t>
            </w:r>
          </w:p>
        </w:tc>
        <w:tc>
          <w:tcPr>
            <w:tcW w:w="1515" w:type="dxa"/>
          </w:tcPr>
          <w:p w:rsidR="00000000" w:rsidRDefault="00000000">
            <w:pPr>
              <w:tabs>
                <w:tab w:val="decimal" w:pos="879"/>
              </w:tabs>
              <w:autoSpaceDE w:val="0"/>
              <w:autoSpaceDN w:val="0"/>
              <w:adjustRightInd w:val="0"/>
              <w:spacing w:before="60" w:after="60"/>
              <w:rPr>
                <w:color w:val="000000"/>
                <w:sz w:val="20"/>
                <w:szCs w:val="22"/>
                <w:lang w:val="fr-FR"/>
              </w:rPr>
            </w:pPr>
            <w:r>
              <w:rPr>
                <w:color w:val="000000"/>
                <w:sz w:val="20"/>
                <w:szCs w:val="22"/>
                <w:lang w:val="fr-FR"/>
              </w:rPr>
              <w:t xml:space="preserve">61,91 </w:t>
            </w:r>
          </w:p>
        </w:tc>
        <w:tc>
          <w:tcPr>
            <w:tcW w:w="1078" w:type="dxa"/>
          </w:tcPr>
          <w:p w:rsidR="00000000" w:rsidRDefault="00000000">
            <w:pPr>
              <w:tabs>
                <w:tab w:val="decimal" w:pos="577"/>
              </w:tabs>
              <w:autoSpaceDE w:val="0"/>
              <w:autoSpaceDN w:val="0"/>
              <w:adjustRightInd w:val="0"/>
              <w:spacing w:before="60" w:after="60"/>
              <w:rPr>
                <w:color w:val="000000"/>
                <w:sz w:val="20"/>
                <w:szCs w:val="22"/>
                <w:lang w:val="fr-FR"/>
              </w:rPr>
            </w:pPr>
            <w:r>
              <w:rPr>
                <w:color w:val="000000"/>
                <w:sz w:val="20"/>
                <w:szCs w:val="22"/>
                <w:lang w:val="fr-FR"/>
              </w:rPr>
              <w:t xml:space="preserve">56,56  </w:t>
            </w:r>
          </w:p>
        </w:tc>
      </w:tr>
      <w:tr w:rsidR="00000000">
        <w:tblPrEx>
          <w:tblCellMar>
            <w:top w:w="0" w:type="dxa"/>
            <w:bottom w:w="0" w:type="dxa"/>
          </w:tblCellMar>
        </w:tblPrEx>
        <w:trPr>
          <w:jc w:val="center"/>
        </w:trPr>
        <w:tc>
          <w:tcPr>
            <w:tcW w:w="1056"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1996 </w:t>
            </w:r>
          </w:p>
        </w:tc>
        <w:tc>
          <w:tcPr>
            <w:tcW w:w="1685" w:type="dxa"/>
          </w:tcPr>
          <w:p w:rsidR="00000000" w:rsidRDefault="00000000">
            <w:pPr>
              <w:tabs>
                <w:tab w:val="decimal" w:pos="879"/>
              </w:tabs>
              <w:autoSpaceDE w:val="0"/>
              <w:autoSpaceDN w:val="0"/>
              <w:adjustRightInd w:val="0"/>
              <w:spacing w:before="60" w:after="60"/>
              <w:rPr>
                <w:color w:val="000000"/>
                <w:sz w:val="20"/>
                <w:szCs w:val="22"/>
                <w:lang w:val="fr-FR"/>
              </w:rPr>
            </w:pPr>
            <w:r>
              <w:rPr>
                <w:color w:val="000000"/>
                <w:sz w:val="20"/>
                <w:szCs w:val="22"/>
                <w:lang w:val="fr-FR"/>
              </w:rPr>
              <w:t xml:space="preserve">2 565,75 </w:t>
            </w:r>
          </w:p>
        </w:tc>
        <w:tc>
          <w:tcPr>
            <w:tcW w:w="1515" w:type="dxa"/>
          </w:tcPr>
          <w:p w:rsidR="00000000" w:rsidRDefault="00000000">
            <w:pPr>
              <w:tabs>
                <w:tab w:val="decimal" w:pos="879"/>
              </w:tabs>
              <w:autoSpaceDE w:val="0"/>
              <w:autoSpaceDN w:val="0"/>
              <w:adjustRightInd w:val="0"/>
              <w:spacing w:before="60" w:after="60"/>
              <w:rPr>
                <w:color w:val="000000"/>
                <w:sz w:val="20"/>
                <w:szCs w:val="22"/>
                <w:lang w:val="fr-FR"/>
              </w:rPr>
            </w:pPr>
            <w:r>
              <w:rPr>
                <w:color w:val="000000"/>
                <w:sz w:val="20"/>
                <w:szCs w:val="22"/>
                <w:lang w:val="fr-FR"/>
              </w:rPr>
              <w:t xml:space="preserve">66,67 </w:t>
            </w:r>
          </w:p>
        </w:tc>
        <w:tc>
          <w:tcPr>
            <w:tcW w:w="1078" w:type="dxa"/>
          </w:tcPr>
          <w:p w:rsidR="00000000" w:rsidRDefault="00000000">
            <w:pPr>
              <w:tabs>
                <w:tab w:val="decimal" w:pos="577"/>
              </w:tabs>
              <w:autoSpaceDE w:val="0"/>
              <w:autoSpaceDN w:val="0"/>
              <w:adjustRightInd w:val="0"/>
              <w:spacing w:before="60" w:after="60"/>
              <w:rPr>
                <w:color w:val="000000"/>
                <w:sz w:val="20"/>
                <w:szCs w:val="22"/>
                <w:lang w:val="fr-FR"/>
              </w:rPr>
            </w:pPr>
            <w:r>
              <w:rPr>
                <w:color w:val="000000"/>
                <w:sz w:val="20"/>
                <w:szCs w:val="22"/>
                <w:lang w:val="fr-FR"/>
              </w:rPr>
              <w:t xml:space="preserve">60,94  </w:t>
            </w:r>
          </w:p>
        </w:tc>
      </w:tr>
      <w:tr w:rsidR="00000000">
        <w:tblPrEx>
          <w:tblCellMar>
            <w:top w:w="0" w:type="dxa"/>
            <w:bottom w:w="0" w:type="dxa"/>
          </w:tblCellMar>
        </w:tblPrEx>
        <w:trPr>
          <w:jc w:val="center"/>
        </w:trPr>
        <w:tc>
          <w:tcPr>
            <w:tcW w:w="1056"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1997 </w:t>
            </w:r>
          </w:p>
        </w:tc>
        <w:tc>
          <w:tcPr>
            <w:tcW w:w="1685" w:type="dxa"/>
          </w:tcPr>
          <w:p w:rsidR="00000000" w:rsidRDefault="00000000">
            <w:pPr>
              <w:tabs>
                <w:tab w:val="decimal" w:pos="879"/>
              </w:tabs>
              <w:autoSpaceDE w:val="0"/>
              <w:autoSpaceDN w:val="0"/>
              <w:adjustRightInd w:val="0"/>
              <w:spacing w:before="60" w:after="60"/>
              <w:rPr>
                <w:color w:val="000000"/>
                <w:sz w:val="20"/>
                <w:szCs w:val="22"/>
                <w:lang w:val="fr-FR"/>
              </w:rPr>
            </w:pPr>
            <w:r>
              <w:rPr>
                <w:color w:val="000000"/>
                <w:sz w:val="20"/>
                <w:szCs w:val="22"/>
                <w:lang w:val="fr-FR"/>
              </w:rPr>
              <w:t xml:space="preserve">2 628,14 </w:t>
            </w:r>
          </w:p>
        </w:tc>
        <w:tc>
          <w:tcPr>
            <w:tcW w:w="1515" w:type="dxa"/>
          </w:tcPr>
          <w:p w:rsidR="00000000" w:rsidRDefault="00000000">
            <w:pPr>
              <w:tabs>
                <w:tab w:val="decimal" w:pos="879"/>
              </w:tabs>
              <w:autoSpaceDE w:val="0"/>
              <w:autoSpaceDN w:val="0"/>
              <w:adjustRightInd w:val="0"/>
              <w:spacing w:before="60" w:after="60"/>
              <w:rPr>
                <w:color w:val="000000"/>
                <w:sz w:val="20"/>
                <w:szCs w:val="22"/>
                <w:lang w:val="fr-FR"/>
              </w:rPr>
            </w:pPr>
            <w:r>
              <w:rPr>
                <w:color w:val="000000"/>
                <w:sz w:val="20"/>
                <w:szCs w:val="22"/>
                <w:lang w:val="fr-FR"/>
              </w:rPr>
              <w:t xml:space="preserve">67,71 </w:t>
            </w:r>
          </w:p>
        </w:tc>
        <w:tc>
          <w:tcPr>
            <w:tcW w:w="1078" w:type="dxa"/>
          </w:tcPr>
          <w:p w:rsidR="00000000" w:rsidRDefault="00000000">
            <w:pPr>
              <w:tabs>
                <w:tab w:val="decimal" w:pos="577"/>
              </w:tabs>
              <w:autoSpaceDE w:val="0"/>
              <w:autoSpaceDN w:val="0"/>
              <w:adjustRightInd w:val="0"/>
              <w:spacing w:before="60" w:after="60"/>
              <w:rPr>
                <w:color w:val="000000"/>
                <w:sz w:val="20"/>
                <w:szCs w:val="22"/>
                <w:lang w:val="fr-FR"/>
              </w:rPr>
            </w:pPr>
            <w:r>
              <w:rPr>
                <w:color w:val="000000"/>
                <w:sz w:val="20"/>
                <w:szCs w:val="22"/>
                <w:lang w:val="fr-FR"/>
              </w:rPr>
              <w:t xml:space="preserve">66,12  </w:t>
            </w:r>
          </w:p>
        </w:tc>
      </w:tr>
      <w:tr w:rsidR="00000000">
        <w:tblPrEx>
          <w:tblCellMar>
            <w:top w:w="0" w:type="dxa"/>
            <w:bottom w:w="0" w:type="dxa"/>
          </w:tblCellMar>
        </w:tblPrEx>
        <w:trPr>
          <w:jc w:val="center"/>
        </w:trPr>
        <w:tc>
          <w:tcPr>
            <w:tcW w:w="1056"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1998 </w:t>
            </w:r>
          </w:p>
        </w:tc>
        <w:tc>
          <w:tcPr>
            <w:tcW w:w="1685" w:type="dxa"/>
          </w:tcPr>
          <w:p w:rsidR="00000000" w:rsidRDefault="00000000">
            <w:pPr>
              <w:tabs>
                <w:tab w:val="decimal" w:pos="879"/>
              </w:tabs>
              <w:autoSpaceDE w:val="0"/>
              <w:autoSpaceDN w:val="0"/>
              <w:adjustRightInd w:val="0"/>
              <w:spacing w:before="60" w:after="60"/>
              <w:rPr>
                <w:color w:val="000000"/>
                <w:sz w:val="20"/>
                <w:szCs w:val="22"/>
                <w:lang w:val="fr-FR"/>
              </w:rPr>
            </w:pPr>
            <w:r>
              <w:rPr>
                <w:color w:val="000000"/>
                <w:sz w:val="20"/>
                <w:szCs w:val="22"/>
                <w:lang w:val="fr-FR"/>
              </w:rPr>
              <w:t xml:space="preserve">2 509,04 </w:t>
            </w:r>
          </w:p>
        </w:tc>
        <w:tc>
          <w:tcPr>
            <w:tcW w:w="1515" w:type="dxa"/>
          </w:tcPr>
          <w:p w:rsidR="00000000" w:rsidRDefault="00000000">
            <w:pPr>
              <w:tabs>
                <w:tab w:val="decimal" w:pos="879"/>
              </w:tabs>
              <w:autoSpaceDE w:val="0"/>
              <w:autoSpaceDN w:val="0"/>
              <w:adjustRightInd w:val="0"/>
              <w:spacing w:before="60" w:after="60"/>
              <w:rPr>
                <w:color w:val="000000"/>
                <w:sz w:val="20"/>
                <w:szCs w:val="22"/>
                <w:lang w:val="fr-FR"/>
              </w:rPr>
            </w:pPr>
            <w:r>
              <w:rPr>
                <w:color w:val="000000"/>
                <w:sz w:val="20"/>
                <w:szCs w:val="22"/>
                <w:lang w:val="fr-FR"/>
              </w:rPr>
              <w:t xml:space="preserve">61,50 </w:t>
            </w:r>
          </w:p>
        </w:tc>
        <w:tc>
          <w:tcPr>
            <w:tcW w:w="1078" w:type="dxa"/>
          </w:tcPr>
          <w:p w:rsidR="00000000" w:rsidRDefault="00000000">
            <w:pPr>
              <w:tabs>
                <w:tab w:val="decimal" w:pos="577"/>
              </w:tabs>
              <w:autoSpaceDE w:val="0"/>
              <w:autoSpaceDN w:val="0"/>
              <w:adjustRightInd w:val="0"/>
              <w:spacing w:before="60" w:after="60"/>
              <w:rPr>
                <w:color w:val="000000"/>
                <w:sz w:val="20"/>
                <w:szCs w:val="22"/>
                <w:lang w:val="fr-FR"/>
              </w:rPr>
            </w:pPr>
            <w:r>
              <w:rPr>
                <w:color w:val="000000"/>
                <w:sz w:val="20"/>
                <w:szCs w:val="22"/>
                <w:lang w:val="fr-FR"/>
              </w:rPr>
              <w:t xml:space="preserve">63,55  </w:t>
            </w:r>
          </w:p>
        </w:tc>
      </w:tr>
    </w:tbl>
    <w:p w:rsidR="00000000" w:rsidRDefault="00000000">
      <w:pPr>
        <w:autoSpaceDE w:val="0"/>
        <w:autoSpaceDN w:val="0"/>
        <w:adjustRightInd w:val="0"/>
        <w:spacing w:before="80" w:after="360"/>
        <w:ind w:left="1701"/>
        <w:rPr>
          <w:color w:val="000000"/>
          <w:sz w:val="20"/>
          <w:szCs w:val="22"/>
          <w:lang w:val="fr-FR"/>
        </w:rPr>
      </w:pPr>
      <w:r>
        <w:rPr>
          <w:i/>
          <w:iCs/>
          <w:color w:val="000000"/>
          <w:sz w:val="20"/>
          <w:szCs w:val="22"/>
          <w:lang w:val="fr-FR"/>
        </w:rPr>
        <w:t>Source :</w:t>
      </w:r>
      <w:r>
        <w:rPr>
          <w:color w:val="000000"/>
          <w:sz w:val="20"/>
          <w:szCs w:val="22"/>
          <w:lang w:val="fr-FR"/>
        </w:rPr>
        <w:t xml:space="preserve"> Ministère l'agriculture et de l'élevage, Fiches de bilan alimentaire.  </w:t>
      </w:r>
    </w:p>
    <w:p w:rsidR="00000000" w:rsidRDefault="00000000">
      <w:pPr>
        <w:spacing w:after="240"/>
        <w:rPr>
          <w:color w:val="000000"/>
          <w:lang w:val="fr-FR"/>
        </w:rPr>
      </w:pPr>
      <w:r>
        <w:rPr>
          <w:color w:val="000000"/>
          <w:lang w:val="fr-FR"/>
        </w:rPr>
        <w:t>294.</w:t>
      </w:r>
      <w:r>
        <w:rPr>
          <w:color w:val="000000"/>
          <w:lang w:val="fr-FR"/>
        </w:rPr>
        <w:tab/>
        <w:t>En ce qui concerne la situation alimentaire et nutritionnelle de la population équatorienne au cours des dernières années, bien que la production alimentaire soit suffisante dans le pays pour satisfaire la demande globale, le principal problème réside dans la capacité qu'a la population de se procurer des denrées alimentaires, en raison de l'accroissement de la pauvreté dont souffre toutes les populations marginales, tant rurales qu’urbaines, du fait de l'inégale répartition de la richesse et d'une politique salariale déficiente, qui se sont traduites par une dégradation du pouvoir d'achat des salariés et a obligé les ménages à changer la structure de leurs dépenses.</w:t>
      </w:r>
    </w:p>
    <w:p w:rsidR="00000000" w:rsidRDefault="00000000">
      <w:pPr>
        <w:spacing w:after="240"/>
        <w:rPr>
          <w:color w:val="000000"/>
          <w:lang w:val="fr-FR"/>
        </w:rPr>
      </w:pPr>
      <w:r>
        <w:rPr>
          <w:color w:val="000000"/>
          <w:lang w:val="fr-FR"/>
        </w:rPr>
        <w:t>295.</w:t>
      </w:r>
      <w:r>
        <w:rPr>
          <w:color w:val="000000"/>
          <w:lang w:val="fr-FR"/>
        </w:rPr>
        <w:tab/>
        <w:t>D'autres variables sont directement liées à la pauvreté, comme le nombre trop élevé d'enfants par famille, le faible niveau d'éducation et de culture, et des mères en particulier, l'absence dans les communautés de système d’évacuation des eaux usées, de réseau d'eau potable et de services de collecte des ordures.</w:t>
      </w:r>
    </w:p>
    <w:p w:rsidR="00000000" w:rsidRDefault="00000000">
      <w:pPr>
        <w:spacing w:after="240"/>
        <w:rPr>
          <w:color w:val="000000"/>
          <w:lang w:val="fr-FR"/>
        </w:rPr>
      </w:pPr>
      <w:r>
        <w:rPr>
          <w:color w:val="000000"/>
          <w:lang w:val="fr-FR"/>
        </w:rPr>
        <w:t>296.</w:t>
      </w:r>
      <w:r>
        <w:rPr>
          <w:color w:val="000000"/>
          <w:lang w:val="fr-FR"/>
        </w:rPr>
        <w:tab/>
        <w:t>La population est estimée pour 1999 à 12 441 232 habitants, dont 42 %, soit 5 225 317 personnes, vivent dans les zones rurales.  Environ 78,5 % des équatoriens vivent en dessous du seuil de pauvreté.  Dans les zones rurales, le pourcentage correspondant atteint 90 %.  C'est dans ces zones que réside la majeure partie de la population autochtone et noire.  D'après le sixième recensement de la population et cinquième recensement de l'habitation, le nombre d'habitants en Équateur est de 12 090 804</w:t>
      </w:r>
      <w:r>
        <w:rPr>
          <w:rStyle w:val="FootnoteReference"/>
          <w:b/>
          <w:color w:val="000000"/>
          <w:lang w:val="fr-FR"/>
        </w:rPr>
        <w:footnoteReference w:id="39"/>
      </w:r>
      <w:r>
        <w:rPr>
          <w:color w:val="000000"/>
          <w:lang w:val="fr-FR"/>
        </w:rPr>
        <w:t>.</w:t>
      </w:r>
    </w:p>
    <w:p w:rsidR="00000000" w:rsidRDefault="00000000">
      <w:pPr>
        <w:spacing w:after="240"/>
        <w:rPr>
          <w:color w:val="000000"/>
          <w:lang w:val="fr-FR"/>
        </w:rPr>
      </w:pPr>
      <w:r>
        <w:rPr>
          <w:color w:val="000000"/>
          <w:lang w:val="fr-FR"/>
        </w:rPr>
        <w:t>297.</w:t>
      </w:r>
      <w:r>
        <w:rPr>
          <w:color w:val="000000"/>
          <w:lang w:val="fr-FR"/>
        </w:rPr>
        <w:tab/>
        <w:t>Le Ministère de la santé exécute depuis 1995 le Programme intégré de micronutriments (PIM), par l'intermédiaire de l’Institut national de la science et de la technologie (ICT), et espère améliorer la situation nutritionnelle de la population en ce qui concerne les micronutriments (carences en iode, en fer et en vitamines A).  Il ressort essentiellement des études de l’Institut que 55 femmes sur cent souffrent d'anémie plus ou moins sévère et que cette déficience affecte plus particulièrement la population des zones rurales isolées, où 57 % des habitants souffren d'anémie</w:t>
      </w:r>
      <w:r>
        <w:rPr>
          <w:rStyle w:val="FootnoteReference"/>
          <w:b/>
          <w:color w:val="000000"/>
          <w:lang w:val="fr-FR"/>
        </w:rPr>
        <w:footnoteReference w:id="40"/>
      </w:r>
      <w:r>
        <w:rPr>
          <w:color w:val="000000"/>
          <w:lang w:val="fr-FR"/>
        </w:rPr>
        <w:t>.</w:t>
      </w:r>
    </w:p>
    <w:p w:rsidR="00000000" w:rsidRDefault="00000000">
      <w:pPr>
        <w:spacing w:after="360"/>
        <w:rPr>
          <w:color w:val="000000"/>
          <w:lang w:val="fr-FR"/>
        </w:rPr>
      </w:pPr>
      <w:r>
        <w:rPr>
          <w:color w:val="000000"/>
          <w:lang w:val="fr-FR"/>
        </w:rPr>
        <w:t>298.</w:t>
      </w:r>
      <w:r>
        <w:rPr>
          <w:color w:val="000000"/>
          <w:lang w:val="fr-FR"/>
        </w:rPr>
        <w:tab/>
        <w:t>Au plan national, la valeur moyenne d'hémoglobine était de 12,5 +/- 1,9 g/dl; pour les hommes, la moyenne était de 12,9 +/-2,1 g/dl et, pour les femmes, de 12,2 +/-1,7 g/dl; 46,8 % des hommes et 54,8 % des femmes avaient de l'anémie.  Parmi la population noire, la valeur moyenne d'hémoglobine était de 11,7 +/-2,0 g/dl, ce qui était inférieur à la moyenne de 12,5 +/- g/dl enregistrée dans la population métisse.  Le pourcentage de personnes atteintes d'anémie était de 65 % pour la population noire est de 50,8 % pour la population métisse.</w:t>
      </w:r>
    </w:p>
    <w:p w:rsidR="00000000" w:rsidRDefault="00000000">
      <w:pPr>
        <w:autoSpaceDE w:val="0"/>
        <w:autoSpaceDN w:val="0"/>
        <w:adjustRightInd w:val="0"/>
        <w:spacing w:after="120"/>
        <w:jc w:val="center"/>
        <w:rPr>
          <w:b/>
          <w:bCs/>
          <w:color w:val="000000"/>
          <w:sz w:val="20"/>
          <w:szCs w:val="22"/>
          <w:lang w:val="fr-FR"/>
        </w:rPr>
      </w:pPr>
      <w:r>
        <w:rPr>
          <w:b/>
          <w:bCs/>
          <w:color w:val="000000"/>
          <w:sz w:val="20"/>
          <w:szCs w:val="22"/>
          <w:lang w:val="fr-FR"/>
        </w:rPr>
        <w:t>Valeurs d’hémoglobine et prévalence de l'anémie, par sexe et par ethnie, Équateur, 1997</w:t>
      </w:r>
    </w:p>
    <w:tbl>
      <w:tblPr>
        <w:tblW w:w="0" w:type="auto"/>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356"/>
        <w:gridCol w:w="1356"/>
        <w:gridCol w:w="1356"/>
        <w:gridCol w:w="1357"/>
        <w:gridCol w:w="1357"/>
        <w:gridCol w:w="1357"/>
      </w:tblGrid>
      <w:tr w:rsidR="00000000">
        <w:tblPrEx>
          <w:tblCellMar>
            <w:top w:w="0" w:type="dxa"/>
            <w:bottom w:w="0" w:type="dxa"/>
          </w:tblCellMar>
        </w:tblPrEx>
        <w:trPr>
          <w:cantSplit/>
          <w:jc w:val="center"/>
        </w:trPr>
        <w:tc>
          <w:tcPr>
            <w:tcW w:w="1356"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Variable</w:t>
            </w:r>
          </w:p>
        </w:tc>
        <w:tc>
          <w:tcPr>
            <w:tcW w:w="1356"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Échantillon total</w:t>
            </w:r>
          </w:p>
        </w:tc>
        <w:tc>
          <w:tcPr>
            <w:tcW w:w="2713" w:type="dxa"/>
            <w:gridSpan w:val="2"/>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Hémoglobine</w:t>
            </w:r>
          </w:p>
        </w:tc>
        <w:tc>
          <w:tcPr>
            <w:tcW w:w="2714" w:type="dxa"/>
            <w:gridSpan w:val="2"/>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Anémie</w:t>
            </w:r>
          </w:p>
        </w:tc>
      </w:tr>
      <w:tr w:rsidR="00000000">
        <w:tblPrEx>
          <w:tblCellMar>
            <w:top w:w="0" w:type="dxa"/>
            <w:bottom w:w="0" w:type="dxa"/>
          </w:tblCellMar>
        </w:tblPrEx>
        <w:trPr>
          <w:cantSplit/>
          <w:jc w:val="center"/>
        </w:trPr>
        <w:tc>
          <w:tcPr>
            <w:tcW w:w="1356" w:type="dxa"/>
            <w:vMerge/>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p>
        </w:tc>
        <w:tc>
          <w:tcPr>
            <w:tcW w:w="1356" w:type="dxa"/>
            <w:vMerge/>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p>
        </w:tc>
        <w:tc>
          <w:tcPr>
            <w:tcW w:w="1356"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Moyenne</w:t>
            </w:r>
          </w:p>
        </w:tc>
        <w:tc>
          <w:tcPr>
            <w:tcW w:w="1357"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Écart type</w:t>
            </w:r>
          </w:p>
        </w:tc>
        <w:tc>
          <w:tcPr>
            <w:tcW w:w="1357"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Nombre</w:t>
            </w:r>
          </w:p>
        </w:tc>
        <w:tc>
          <w:tcPr>
            <w:tcW w:w="1357"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Pourcentage</w:t>
            </w:r>
          </w:p>
        </w:tc>
      </w:tr>
      <w:tr w:rsidR="00000000">
        <w:tblPrEx>
          <w:tblCellMar>
            <w:top w:w="0" w:type="dxa"/>
            <w:bottom w:w="0" w:type="dxa"/>
          </w:tblCellMar>
        </w:tblPrEx>
        <w:trPr>
          <w:jc w:val="center"/>
        </w:trPr>
        <w:tc>
          <w:tcPr>
            <w:tcW w:w="1356" w:type="dxa"/>
            <w:tcBorders>
              <w:top w:val="single" w:sz="4" w:space="0" w:color="auto"/>
            </w:tcBorders>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Sexe  </w:t>
            </w:r>
          </w:p>
        </w:tc>
        <w:tc>
          <w:tcPr>
            <w:tcW w:w="1356" w:type="dxa"/>
            <w:tcBorders>
              <w:top w:val="single" w:sz="4" w:space="0" w:color="auto"/>
            </w:tcBorders>
          </w:tcPr>
          <w:p w:rsidR="00000000" w:rsidRDefault="00000000">
            <w:pPr>
              <w:autoSpaceDE w:val="0"/>
              <w:autoSpaceDN w:val="0"/>
              <w:adjustRightInd w:val="0"/>
              <w:spacing w:before="40" w:after="40"/>
              <w:rPr>
                <w:color w:val="000000"/>
                <w:sz w:val="20"/>
                <w:szCs w:val="22"/>
                <w:lang w:val="fr-FR"/>
              </w:rPr>
            </w:pPr>
          </w:p>
        </w:tc>
        <w:tc>
          <w:tcPr>
            <w:tcW w:w="1356" w:type="dxa"/>
            <w:tcBorders>
              <w:top w:val="single" w:sz="4" w:space="0" w:color="auto"/>
            </w:tcBorders>
          </w:tcPr>
          <w:p w:rsidR="00000000" w:rsidRDefault="00000000">
            <w:pPr>
              <w:autoSpaceDE w:val="0"/>
              <w:autoSpaceDN w:val="0"/>
              <w:adjustRightInd w:val="0"/>
              <w:spacing w:before="40" w:after="40"/>
              <w:rPr>
                <w:color w:val="000000"/>
                <w:sz w:val="20"/>
                <w:szCs w:val="22"/>
                <w:lang w:val="fr-FR"/>
              </w:rPr>
            </w:pPr>
          </w:p>
        </w:tc>
        <w:tc>
          <w:tcPr>
            <w:tcW w:w="1357" w:type="dxa"/>
            <w:tcBorders>
              <w:top w:val="single" w:sz="4" w:space="0" w:color="auto"/>
            </w:tcBorders>
          </w:tcPr>
          <w:p w:rsidR="00000000" w:rsidRDefault="00000000">
            <w:pPr>
              <w:autoSpaceDE w:val="0"/>
              <w:autoSpaceDN w:val="0"/>
              <w:adjustRightInd w:val="0"/>
              <w:spacing w:before="40" w:after="40"/>
              <w:rPr>
                <w:color w:val="000000"/>
                <w:sz w:val="20"/>
                <w:szCs w:val="22"/>
                <w:lang w:val="fr-FR"/>
              </w:rPr>
            </w:pPr>
          </w:p>
        </w:tc>
        <w:tc>
          <w:tcPr>
            <w:tcW w:w="1357" w:type="dxa"/>
            <w:tcBorders>
              <w:top w:val="single" w:sz="4" w:space="0" w:color="auto"/>
            </w:tcBorders>
          </w:tcPr>
          <w:p w:rsidR="00000000" w:rsidRDefault="00000000">
            <w:pPr>
              <w:autoSpaceDE w:val="0"/>
              <w:autoSpaceDN w:val="0"/>
              <w:adjustRightInd w:val="0"/>
              <w:spacing w:before="40" w:after="40"/>
              <w:rPr>
                <w:color w:val="000000"/>
                <w:sz w:val="20"/>
                <w:szCs w:val="22"/>
                <w:lang w:val="fr-FR"/>
              </w:rPr>
            </w:pPr>
          </w:p>
        </w:tc>
        <w:tc>
          <w:tcPr>
            <w:tcW w:w="1357" w:type="dxa"/>
            <w:tcBorders>
              <w:top w:val="single" w:sz="4" w:space="0" w:color="auto"/>
            </w:tcBorders>
          </w:tcPr>
          <w:p w:rsidR="00000000" w:rsidRDefault="00000000">
            <w:pPr>
              <w:autoSpaceDE w:val="0"/>
              <w:autoSpaceDN w:val="0"/>
              <w:adjustRightInd w:val="0"/>
              <w:spacing w:before="40" w:after="40"/>
              <w:rPr>
                <w:color w:val="000000"/>
                <w:sz w:val="20"/>
                <w:szCs w:val="22"/>
                <w:lang w:val="fr-FR"/>
              </w:rPr>
            </w:pPr>
          </w:p>
        </w:tc>
      </w:tr>
      <w:tr w:rsidR="00000000">
        <w:tblPrEx>
          <w:tblCellMar>
            <w:top w:w="0" w:type="dxa"/>
            <w:bottom w:w="0" w:type="dxa"/>
          </w:tblCellMar>
        </w:tblPrEx>
        <w:trPr>
          <w:jc w:val="center"/>
        </w:trPr>
        <w:tc>
          <w:tcPr>
            <w:tcW w:w="1356"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  Masculin </w:t>
            </w:r>
          </w:p>
        </w:tc>
        <w:tc>
          <w:tcPr>
            <w:tcW w:w="1356" w:type="dxa"/>
          </w:tcPr>
          <w:p w:rsidR="00000000" w:rsidRDefault="00000000">
            <w:pPr>
              <w:autoSpaceDE w:val="0"/>
              <w:autoSpaceDN w:val="0"/>
              <w:adjustRightInd w:val="0"/>
              <w:spacing w:before="40" w:after="40"/>
              <w:ind w:right="396"/>
              <w:jc w:val="right"/>
              <w:rPr>
                <w:color w:val="000000"/>
                <w:sz w:val="20"/>
                <w:szCs w:val="22"/>
                <w:lang w:val="fr-FR"/>
              </w:rPr>
            </w:pPr>
            <w:r>
              <w:rPr>
                <w:color w:val="000000"/>
                <w:sz w:val="20"/>
                <w:szCs w:val="22"/>
                <w:lang w:val="fr-FR"/>
              </w:rPr>
              <w:t xml:space="preserve">3 271 </w:t>
            </w:r>
          </w:p>
        </w:tc>
        <w:tc>
          <w:tcPr>
            <w:tcW w:w="1356" w:type="dxa"/>
          </w:tcPr>
          <w:p w:rsidR="00000000" w:rsidRDefault="00000000">
            <w:pPr>
              <w:tabs>
                <w:tab w:val="decimal" w:pos="541"/>
              </w:tabs>
              <w:autoSpaceDE w:val="0"/>
              <w:autoSpaceDN w:val="0"/>
              <w:adjustRightInd w:val="0"/>
              <w:spacing w:before="40" w:after="40"/>
              <w:rPr>
                <w:color w:val="000000"/>
                <w:sz w:val="20"/>
                <w:szCs w:val="22"/>
                <w:lang w:val="fr-FR"/>
              </w:rPr>
            </w:pPr>
            <w:r>
              <w:rPr>
                <w:color w:val="000000"/>
                <w:sz w:val="20"/>
                <w:szCs w:val="22"/>
                <w:lang w:val="fr-FR"/>
              </w:rPr>
              <w:t xml:space="preserve">12,9 </w:t>
            </w:r>
          </w:p>
        </w:tc>
        <w:tc>
          <w:tcPr>
            <w:tcW w:w="1357" w:type="dxa"/>
          </w:tcPr>
          <w:p w:rsidR="00000000" w:rsidRDefault="00000000">
            <w:pPr>
              <w:tabs>
                <w:tab w:val="decimal" w:pos="541"/>
              </w:tabs>
              <w:autoSpaceDE w:val="0"/>
              <w:autoSpaceDN w:val="0"/>
              <w:adjustRightInd w:val="0"/>
              <w:spacing w:before="40" w:after="40"/>
              <w:rPr>
                <w:color w:val="000000"/>
                <w:sz w:val="20"/>
                <w:szCs w:val="22"/>
                <w:lang w:val="fr-FR"/>
              </w:rPr>
            </w:pPr>
            <w:r>
              <w:rPr>
                <w:color w:val="000000"/>
                <w:sz w:val="20"/>
                <w:szCs w:val="22"/>
                <w:lang w:val="fr-FR"/>
              </w:rPr>
              <w:t xml:space="preserve">2,1 </w:t>
            </w:r>
          </w:p>
        </w:tc>
        <w:tc>
          <w:tcPr>
            <w:tcW w:w="1357" w:type="dxa"/>
          </w:tcPr>
          <w:p w:rsidR="00000000" w:rsidRDefault="00000000">
            <w:pPr>
              <w:autoSpaceDE w:val="0"/>
              <w:autoSpaceDN w:val="0"/>
              <w:adjustRightInd w:val="0"/>
              <w:spacing w:before="40" w:after="40"/>
              <w:ind w:right="329"/>
              <w:jc w:val="right"/>
              <w:rPr>
                <w:color w:val="000000"/>
                <w:sz w:val="20"/>
                <w:szCs w:val="22"/>
                <w:lang w:val="fr-FR"/>
              </w:rPr>
            </w:pPr>
            <w:r>
              <w:rPr>
                <w:color w:val="000000"/>
                <w:sz w:val="20"/>
                <w:szCs w:val="22"/>
                <w:lang w:val="fr-FR"/>
              </w:rPr>
              <w:t xml:space="preserve">1 530 </w:t>
            </w:r>
          </w:p>
        </w:tc>
        <w:tc>
          <w:tcPr>
            <w:tcW w:w="1357" w:type="dxa"/>
          </w:tcPr>
          <w:p w:rsidR="00000000" w:rsidRDefault="00000000">
            <w:pPr>
              <w:tabs>
                <w:tab w:val="decimal" w:pos="611"/>
              </w:tabs>
              <w:autoSpaceDE w:val="0"/>
              <w:autoSpaceDN w:val="0"/>
              <w:adjustRightInd w:val="0"/>
              <w:spacing w:before="40" w:after="40"/>
              <w:rPr>
                <w:color w:val="000000"/>
                <w:sz w:val="20"/>
                <w:szCs w:val="22"/>
                <w:lang w:val="fr-FR"/>
              </w:rPr>
            </w:pPr>
            <w:r>
              <w:rPr>
                <w:color w:val="000000"/>
                <w:sz w:val="20"/>
                <w:szCs w:val="22"/>
                <w:lang w:val="fr-FR"/>
              </w:rPr>
              <w:t xml:space="preserve">46,8  </w:t>
            </w:r>
          </w:p>
        </w:tc>
      </w:tr>
      <w:tr w:rsidR="00000000">
        <w:tblPrEx>
          <w:tblCellMar>
            <w:top w:w="0" w:type="dxa"/>
            <w:bottom w:w="0" w:type="dxa"/>
          </w:tblCellMar>
        </w:tblPrEx>
        <w:trPr>
          <w:jc w:val="center"/>
        </w:trPr>
        <w:tc>
          <w:tcPr>
            <w:tcW w:w="1356"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  Féminin </w:t>
            </w:r>
          </w:p>
        </w:tc>
        <w:tc>
          <w:tcPr>
            <w:tcW w:w="1356" w:type="dxa"/>
          </w:tcPr>
          <w:p w:rsidR="00000000" w:rsidRDefault="00000000">
            <w:pPr>
              <w:autoSpaceDE w:val="0"/>
              <w:autoSpaceDN w:val="0"/>
              <w:adjustRightInd w:val="0"/>
              <w:spacing w:before="40" w:after="40"/>
              <w:ind w:right="396"/>
              <w:jc w:val="right"/>
              <w:rPr>
                <w:color w:val="000000"/>
                <w:sz w:val="20"/>
                <w:szCs w:val="22"/>
                <w:lang w:val="fr-FR"/>
              </w:rPr>
            </w:pPr>
            <w:r>
              <w:rPr>
                <w:color w:val="000000"/>
                <w:sz w:val="20"/>
                <w:szCs w:val="22"/>
                <w:lang w:val="fr-FR"/>
              </w:rPr>
              <w:t xml:space="preserve">4 326 </w:t>
            </w:r>
          </w:p>
        </w:tc>
        <w:tc>
          <w:tcPr>
            <w:tcW w:w="1356" w:type="dxa"/>
          </w:tcPr>
          <w:p w:rsidR="00000000" w:rsidRDefault="00000000">
            <w:pPr>
              <w:tabs>
                <w:tab w:val="decimal" w:pos="541"/>
              </w:tabs>
              <w:autoSpaceDE w:val="0"/>
              <w:autoSpaceDN w:val="0"/>
              <w:adjustRightInd w:val="0"/>
              <w:spacing w:before="40" w:after="40"/>
              <w:rPr>
                <w:color w:val="000000"/>
                <w:sz w:val="20"/>
                <w:szCs w:val="22"/>
                <w:lang w:val="fr-FR"/>
              </w:rPr>
            </w:pPr>
            <w:r>
              <w:rPr>
                <w:color w:val="000000"/>
                <w:sz w:val="20"/>
                <w:szCs w:val="22"/>
                <w:lang w:val="fr-FR"/>
              </w:rPr>
              <w:t xml:space="preserve">12,2 </w:t>
            </w:r>
          </w:p>
        </w:tc>
        <w:tc>
          <w:tcPr>
            <w:tcW w:w="1357" w:type="dxa"/>
          </w:tcPr>
          <w:p w:rsidR="00000000" w:rsidRDefault="00000000">
            <w:pPr>
              <w:tabs>
                <w:tab w:val="decimal" w:pos="541"/>
              </w:tabs>
              <w:autoSpaceDE w:val="0"/>
              <w:autoSpaceDN w:val="0"/>
              <w:adjustRightInd w:val="0"/>
              <w:spacing w:before="40" w:after="40"/>
              <w:rPr>
                <w:color w:val="000000"/>
                <w:sz w:val="20"/>
                <w:szCs w:val="22"/>
                <w:lang w:val="fr-FR"/>
              </w:rPr>
            </w:pPr>
            <w:r>
              <w:rPr>
                <w:color w:val="000000"/>
                <w:sz w:val="20"/>
                <w:szCs w:val="22"/>
                <w:lang w:val="fr-FR"/>
              </w:rPr>
              <w:t xml:space="preserve">1,7 </w:t>
            </w:r>
          </w:p>
        </w:tc>
        <w:tc>
          <w:tcPr>
            <w:tcW w:w="1357" w:type="dxa"/>
          </w:tcPr>
          <w:p w:rsidR="00000000" w:rsidRDefault="00000000">
            <w:pPr>
              <w:autoSpaceDE w:val="0"/>
              <w:autoSpaceDN w:val="0"/>
              <w:adjustRightInd w:val="0"/>
              <w:spacing w:before="40" w:after="40"/>
              <w:ind w:right="329"/>
              <w:jc w:val="right"/>
              <w:rPr>
                <w:color w:val="000000"/>
                <w:sz w:val="20"/>
                <w:szCs w:val="22"/>
                <w:lang w:val="fr-FR"/>
              </w:rPr>
            </w:pPr>
            <w:r>
              <w:rPr>
                <w:color w:val="000000"/>
                <w:sz w:val="20"/>
                <w:szCs w:val="22"/>
                <w:lang w:val="fr-FR"/>
              </w:rPr>
              <w:t xml:space="preserve">2 370 </w:t>
            </w:r>
          </w:p>
        </w:tc>
        <w:tc>
          <w:tcPr>
            <w:tcW w:w="1357" w:type="dxa"/>
          </w:tcPr>
          <w:p w:rsidR="00000000" w:rsidRDefault="00000000">
            <w:pPr>
              <w:tabs>
                <w:tab w:val="decimal" w:pos="611"/>
              </w:tabs>
              <w:autoSpaceDE w:val="0"/>
              <w:autoSpaceDN w:val="0"/>
              <w:adjustRightInd w:val="0"/>
              <w:spacing w:before="40" w:after="40"/>
              <w:rPr>
                <w:color w:val="000000"/>
                <w:sz w:val="20"/>
                <w:szCs w:val="22"/>
                <w:lang w:val="fr-FR"/>
              </w:rPr>
            </w:pPr>
            <w:r>
              <w:rPr>
                <w:color w:val="000000"/>
                <w:sz w:val="20"/>
                <w:szCs w:val="22"/>
                <w:lang w:val="fr-FR"/>
              </w:rPr>
              <w:t xml:space="preserve">54,8  </w:t>
            </w:r>
          </w:p>
        </w:tc>
      </w:tr>
      <w:tr w:rsidR="00000000">
        <w:tblPrEx>
          <w:tblCellMar>
            <w:top w:w="0" w:type="dxa"/>
            <w:bottom w:w="0" w:type="dxa"/>
          </w:tblCellMar>
        </w:tblPrEx>
        <w:trPr>
          <w:jc w:val="center"/>
        </w:trPr>
        <w:tc>
          <w:tcPr>
            <w:tcW w:w="1356"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Ethnie  </w:t>
            </w:r>
          </w:p>
        </w:tc>
        <w:tc>
          <w:tcPr>
            <w:tcW w:w="1356" w:type="dxa"/>
          </w:tcPr>
          <w:p w:rsidR="00000000" w:rsidRDefault="00000000">
            <w:pPr>
              <w:autoSpaceDE w:val="0"/>
              <w:autoSpaceDN w:val="0"/>
              <w:adjustRightInd w:val="0"/>
              <w:spacing w:before="40" w:after="40"/>
              <w:ind w:right="396"/>
              <w:jc w:val="right"/>
              <w:rPr>
                <w:color w:val="000000"/>
                <w:sz w:val="20"/>
                <w:szCs w:val="22"/>
                <w:lang w:val="fr-FR"/>
              </w:rPr>
            </w:pPr>
          </w:p>
        </w:tc>
        <w:tc>
          <w:tcPr>
            <w:tcW w:w="1356" w:type="dxa"/>
          </w:tcPr>
          <w:p w:rsidR="00000000" w:rsidRDefault="00000000">
            <w:pPr>
              <w:tabs>
                <w:tab w:val="decimal" w:pos="541"/>
              </w:tabs>
              <w:autoSpaceDE w:val="0"/>
              <w:autoSpaceDN w:val="0"/>
              <w:adjustRightInd w:val="0"/>
              <w:spacing w:before="40" w:after="40"/>
              <w:rPr>
                <w:color w:val="000000"/>
                <w:sz w:val="20"/>
                <w:szCs w:val="22"/>
                <w:lang w:val="fr-FR"/>
              </w:rPr>
            </w:pPr>
          </w:p>
        </w:tc>
        <w:tc>
          <w:tcPr>
            <w:tcW w:w="1357" w:type="dxa"/>
          </w:tcPr>
          <w:p w:rsidR="00000000" w:rsidRDefault="00000000">
            <w:pPr>
              <w:tabs>
                <w:tab w:val="decimal" w:pos="541"/>
              </w:tabs>
              <w:autoSpaceDE w:val="0"/>
              <w:autoSpaceDN w:val="0"/>
              <w:adjustRightInd w:val="0"/>
              <w:spacing w:before="40" w:after="40"/>
              <w:rPr>
                <w:color w:val="000000"/>
                <w:sz w:val="20"/>
                <w:szCs w:val="22"/>
                <w:lang w:val="fr-FR"/>
              </w:rPr>
            </w:pPr>
          </w:p>
        </w:tc>
        <w:tc>
          <w:tcPr>
            <w:tcW w:w="1357" w:type="dxa"/>
          </w:tcPr>
          <w:p w:rsidR="00000000" w:rsidRDefault="00000000">
            <w:pPr>
              <w:autoSpaceDE w:val="0"/>
              <w:autoSpaceDN w:val="0"/>
              <w:adjustRightInd w:val="0"/>
              <w:spacing w:before="40" w:after="40"/>
              <w:ind w:right="329"/>
              <w:jc w:val="right"/>
              <w:rPr>
                <w:color w:val="000000"/>
                <w:sz w:val="20"/>
                <w:szCs w:val="22"/>
                <w:lang w:val="fr-FR"/>
              </w:rPr>
            </w:pPr>
          </w:p>
        </w:tc>
        <w:tc>
          <w:tcPr>
            <w:tcW w:w="1357" w:type="dxa"/>
          </w:tcPr>
          <w:p w:rsidR="00000000" w:rsidRDefault="00000000">
            <w:pPr>
              <w:tabs>
                <w:tab w:val="decimal" w:pos="611"/>
              </w:tabs>
              <w:autoSpaceDE w:val="0"/>
              <w:autoSpaceDN w:val="0"/>
              <w:adjustRightInd w:val="0"/>
              <w:spacing w:before="40" w:after="40"/>
              <w:rPr>
                <w:color w:val="000000"/>
                <w:sz w:val="20"/>
                <w:szCs w:val="22"/>
                <w:lang w:val="fr-FR"/>
              </w:rPr>
            </w:pPr>
          </w:p>
        </w:tc>
      </w:tr>
      <w:tr w:rsidR="00000000">
        <w:tblPrEx>
          <w:tblCellMar>
            <w:top w:w="0" w:type="dxa"/>
            <w:bottom w:w="0" w:type="dxa"/>
          </w:tblCellMar>
        </w:tblPrEx>
        <w:trPr>
          <w:jc w:val="center"/>
        </w:trPr>
        <w:tc>
          <w:tcPr>
            <w:tcW w:w="1356"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  Noire </w:t>
            </w:r>
          </w:p>
        </w:tc>
        <w:tc>
          <w:tcPr>
            <w:tcW w:w="1356" w:type="dxa"/>
          </w:tcPr>
          <w:p w:rsidR="00000000" w:rsidRDefault="00000000">
            <w:pPr>
              <w:autoSpaceDE w:val="0"/>
              <w:autoSpaceDN w:val="0"/>
              <w:adjustRightInd w:val="0"/>
              <w:spacing w:before="40" w:after="40"/>
              <w:ind w:right="396"/>
              <w:jc w:val="right"/>
              <w:rPr>
                <w:color w:val="000000"/>
                <w:sz w:val="20"/>
                <w:szCs w:val="22"/>
                <w:lang w:val="fr-FR"/>
              </w:rPr>
            </w:pPr>
            <w:r>
              <w:rPr>
                <w:color w:val="000000"/>
                <w:sz w:val="20"/>
                <w:szCs w:val="22"/>
                <w:lang w:val="fr-FR"/>
              </w:rPr>
              <w:t xml:space="preserve">275 </w:t>
            </w:r>
          </w:p>
        </w:tc>
        <w:tc>
          <w:tcPr>
            <w:tcW w:w="1356" w:type="dxa"/>
          </w:tcPr>
          <w:p w:rsidR="00000000" w:rsidRDefault="00000000">
            <w:pPr>
              <w:tabs>
                <w:tab w:val="decimal" w:pos="541"/>
              </w:tabs>
              <w:autoSpaceDE w:val="0"/>
              <w:autoSpaceDN w:val="0"/>
              <w:adjustRightInd w:val="0"/>
              <w:spacing w:before="40" w:after="40"/>
              <w:rPr>
                <w:color w:val="000000"/>
                <w:sz w:val="20"/>
                <w:szCs w:val="22"/>
                <w:lang w:val="fr-FR"/>
              </w:rPr>
            </w:pPr>
            <w:r>
              <w:rPr>
                <w:color w:val="000000"/>
                <w:sz w:val="20"/>
                <w:szCs w:val="22"/>
                <w:lang w:val="fr-FR"/>
              </w:rPr>
              <w:t xml:space="preserve">11,7 </w:t>
            </w:r>
          </w:p>
        </w:tc>
        <w:tc>
          <w:tcPr>
            <w:tcW w:w="1357" w:type="dxa"/>
          </w:tcPr>
          <w:p w:rsidR="00000000" w:rsidRDefault="00000000">
            <w:pPr>
              <w:tabs>
                <w:tab w:val="decimal" w:pos="541"/>
              </w:tabs>
              <w:autoSpaceDE w:val="0"/>
              <w:autoSpaceDN w:val="0"/>
              <w:adjustRightInd w:val="0"/>
              <w:spacing w:before="40" w:after="40"/>
              <w:rPr>
                <w:color w:val="000000"/>
                <w:sz w:val="20"/>
                <w:szCs w:val="22"/>
                <w:lang w:val="fr-FR"/>
              </w:rPr>
            </w:pPr>
            <w:r>
              <w:rPr>
                <w:color w:val="000000"/>
                <w:sz w:val="20"/>
                <w:szCs w:val="22"/>
                <w:lang w:val="fr-FR"/>
              </w:rPr>
              <w:t xml:space="preserve">2 </w:t>
            </w:r>
          </w:p>
        </w:tc>
        <w:tc>
          <w:tcPr>
            <w:tcW w:w="1357" w:type="dxa"/>
          </w:tcPr>
          <w:p w:rsidR="00000000" w:rsidRDefault="00000000">
            <w:pPr>
              <w:autoSpaceDE w:val="0"/>
              <w:autoSpaceDN w:val="0"/>
              <w:adjustRightInd w:val="0"/>
              <w:spacing w:before="40" w:after="40"/>
              <w:ind w:right="329"/>
              <w:jc w:val="right"/>
              <w:rPr>
                <w:color w:val="000000"/>
                <w:sz w:val="20"/>
                <w:szCs w:val="22"/>
                <w:lang w:val="fr-FR"/>
              </w:rPr>
            </w:pPr>
            <w:r>
              <w:rPr>
                <w:color w:val="000000"/>
                <w:sz w:val="20"/>
                <w:szCs w:val="22"/>
                <w:lang w:val="fr-FR"/>
              </w:rPr>
              <w:t xml:space="preserve">180 </w:t>
            </w:r>
          </w:p>
        </w:tc>
        <w:tc>
          <w:tcPr>
            <w:tcW w:w="1357" w:type="dxa"/>
          </w:tcPr>
          <w:p w:rsidR="00000000" w:rsidRDefault="00000000">
            <w:pPr>
              <w:tabs>
                <w:tab w:val="decimal" w:pos="611"/>
              </w:tabs>
              <w:autoSpaceDE w:val="0"/>
              <w:autoSpaceDN w:val="0"/>
              <w:adjustRightInd w:val="0"/>
              <w:spacing w:before="40" w:after="40"/>
              <w:rPr>
                <w:color w:val="000000"/>
                <w:sz w:val="20"/>
                <w:szCs w:val="22"/>
                <w:lang w:val="fr-FR"/>
              </w:rPr>
            </w:pPr>
            <w:r>
              <w:rPr>
                <w:color w:val="000000"/>
                <w:sz w:val="20"/>
                <w:szCs w:val="22"/>
                <w:lang w:val="fr-FR"/>
              </w:rPr>
              <w:t xml:space="preserve">65,5  </w:t>
            </w:r>
          </w:p>
        </w:tc>
      </w:tr>
      <w:tr w:rsidR="00000000">
        <w:tblPrEx>
          <w:tblCellMar>
            <w:top w:w="0" w:type="dxa"/>
            <w:bottom w:w="0" w:type="dxa"/>
          </w:tblCellMar>
        </w:tblPrEx>
        <w:trPr>
          <w:jc w:val="center"/>
        </w:trPr>
        <w:tc>
          <w:tcPr>
            <w:tcW w:w="1356"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  Non noire </w:t>
            </w:r>
          </w:p>
        </w:tc>
        <w:tc>
          <w:tcPr>
            <w:tcW w:w="1356" w:type="dxa"/>
          </w:tcPr>
          <w:p w:rsidR="00000000" w:rsidRDefault="00000000">
            <w:pPr>
              <w:autoSpaceDE w:val="0"/>
              <w:autoSpaceDN w:val="0"/>
              <w:adjustRightInd w:val="0"/>
              <w:spacing w:before="40" w:after="40"/>
              <w:ind w:right="396"/>
              <w:jc w:val="right"/>
              <w:rPr>
                <w:color w:val="000000"/>
                <w:sz w:val="20"/>
                <w:szCs w:val="22"/>
                <w:lang w:val="fr-FR"/>
              </w:rPr>
            </w:pPr>
            <w:r>
              <w:rPr>
                <w:color w:val="000000"/>
                <w:sz w:val="20"/>
                <w:szCs w:val="22"/>
                <w:lang w:val="fr-FR"/>
              </w:rPr>
              <w:t xml:space="preserve">7 322 </w:t>
            </w:r>
          </w:p>
        </w:tc>
        <w:tc>
          <w:tcPr>
            <w:tcW w:w="1356" w:type="dxa"/>
          </w:tcPr>
          <w:p w:rsidR="00000000" w:rsidRDefault="00000000">
            <w:pPr>
              <w:tabs>
                <w:tab w:val="decimal" w:pos="541"/>
              </w:tabs>
              <w:autoSpaceDE w:val="0"/>
              <w:autoSpaceDN w:val="0"/>
              <w:adjustRightInd w:val="0"/>
              <w:spacing w:before="40" w:after="40"/>
              <w:rPr>
                <w:color w:val="000000"/>
                <w:sz w:val="20"/>
                <w:szCs w:val="22"/>
                <w:lang w:val="fr-FR"/>
              </w:rPr>
            </w:pPr>
            <w:r>
              <w:rPr>
                <w:color w:val="000000"/>
                <w:sz w:val="20"/>
                <w:szCs w:val="22"/>
                <w:lang w:val="fr-FR"/>
              </w:rPr>
              <w:t xml:space="preserve">12,5 </w:t>
            </w:r>
          </w:p>
        </w:tc>
        <w:tc>
          <w:tcPr>
            <w:tcW w:w="1357" w:type="dxa"/>
          </w:tcPr>
          <w:p w:rsidR="00000000" w:rsidRDefault="00000000">
            <w:pPr>
              <w:tabs>
                <w:tab w:val="decimal" w:pos="541"/>
              </w:tabs>
              <w:autoSpaceDE w:val="0"/>
              <w:autoSpaceDN w:val="0"/>
              <w:adjustRightInd w:val="0"/>
              <w:spacing w:before="40" w:after="40"/>
              <w:rPr>
                <w:color w:val="000000"/>
                <w:sz w:val="20"/>
                <w:szCs w:val="22"/>
                <w:lang w:val="fr-FR"/>
              </w:rPr>
            </w:pPr>
            <w:r>
              <w:rPr>
                <w:color w:val="000000"/>
                <w:sz w:val="20"/>
                <w:szCs w:val="22"/>
                <w:lang w:val="fr-FR"/>
              </w:rPr>
              <w:t xml:space="preserve">1,9 </w:t>
            </w:r>
          </w:p>
        </w:tc>
        <w:tc>
          <w:tcPr>
            <w:tcW w:w="1357" w:type="dxa"/>
          </w:tcPr>
          <w:p w:rsidR="00000000" w:rsidRDefault="00000000">
            <w:pPr>
              <w:autoSpaceDE w:val="0"/>
              <w:autoSpaceDN w:val="0"/>
              <w:adjustRightInd w:val="0"/>
              <w:spacing w:before="40" w:after="40"/>
              <w:ind w:right="329"/>
              <w:jc w:val="right"/>
              <w:rPr>
                <w:color w:val="000000"/>
                <w:sz w:val="20"/>
                <w:szCs w:val="22"/>
                <w:lang w:val="fr-FR"/>
              </w:rPr>
            </w:pPr>
            <w:r>
              <w:rPr>
                <w:color w:val="000000"/>
                <w:sz w:val="20"/>
                <w:szCs w:val="22"/>
                <w:lang w:val="fr-FR"/>
              </w:rPr>
              <w:t xml:space="preserve">3 720 </w:t>
            </w:r>
          </w:p>
        </w:tc>
        <w:tc>
          <w:tcPr>
            <w:tcW w:w="1357" w:type="dxa"/>
          </w:tcPr>
          <w:p w:rsidR="00000000" w:rsidRDefault="00000000">
            <w:pPr>
              <w:tabs>
                <w:tab w:val="decimal" w:pos="611"/>
              </w:tabs>
              <w:autoSpaceDE w:val="0"/>
              <w:autoSpaceDN w:val="0"/>
              <w:adjustRightInd w:val="0"/>
              <w:spacing w:before="40" w:after="40"/>
              <w:rPr>
                <w:color w:val="000000"/>
                <w:sz w:val="20"/>
                <w:szCs w:val="22"/>
                <w:lang w:val="fr-FR"/>
              </w:rPr>
            </w:pPr>
            <w:r>
              <w:rPr>
                <w:color w:val="000000"/>
                <w:sz w:val="20"/>
                <w:szCs w:val="22"/>
                <w:lang w:val="fr-FR"/>
              </w:rPr>
              <w:t xml:space="preserve">50,8  </w:t>
            </w:r>
          </w:p>
        </w:tc>
      </w:tr>
    </w:tbl>
    <w:p w:rsidR="00000000" w:rsidRDefault="00000000">
      <w:pPr>
        <w:autoSpaceDE w:val="0"/>
        <w:autoSpaceDN w:val="0"/>
        <w:adjustRightInd w:val="0"/>
        <w:spacing w:before="80" w:after="360"/>
        <w:ind w:left="567"/>
        <w:rPr>
          <w:i/>
          <w:iCs/>
          <w:color w:val="000000"/>
          <w:sz w:val="20"/>
          <w:szCs w:val="22"/>
          <w:lang w:val="fr-FR"/>
        </w:rPr>
      </w:pPr>
      <w:r>
        <w:rPr>
          <w:i/>
          <w:iCs/>
          <w:color w:val="000000"/>
          <w:sz w:val="20"/>
          <w:szCs w:val="22"/>
          <w:lang w:val="fr-FR"/>
        </w:rPr>
        <w:tab/>
        <w:t>Source :</w:t>
      </w:r>
      <w:r>
        <w:rPr>
          <w:color w:val="000000"/>
          <w:sz w:val="20"/>
          <w:szCs w:val="22"/>
          <w:lang w:val="fr-FR"/>
        </w:rPr>
        <w:t xml:space="preserve"> Ministère de la santé, </w:t>
      </w:r>
      <w:r>
        <w:rPr>
          <w:i/>
          <w:iCs/>
          <w:color w:val="000000"/>
          <w:sz w:val="20"/>
          <w:szCs w:val="22"/>
          <w:lang w:val="fr-FR"/>
        </w:rPr>
        <w:t>Boletín Informativo del ICT</w:t>
      </w:r>
      <w:r>
        <w:rPr>
          <w:color w:val="000000"/>
          <w:sz w:val="20"/>
          <w:szCs w:val="22"/>
          <w:lang w:val="fr-FR"/>
        </w:rPr>
        <w:t>, n º 3</w:t>
      </w:r>
      <w:r>
        <w:rPr>
          <w:i/>
          <w:iCs/>
          <w:color w:val="000000"/>
          <w:sz w:val="20"/>
          <w:szCs w:val="22"/>
          <w:lang w:val="fr-FR"/>
        </w:rPr>
        <w:t>.</w:t>
      </w:r>
    </w:p>
    <w:p w:rsidR="00000000" w:rsidRDefault="00000000">
      <w:pPr>
        <w:autoSpaceDE w:val="0"/>
        <w:autoSpaceDN w:val="0"/>
        <w:adjustRightInd w:val="0"/>
        <w:spacing w:after="360"/>
        <w:rPr>
          <w:color w:val="000000"/>
          <w:szCs w:val="22"/>
          <w:lang w:val="fr-FR"/>
        </w:rPr>
      </w:pPr>
      <w:r>
        <w:rPr>
          <w:color w:val="000000"/>
          <w:szCs w:val="22"/>
          <w:lang w:val="fr-FR"/>
        </w:rPr>
        <w:t>299.</w:t>
      </w:r>
      <w:r>
        <w:rPr>
          <w:color w:val="000000"/>
          <w:szCs w:val="22"/>
          <w:lang w:val="fr-FR"/>
        </w:rPr>
        <w:tab/>
        <w:t xml:space="preserve">les valeurs moyennes d’hémoglobine, désagrégées par niveau d'instruction, restent similaires.  On constate cependant que, parmi les personnes qui ont eu une instruction primaire, secondaire ou supérieure, la moyenne est plus élevée.  En ce qui concerne le pourcentage d'anémie par niveau d'instruction, il diminue en fonction du niveau d'instruction.  Les taux de prévalence sont élevés parmi la population qui n'a aucune instruction.  </w:t>
      </w:r>
    </w:p>
    <w:p w:rsidR="00000000" w:rsidRDefault="00000000">
      <w:pPr>
        <w:autoSpaceDE w:val="0"/>
        <w:autoSpaceDN w:val="0"/>
        <w:adjustRightInd w:val="0"/>
        <w:spacing w:after="120"/>
        <w:jc w:val="center"/>
        <w:rPr>
          <w:b/>
          <w:bCs/>
          <w:color w:val="000000"/>
          <w:sz w:val="20"/>
          <w:szCs w:val="22"/>
          <w:lang w:val="fr-FR"/>
        </w:rPr>
      </w:pPr>
      <w:r>
        <w:rPr>
          <w:b/>
          <w:bCs/>
          <w:color w:val="000000"/>
          <w:sz w:val="20"/>
          <w:szCs w:val="22"/>
          <w:lang w:val="fr-FR"/>
        </w:rPr>
        <w:t xml:space="preserve">Valeurs d’hémoglobine et prévalence de l'anémie, par niveau d’instruction, Équateur, 1997 </w:t>
      </w:r>
    </w:p>
    <w:tbl>
      <w:tblPr>
        <w:tblW w:w="9299"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463"/>
        <w:gridCol w:w="1800"/>
        <w:gridCol w:w="1260"/>
        <w:gridCol w:w="1440"/>
        <w:gridCol w:w="1080"/>
        <w:gridCol w:w="1256"/>
      </w:tblGrid>
      <w:tr w:rsidR="00000000">
        <w:tblPrEx>
          <w:tblCellMar>
            <w:top w:w="0" w:type="dxa"/>
            <w:bottom w:w="0" w:type="dxa"/>
          </w:tblCellMar>
        </w:tblPrEx>
        <w:trPr>
          <w:cantSplit/>
          <w:jc w:val="center"/>
        </w:trPr>
        <w:tc>
          <w:tcPr>
            <w:tcW w:w="2463"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Variable</w:t>
            </w:r>
          </w:p>
        </w:tc>
        <w:tc>
          <w:tcPr>
            <w:tcW w:w="1800"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Échantillon total</w:t>
            </w:r>
          </w:p>
        </w:tc>
        <w:tc>
          <w:tcPr>
            <w:tcW w:w="2700" w:type="dxa"/>
            <w:gridSpan w:val="2"/>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Hémoglobine</w:t>
            </w:r>
          </w:p>
        </w:tc>
        <w:tc>
          <w:tcPr>
            <w:tcW w:w="2336" w:type="dxa"/>
            <w:gridSpan w:val="2"/>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Anémie</w:t>
            </w:r>
          </w:p>
        </w:tc>
      </w:tr>
      <w:tr w:rsidR="00000000">
        <w:tblPrEx>
          <w:tblCellMar>
            <w:top w:w="0" w:type="dxa"/>
            <w:bottom w:w="0" w:type="dxa"/>
          </w:tblCellMar>
        </w:tblPrEx>
        <w:trPr>
          <w:cantSplit/>
          <w:trHeight w:val="287"/>
          <w:jc w:val="center"/>
        </w:trPr>
        <w:tc>
          <w:tcPr>
            <w:tcW w:w="2463" w:type="dxa"/>
            <w:vMerge/>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p>
        </w:tc>
        <w:tc>
          <w:tcPr>
            <w:tcW w:w="1800" w:type="dxa"/>
            <w:vMerge/>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p>
        </w:tc>
        <w:tc>
          <w:tcPr>
            <w:tcW w:w="1260"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Moyenne</w:t>
            </w:r>
          </w:p>
        </w:tc>
        <w:tc>
          <w:tcPr>
            <w:tcW w:w="1440"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Écart type</w:t>
            </w:r>
          </w:p>
        </w:tc>
        <w:tc>
          <w:tcPr>
            <w:tcW w:w="1080"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Nombre</w:t>
            </w:r>
          </w:p>
        </w:tc>
        <w:tc>
          <w:tcPr>
            <w:tcW w:w="1256"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Pourcentage</w:t>
            </w:r>
          </w:p>
        </w:tc>
      </w:tr>
      <w:tr w:rsidR="00000000">
        <w:tblPrEx>
          <w:tblCellMar>
            <w:top w:w="0" w:type="dxa"/>
            <w:bottom w:w="0" w:type="dxa"/>
          </w:tblCellMar>
        </w:tblPrEx>
        <w:trPr>
          <w:cantSplit/>
          <w:jc w:val="center"/>
        </w:trPr>
        <w:tc>
          <w:tcPr>
            <w:tcW w:w="4263" w:type="dxa"/>
            <w:gridSpan w:val="2"/>
            <w:tcBorders>
              <w:top w:val="nil"/>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 xml:space="preserve">Instruction (population âgée </w:t>
            </w:r>
            <w:r>
              <w:rPr>
                <w:b/>
                <w:bCs/>
                <w:i/>
                <w:iCs/>
                <w:color w:val="000000"/>
                <w:sz w:val="18"/>
                <w:szCs w:val="22"/>
                <w:lang w:val="fr-FR"/>
              </w:rPr>
              <w:br/>
              <w:t>de 6 ans et plus)</w:t>
            </w:r>
          </w:p>
        </w:tc>
        <w:tc>
          <w:tcPr>
            <w:tcW w:w="1260"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p>
        </w:tc>
        <w:tc>
          <w:tcPr>
            <w:tcW w:w="1440"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p>
        </w:tc>
        <w:tc>
          <w:tcPr>
            <w:tcW w:w="1080"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p>
        </w:tc>
        <w:tc>
          <w:tcPr>
            <w:tcW w:w="1256" w:type="dxa"/>
            <w:tcBorders>
              <w:top w:val="single" w:sz="4" w:space="0" w:color="auto"/>
              <w:bottom w:val="single" w:sz="4" w:space="0" w:color="auto"/>
            </w:tcBorders>
            <w:vAlign w:val="center"/>
          </w:tcPr>
          <w:p w:rsidR="00000000" w:rsidRDefault="00000000">
            <w:pPr>
              <w:rPr>
                <w:b/>
                <w:bCs/>
                <w:i/>
                <w:iCs/>
                <w:color w:val="000000"/>
                <w:sz w:val="18"/>
                <w:szCs w:val="22"/>
                <w:lang w:val="fr-FR"/>
              </w:rPr>
            </w:pPr>
          </w:p>
        </w:tc>
      </w:tr>
      <w:tr w:rsidR="00000000">
        <w:tblPrEx>
          <w:tblCellMar>
            <w:top w:w="0" w:type="dxa"/>
            <w:bottom w:w="0" w:type="dxa"/>
          </w:tblCellMar>
        </w:tblPrEx>
        <w:trPr>
          <w:jc w:val="center"/>
        </w:trPr>
        <w:tc>
          <w:tcPr>
            <w:tcW w:w="2463" w:type="dxa"/>
            <w:tcBorders>
              <w:top w:val="single" w:sz="4" w:space="0" w:color="auto"/>
            </w:tcBorders>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Aucune</w:t>
            </w:r>
          </w:p>
        </w:tc>
        <w:tc>
          <w:tcPr>
            <w:tcW w:w="1800" w:type="dxa"/>
            <w:tcBorders>
              <w:top w:val="single" w:sz="4" w:space="0" w:color="auto"/>
            </w:tcBorders>
          </w:tcPr>
          <w:p w:rsidR="00000000" w:rsidRDefault="00000000">
            <w:pPr>
              <w:autoSpaceDE w:val="0"/>
              <w:autoSpaceDN w:val="0"/>
              <w:adjustRightInd w:val="0"/>
              <w:spacing w:before="40" w:after="40"/>
              <w:ind w:right="650"/>
              <w:jc w:val="right"/>
              <w:rPr>
                <w:color w:val="000000"/>
                <w:sz w:val="20"/>
                <w:szCs w:val="22"/>
                <w:lang w:val="fr-FR"/>
              </w:rPr>
            </w:pPr>
            <w:r>
              <w:rPr>
                <w:color w:val="000000"/>
                <w:sz w:val="20"/>
                <w:szCs w:val="22"/>
                <w:lang w:val="fr-FR"/>
              </w:rPr>
              <w:t xml:space="preserve">446 </w:t>
            </w:r>
          </w:p>
        </w:tc>
        <w:tc>
          <w:tcPr>
            <w:tcW w:w="1260" w:type="dxa"/>
            <w:tcBorders>
              <w:top w:val="single" w:sz="4" w:space="0" w:color="auto"/>
            </w:tcBorders>
          </w:tcPr>
          <w:p w:rsidR="00000000" w:rsidRDefault="00000000">
            <w:pPr>
              <w:tabs>
                <w:tab w:val="decimal" w:pos="594"/>
              </w:tabs>
              <w:autoSpaceDE w:val="0"/>
              <w:autoSpaceDN w:val="0"/>
              <w:adjustRightInd w:val="0"/>
              <w:spacing w:before="40" w:after="40"/>
              <w:rPr>
                <w:color w:val="000000"/>
                <w:sz w:val="20"/>
                <w:szCs w:val="22"/>
                <w:lang w:val="fr-FR"/>
              </w:rPr>
            </w:pPr>
            <w:r>
              <w:rPr>
                <w:color w:val="000000"/>
                <w:sz w:val="20"/>
                <w:szCs w:val="22"/>
                <w:lang w:val="fr-FR"/>
              </w:rPr>
              <w:t xml:space="preserve">12,6 </w:t>
            </w:r>
          </w:p>
        </w:tc>
        <w:tc>
          <w:tcPr>
            <w:tcW w:w="1440" w:type="dxa"/>
            <w:tcBorders>
              <w:top w:val="single" w:sz="4" w:space="0" w:color="auto"/>
            </w:tcBorders>
          </w:tcPr>
          <w:p w:rsidR="00000000" w:rsidRDefault="00000000">
            <w:pPr>
              <w:tabs>
                <w:tab w:val="decimal" w:pos="594"/>
              </w:tabs>
              <w:autoSpaceDE w:val="0"/>
              <w:autoSpaceDN w:val="0"/>
              <w:adjustRightInd w:val="0"/>
              <w:spacing w:before="40" w:after="40"/>
              <w:rPr>
                <w:color w:val="000000"/>
                <w:sz w:val="20"/>
                <w:szCs w:val="22"/>
                <w:lang w:val="fr-FR"/>
              </w:rPr>
            </w:pPr>
            <w:r>
              <w:rPr>
                <w:color w:val="000000"/>
                <w:sz w:val="20"/>
                <w:szCs w:val="22"/>
                <w:lang w:val="fr-FR"/>
              </w:rPr>
              <w:t xml:space="preserve">1,8 </w:t>
            </w:r>
          </w:p>
        </w:tc>
        <w:tc>
          <w:tcPr>
            <w:tcW w:w="1080" w:type="dxa"/>
            <w:tcBorders>
              <w:top w:val="single" w:sz="4" w:space="0" w:color="auto"/>
            </w:tcBorders>
          </w:tcPr>
          <w:p w:rsidR="00000000" w:rsidRDefault="00000000">
            <w:pPr>
              <w:autoSpaceDE w:val="0"/>
              <w:autoSpaceDN w:val="0"/>
              <w:adjustRightInd w:val="0"/>
              <w:spacing w:before="40" w:after="40"/>
              <w:ind w:right="290"/>
              <w:jc w:val="right"/>
              <w:rPr>
                <w:color w:val="000000"/>
                <w:sz w:val="20"/>
                <w:szCs w:val="22"/>
                <w:lang w:val="fr-FR"/>
              </w:rPr>
            </w:pPr>
            <w:r>
              <w:rPr>
                <w:color w:val="000000"/>
                <w:sz w:val="20"/>
                <w:szCs w:val="22"/>
                <w:lang w:val="fr-FR"/>
              </w:rPr>
              <w:t xml:space="preserve">279 </w:t>
            </w:r>
          </w:p>
        </w:tc>
        <w:tc>
          <w:tcPr>
            <w:tcW w:w="1256" w:type="dxa"/>
            <w:tcBorders>
              <w:top w:val="single" w:sz="4" w:space="0" w:color="auto"/>
            </w:tcBorders>
          </w:tcPr>
          <w:p w:rsidR="00000000" w:rsidRDefault="00000000">
            <w:pPr>
              <w:tabs>
                <w:tab w:val="decimal" w:pos="622"/>
              </w:tabs>
              <w:autoSpaceDE w:val="0"/>
              <w:autoSpaceDN w:val="0"/>
              <w:adjustRightInd w:val="0"/>
              <w:spacing w:before="40" w:after="40"/>
              <w:rPr>
                <w:color w:val="000000"/>
                <w:sz w:val="20"/>
                <w:szCs w:val="22"/>
                <w:lang w:val="fr-FR"/>
              </w:rPr>
            </w:pPr>
            <w:r>
              <w:rPr>
                <w:color w:val="000000"/>
                <w:sz w:val="20"/>
                <w:szCs w:val="22"/>
                <w:lang w:val="fr-FR"/>
              </w:rPr>
              <w:t xml:space="preserve">62,6  </w:t>
            </w:r>
          </w:p>
        </w:tc>
      </w:tr>
      <w:tr w:rsidR="00000000">
        <w:tblPrEx>
          <w:tblCellMar>
            <w:top w:w="0" w:type="dxa"/>
            <w:bottom w:w="0" w:type="dxa"/>
          </w:tblCellMar>
        </w:tblPrEx>
        <w:trPr>
          <w:jc w:val="center"/>
        </w:trPr>
        <w:tc>
          <w:tcPr>
            <w:tcW w:w="246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Primaire </w:t>
            </w:r>
          </w:p>
        </w:tc>
        <w:tc>
          <w:tcPr>
            <w:tcW w:w="1800" w:type="dxa"/>
          </w:tcPr>
          <w:p w:rsidR="00000000" w:rsidRDefault="00000000">
            <w:pPr>
              <w:autoSpaceDE w:val="0"/>
              <w:autoSpaceDN w:val="0"/>
              <w:adjustRightInd w:val="0"/>
              <w:spacing w:before="40" w:after="40"/>
              <w:ind w:right="650"/>
              <w:jc w:val="right"/>
              <w:rPr>
                <w:color w:val="000000"/>
                <w:sz w:val="20"/>
                <w:szCs w:val="22"/>
                <w:lang w:val="fr-FR"/>
              </w:rPr>
            </w:pPr>
            <w:r>
              <w:rPr>
                <w:color w:val="000000"/>
                <w:sz w:val="20"/>
                <w:szCs w:val="22"/>
                <w:lang w:val="fr-FR"/>
              </w:rPr>
              <w:t xml:space="preserve">3 301 </w:t>
            </w:r>
          </w:p>
        </w:tc>
        <w:tc>
          <w:tcPr>
            <w:tcW w:w="1260" w:type="dxa"/>
          </w:tcPr>
          <w:p w:rsidR="00000000" w:rsidRDefault="00000000">
            <w:pPr>
              <w:tabs>
                <w:tab w:val="decimal" w:pos="594"/>
              </w:tabs>
              <w:autoSpaceDE w:val="0"/>
              <w:autoSpaceDN w:val="0"/>
              <w:adjustRightInd w:val="0"/>
              <w:spacing w:before="40" w:after="40"/>
              <w:rPr>
                <w:color w:val="000000"/>
                <w:sz w:val="20"/>
                <w:szCs w:val="22"/>
                <w:lang w:val="fr-FR"/>
              </w:rPr>
            </w:pPr>
            <w:r>
              <w:rPr>
                <w:color w:val="000000"/>
                <w:sz w:val="20"/>
                <w:szCs w:val="22"/>
                <w:lang w:val="fr-FR"/>
              </w:rPr>
              <w:t xml:space="preserve">12,7 </w:t>
            </w:r>
          </w:p>
        </w:tc>
        <w:tc>
          <w:tcPr>
            <w:tcW w:w="1440" w:type="dxa"/>
          </w:tcPr>
          <w:p w:rsidR="00000000" w:rsidRDefault="00000000">
            <w:pPr>
              <w:tabs>
                <w:tab w:val="decimal" w:pos="594"/>
              </w:tabs>
              <w:autoSpaceDE w:val="0"/>
              <w:autoSpaceDN w:val="0"/>
              <w:adjustRightInd w:val="0"/>
              <w:spacing w:before="40" w:after="40"/>
              <w:rPr>
                <w:color w:val="000000"/>
                <w:sz w:val="20"/>
                <w:szCs w:val="22"/>
                <w:lang w:val="fr-FR"/>
              </w:rPr>
            </w:pPr>
            <w:r>
              <w:rPr>
                <w:color w:val="000000"/>
                <w:sz w:val="20"/>
                <w:szCs w:val="22"/>
                <w:lang w:val="fr-FR"/>
              </w:rPr>
              <w:t xml:space="preserve">1,7 </w:t>
            </w:r>
          </w:p>
        </w:tc>
        <w:tc>
          <w:tcPr>
            <w:tcW w:w="1080" w:type="dxa"/>
          </w:tcPr>
          <w:p w:rsidR="00000000" w:rsidRDefault="00000000">
            <w:pPr>
              <w:autoSpaceDE w:val="0"/>
              <w:autoSpaceDN w:val="0"/>
              <w:adjustRightInd w:val="0"/>
              <w:spacing w:before="40" w:after="40"/>
              <w:ind w:right="290"/>
              <w:jc w:val="right"/>
              <w:rPr>
                <w:color w:val="000000"/>
                <w:sz w:val="20"/>
                <w:szCs w:val="22"/>
                <w:lang w:val="fr-FR"/>
              </w:rPr>
            </w:pPr>
            <w:r>
              <w:rPr>
                <w:color w:val="000000"/>
                <w:sz w:val="20"/>
                <w:szCs w:val="22"/>
                <w:lang w:val="fr-FR"/>
              </w:rPr>
              <w:t xml:space="preserve">1 748 </w:t>
            </w:r>
          </w:p>
        </w:tc>
        <w:tc>
          <w:tcPr>
            <w:tcW w:w="1256" w:type="dxa"/>
          </w:tcPr>
          <w:p w:rsidR="00000000" w:rsidRDefault="00000000">
            <w:pPr>
              <w:tabs>
                <w:tab w:val="decimal" w:pos="622"/>
              </w:tabs>
              <w:autoSpaceDE w:val="0"/>
              <w:autoSpaceDN w:val="0"/>
              <w:adjustRightInd w:val="0"/>
              <w:spacing w:before="40" w:after="40"/>
              <w:rPr>
                <w:color w:val="000000"/>
                <w:sz w:val="20"/>
                <w:szCs w:val="22"/>
                <w:lang w:val="fr-FR"/>
              </w:rPr>
            </w:pPr>
            <w:r>
              <w:rPr>
                <w:color w:val="000000"/>
                <w:sz w:val="20"/>
                <w:szCs w:val="22"/>
                <w:lang w:val="fr-FR"/>
              </w:rPr>
              <w:t xml:space="preserve">53,0  </w:t>
            </w:r>
          </w:p>
        </w:tc>
      </w:tr>
      <w:tr w:rsidR="00000000">
        <w:tblPrEx>
          <w:tblCellMar>
            <w:top w:w="0" w:type="dxa"/>
            <w:bottom w:w="0" w:type="dxa"/>
          </w:tblCellMar>
        </w:tblPrEx>
        <w:trPr>
          <w:jc w:val="center"/>
        </w:trPr>
        <w:tc>
          <w:tcPr>
            <w:tcW w:w="246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Secondaire </w:t>
            </w:r>
          </w:p>
        </w:tc>
        <w:tc>
          <w:tcPr>
            <w:tcW w:w="1800" w:type="dxa"/>
          </w:tcPr>
          <w:p w:rsidR="00000000" w:rsidRDefault="00000000">
            <w:pPr>
              <w:autoSpaceDE w:val="0"/>
              <w:autoSpaceDN w:val="0"/>
              <w:adjustRightInd w:val="0"/>
              <w:spacing w:before="40" w:after="40"/>
              <w:ind w:right="650"/>
              <w:jc w:val="right"/>
              <w:rPr>
                <w:color w:val="000000"/>
                <w:sz w:val="20"/>
                <w:szCs w:val="22"/>
                <w:lang w:val="fr-FR"/>
              </w:rPr>
            </w:pPr>
            <w:r>
              <w:rPr>
                <w:color w:val="000000"/>
                <w:sz w:val="20"/>
                <w:szCs w:val="22"/>
                <w:lang w:val="fr-FR"/>
              </w:rPr>
              <w:t xml:space="preserve">1 678 </w:t>
            </w:r>
          </w:p>
        </w:tc>
        <w:tc>
          <w:tcPr>
            <w:tcW w:w="1260" w:type="dxa"/>
          </w:tcPr>
          <w:p w:rsidR="00000000" w:rsidRDefault="00000000">
            <w:pPr>
              <w:tabs>
                <w:tab w:val="decimal" w:pos="594"/>
              </w:tabs>
              <w:autoSpaceDE w:val="0"/>
              <w:autoSpaceDN w:val="0"/>
              <w:adjustRightInd w:val="0"/>
              <w:spacing w:before="40" w:after="40"/>
              <w:rPr>
                <w:color w:val="000000"/>
                <w:sz w:val="20"/>
                <w:szCs w:val="22"/>
                <w:lang w:val="fr-FR"/>
              </w:rPr>
            </w:pPr>
            <w:r>
              <w:rPr>
                <w:color w:val="000000"/>
                <w:sz w:val="20"/>
                <w:szCs w:val="22"/>
                <w:lang w:val="fr-FR"/>
              </w:rPr>
              <w:t xml:space="preserve">13,1 </w:t>
            </w:r>
          </w:p>
        </w:tc>
        <w:tc>
          <w:tcPr>
            <w:tcW w:w="1440" w:type="dxa"/>
          </w:tcPr>
          <w:p w:rsidR="00000000" w:rsidRDefault="00000000">
            <w:pPr>
              <w:tabs>
                <w:tab w:val="decimal" w:pos="594"/>
              </w:tabs>
              <w:autoSpaceDE w:val="0"/>
              <w:autoSpaceDN w:val="0"/>
              <w:adjustRightInd w:val="0"/>
              <w:spacing w:before="40" w:after="40"/>
              <w:rPr>
                <w:color w:val="000000"/>
                <w:sz w:val="20"/>
                <w:szCs w:val="22"/>
                <w:lang w:val="fr-FR"/>
              </w:rPr>
            </w:pPr>
            <w:r>
              <w:rPr>
                <w:color w:val="000000"/>
                <w:sz w:val="20"/>
                <w:szCs w:val="22"/>
                <w:lang w:val="fr-FR"/>
              </w:rPr>
              <w:t xml:space="preserve">1,8 </w:t>
            </w:r>
          </w:p>
        </w:tc>
        <w:tc>
          <w:tcPr>
            <w:tcW w:w="1080" w:type="dxa"/>
          </w:tcPr>
          <w:p w:rsidR="00000000" w:rsidRDefault="00000000">
            <w:pPr>
              <w:autoSpaceDE w:val="0"/>
              <w:autoSpaceDN w:val="0"/>
              <w:adjustRightInd w:val="0"/>
              <w:spacing w:before="40" w:after="40"/>
              <w:ind w:right="290"/>
              <w:jc w:val="right"/>
              <w:rPr>
                <w:color w:val="000000"/>
                <w:sz w:val="20"/>
                <w:szCs w:val="22"/>
                <w:lang w:val="fr-FR"/>
              </w:rPr>
            </w:pPr>
            <w:r>
              <w:rPr>
                <w:color w:val="000000"/>
                <w:sz w:val="20"/>
                <w:szCs w:val="22"/>
                <w:lang w:val="fr-FR"/>
              </w:rPr>
              <w:t xml:space="preserve">689 </w:t>
            </w:r>
          </w:p>
        </w:tc>
        <w:tc>
          <w:tcPr>
            <w:tcW w:w="1256" w:type="dxa"/>
          </w:tcPr>
          <w:p w:rsidR="00000000" w:rsidRDefault="00000000">
            <w:pPr>
              <w:tabs>
                <w:tab w:val="decimal" w:pos="622"/>
              </w:tabs>
              <w:autoSpaceDE w:val="0"/>
              <w:autoSpaceDN w:val="0"/>
              <w:adjustRightInd w:val="0"/>
              <w:spacing w:before="40" w:after="40"/>
              <w:rPr>
                <w:color w:val="000000"/>
                <w:sz w:val="20"/>
                <w:szCs w:val="22"/>
                <w:lang w:val="fr-FR"/>
              </w:rPr>
            </w:pPr>
            <w:r>
              <w:rPr>
                <w:color w:val="000000"/>
                <w:sz w:val="20"/>
                <w:szCs w:val="22"/>
                <w:lang w:val="fr-FR"/>
              </w:rPr>
              <w:t xml:space="preserve">41,1  </w:t>
            </w:r>
          </w:p>
        </w:tc>
      </w:tr>
      <w:tr w:rsidR="00000000">
        <w:tblPrEx>
          <w:tblCellMar>
            <w:top w:w="0" w:type="dxa"/>
            <w:bottom w:w="0" w:type="dxa"/>
          </w:tblCellMar>
        </w:tblPrEx>
        <w:trPr>
          <w:jc w:val="center"/>
        </w:trPr>
        <w:tc>
          <w:tcPr>
            <w:tcW w:w="246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Supérieure </w:t>
            </w:r>
          </w:p>
        </w:tc>
        <w:tc>
          <w:tcPr>
            <w:tcW w:w="1800" w:type="dxa"/>
          </w:tcPr>
          <w:p w:rsidR="00000000" w:rsidRDefault="00000000">
            <w:pPr>
              <w:autoSpaceDE w:val="0"/>
              <w:autoSpaceDN w:val="0"/>
              <w:adjustRightInd w:val="0"/>
              <w:spacing w:before="40" w:after="40"/>
              <w:ind w:right="650"/>
              <w:jc w:val="right"/>
              <w:rPr>
                <w:color w:val="000000"/>
                <w:sz w:val="20"/>
                <w:szCs w:val="22"/>
                <w:lang w:val="fr-FR"/>
              </w:rPr>
            </w:pPr>
            <w:r>
              <w:rPr>
                <w:color w:val="000000"/>
                <w:sz w:val="20"/>
                <w:szCs w:val="22"/>
                <w:lang w:val="fr-FR"/>
              </w:rPr>
              <w:t xml:space="preserve">436 </w:t>
            </w:r>
          </w:p>
        </w:tc>
        <w:tc>
          <w:tcPr>
            <w:tcW w:w="1260" w:type="dxa"/>
          </w:tcPr>
          <w:p w:rsidR="00000000" w:rsidRDefault="00000000">
            <w:pPr>
              <w:tabs>
                <w:tab w:val="decimal" w:pos="594"/>
              </w:tabs>
              <w:autoSpaceDE w:val="0"/>
              <w:autoSpaceDN w:val="0"/>
              <w:adjustRightInd w:val="0"/>
              <w:spacing w:before="40" w:after="40"/>
              <w:rPr>
                <w:color w:val="000000"/>
                <w:sz w:val="20"/>
                <w:szCs w:val="22"/>
                <w:lang w:val="fr-FR"/>
              </w:rPr>
            </w:pPr>
            <w:r>
              <w:rPr>
                <w:color w:val="000000"/>
                <w:sz w:val="20"/>
                <w:szCs w:val="22"/>
                <w:lang w:val="fr-FR"/>
              </w:rPr>
              <w:t xml:space="preserve">13,5 </w:t>
            </w:r>
          </w:p>
        </w:tc>
        <w:tc>
          <w:tcPr>
            <w:tcW w:w="1440" w:type="dxa"/>
          </w:tcPr>
          <w:p w:rsidR="00000000" w:rsidRDefault="00000000">
            <w:pPr>
              <w:tabs>
                <w:tab w:val="decimal" w:pos="594"/>
              </w:tabs>
              <w:autoSpaceDE w:val="0"/>
              <w:autoSpaceDN w:val="0"/>
              <w:adjustRightInd w:val="0"/>
              <w:spacing w:before="40" w:after="40"/>
              <w:rPr>
                <w:color w:val="000000"/>
                <w:sz w:val="20"/>
                <w:szCs w:val="22"/>
                <w:lang w:val="fr-FR"/>
              </w:rPr>
            </w:pPr>
            <w:r>
              <w:rPr>
                <w:color w:val="000000"/>
                <w:sz w:val="20"/>
                <w:szCs w:val="22"/>
                <w:lang w:val="fr-FR"/>
              </w:rPr>
              <w:t xml:space="preserve">1,8 </w:t>
            </w:r>
          </w:p>
        </w:tc>
        <w:tc>
          <w:tcPr>
            <w:tcW w:w="1080" w:type="dxa"/>
          </w:tcPr>
          <w:p w:rsidR="00000000" w:rsidRDefault="00000000">
            <w:pPr>
              <w:autoSpaceDE w:val="0"/>
              <w:autoSpaceDN w:val="0"/>
              <w:adjustRightInd w:val="0"/>
              <w:spacing w:before="40" w:after="40"/>
              <w:ind w:right="290"/>
              <w:jc w:val="right"/>
              <w:rPr>
                <w:color w:val="000000"/>
                <w:sz w:val="20"/>
                <w:szCs w:val="22"/>
                <w:lang w:val="fr-FR"/>
              </w:rPr>
            </w:pPr>
            <w:r>
              <w:rPr>
                <w:color w:val="000000"/>
                <w:sz w:val="20"/>
                <w:szCs w:val="22"/>
                <w:lang w:val="fr-FR"/>
              </w:rPr>
              <w:t xml:space="preserve">167 </w:t>
            </w:r>
          </w:p>
        </w:tc>
        <w:tc>
          <w:tcPr>
            <w:tcW w:w="1256" w:type="dxa"/>
          </w:tcPr>
          <w:p w:rsidR="00000000" w:rsidRDefault="00000000">
            <w:pPr>
              <w:tabs>
                <w:tab w:val="decimal" w:pos="622"/>
              </w:tabs>
              <w:autoSpaceDE w:val="0"/>
              <w:autoSpaceDN w:val="0"/>
              <w:adjustRightInd w:val="0"/>
              <w:spacing w:before="40" w:after="40"/>
              <w:rPr>
                <w:color w:val="000000"/>
                <w:sz w:val="20"/>
                <w:szCs w:val="22"/>
                <w:lang w:val="fr-FR"/>
              </w:rPr>
            </w:pPr>
            <w:r>
              <w:rPr>
                <w:color w:val="000000"/>
                <w:sz w:val="20"/>
                <w:szCs w:val="22"/>
                <w:lang w:val="fr-FR"/>
              </w:rPr>
              <w:t xml:space="preserve">38,3  </w:t>
            </w:r>
          </w:p>
        </w:tc>
      </w:tr>
      <w:tr w:rsidR="00000000">
        <w:tblPrEx>
          <w:tblCellMar>
            <w:top w:w="0" w:type="dxa"/>
            <w:bottom w:w="0" w:type="dxa"/>
          </w:tblCellMar>
        </w:tblPrEx>
        <w:trPr>
          <w:jc w:val="center"/>
        </w:trPr>
        <w:tc>
          <w:tcPr>
            <w:tcW w:w="246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Ne sait pas </w:t>
            </w:r>
          </w:p>
        </w:tc>
        <w:tc>
          <w:tcPr>
            <w:tcW w:w="1800" w:type="dxa"/>
          </w:tcPr>
          <w:p w:rsidR="00000000" w:rsidRDefault="00000000">
            <w:pPr>
              <w:autoSpaceDE w:val="0"/>
              <w:autoSpaceDN w:val="0"/>
              <w:adjustRightInd w:val="0"/>
              <w:spacing w:before="40" w:after="40"/>
              <w:ind w:right="650"/>
              <w:jc w:val="right"/>
              <w:rPr>
                <w:color w:val="000000"/>
                <w:sz w:val="20"/>
                <w:szCs w:val="22"/>
                <w:lang w:val="fr-FR"/>
              </w:rPr>
            </w:pPr>
            <w:r>
              <w:rPr>
                <w:color w:val="000000"/>
                <w:sz w:val="20"/>
                <w:szCs w:val="22"/>
                <w:lang w:val="fr-FR"/>
              </w:rPr>
              <w:t xml:space="preserve">1 008 </w:t>
            </w:r>
          </w:p>
        </w:tc>
        <w:tc>
          <w:tcPr>
            <w:tcW w:w="1260" w:type="dxa"/>
          </w:tcPr>
          <w:p w:rsidR="00000000" w:rsidRDefault="00000000">
            <w:pPr>
              <w:tabs>
                <w:tab w:val="decimal" w:pos="594"/>
              </w:tabs>
              <w:autoSpaceDE w:val="0"/>
              <w:autoSpaceDN w:val="0"/>
              <w:adjustRightInd w:val="0"/>
              <w:spacing w:before="40" w:after="40"/>
              <w:rPr>
                <w:color w:val="000000"/>
                <w:sz w:val="20"/>
                <w:szCs w:val="22"/>
                <w:lang w:val="fr-FR"/>
              </w:rPr>
            </w:pPr>
            <w:r>
              <w:rPr>
                <w:color w:val="000000"/>
                <w:sz w:val="20"/>
                <w:szCs w:val="22"/>
                <w:lang w:val="fr-FR"/>
              </w:rPr>
              <w:t xml:space="preserve">11,4 </w:t>
            </w:r>
          </w:p>
        </w:tc>
        <w:tc>
          <w:tcPr>
            <w:tcW w:w="1440" w:type="dxa"/>
          </w:tcPr>
          <w:p w:rsidR="00000000" w:rsidRDefault="00000000">
            <w:pPr>
              <w:tabs>
                <w:tab w:val="decimal" w:pos="594"/>
              </w:tabs>
              <w:autoSpaceDE w:val="0"/>
              <w:autoSpaceDN w:val="0"/>
              <w:adjustRightInd w:val="0"/>
              <w:spacing w:before="40" w:after="40"/>
              <w:rPr>
                <w:color w:val="000000"/>
                <w:sz w:val="20"/>
                <w:szCs w:val="22"/>
                <w:lang w:val="fr-FR"/>
              </w:rPr>
            </w:pPr>
            <w:r>
              <w:rPr>
                <w:color w:val="000000"/>
                <w:sz w:val="20"/>
                <w:szCs w:val="22"/>
                <w:lang w:val="fr-FR"/>
              </w:rPr>
              <w:t xml:space="preserve">1,7 </w:t>
            </w:r>
          </w:p>
        </w:tc>
        <w:tc>
          <w:tcPr>
            <w:tcW w:w="1080" w:type="dxa"/>
          </w:tcPr>
          <w:p w:rsidR="00000000" w:rsidRDefault="00000000">
            <w:pPr>
              <w:autoSpaceDE w:val="0"/>
              <w:autoSpaceDN w:val="0"/>
              <w:adjustRightInd w:val="0"/>
              <w:spacing w:before="40" w:after="40"/>
              <w:ind w:right="290"/>
              <w:jc w:val="right"/>
              <w:rPr>
                <w:color w:val="000000"/>
                <w:sz w:val="20"/>
                <w:szCs w:val="22"/>
                <w:lang w:val="fr-FR"/>
              </w:rPr>
            </w:pPr>
            <w:r>
              <w:rPr>
                <w:color w:val="000000"/>
                <w:sz w:val="20"/>
                <w:szCs w:val="22"/>
                <w:lang w:val="fr-FR"/>
              </w:rPr>
              <w:t xml:space="preserve">616 </w:t>
            </w:r>
          </w:p>
        </w:tc>
        <w:tc>
          <w:tcPr>
            <w:tcW w:w="1256" w:type="dxa"/>
          </w:tcPr>
          <w:p w:rsidR="00000000" w:rsidRDefault="00000000">
            <w:pPr>
              <w:tabs>
                <w:tab w:val="decimal" w:pos="622"/>
              </w:tabs>
              <w:autoSpaceDE w:val="0"/>
              <w:autoSpaceDN w:val="0"/>
              <w:adjustRightInd w:val="0"/>
              <w:spacing w:before="40" w:after="40"/>
              <w:rPr>
                <w:color w:val="000000"/>
                <w:sz w:val="20"/>
                <w:szCs w:val="22"/>
                <w:lang w:val="fr-FR"/>
              </w:rPr>
            </w:pPr>
            <w:r>
              <w:rPr>
                <w:color w:val="000000"/>
                <w:sz w:val="20"/>
                <w:szCs w:val="22"/>
                <w:lang w:val="fr-FR"/>
              </w:rPr>
              <w:t xml:space="preserve">61,1  </w:t>
            </w:r>
          </w:p>
        </w:tc>
      </w:tr>
      <w:tr w:rsidR="00000000">
        <w:tblPrEx>
          <w:tblCellMar>
            <w:top w:w="0" w:type="dxa"/>
            <w:bottom w:w="0" w:type="dxa"/>
          </w:tblCellMar>
        </w:tblPrEx>
        <w:trPr>
          <w:jc w:val="center"/>
        </w:trPr>
        <w:tc>
          <w:tcPr>
            <w:tcW w:w="246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Non applicable (population de moins de 6 ans) </w:t>
            </w:r>
          </w:p>
        </w:tc>
        <w:tc>
          <w:tcPr>
            <w:tcW w:w="1800" w:type="dxa"/>
          </w:tcPr>
          <w:p w:rsidR="00000000" w:rsidRDefault="00000000">
            <w:pPr>
              <w:autoSpaceDE w:val="0"/>
              <w:autoSpaceDN w:val="0"/>
              <w:adjustRightInd w:val="0"/>
              <w:spacing w:before="40" w:after="40"/>
              <w:ind w:right="650"/>
              <w:jc w:val="right"/>
              <w:rPr>
                <w:color w:val="000000"/>
                <w:sz w:val="20"/>
                <w:szCs w:val="22"/>
                <w:lang w:val="fr-FR"/>
              </w:rPr>
            </w:pPr>
            <w:r>
              <w:rPr>
                <w:color w:val="000000"/>
                <w:sz w:val="20"/>
                <w:szCs w:val="22"/>
                <w:lang w:val="fr-FR"/>
              </w:rPr>
              <w:t xml:space="preserve">728 </w:t>
            </w:r>
          </w:p>
        </w:tc>
        <w:tc>
          <w:tcPr>
            <w:tcW w:w="1260" w:type="dxa"/>
          </w:tcPr>
          <w:p w:rsidR="00000000" w:rsidRDefault="00000000">
            <w:pPr>
              <w:tabs>
                <w:tab w:val="decimal" w:pos="594"/>
              </w:tabs>
              <w:autoSpaceDE w:val="0"/>
              <w:autoSpaceDN w:val="0"/>
              <w:adjustRightInd w:val="0"/>
              <w:spacing w:before="40" w:after="40"/>
              <w:rPr>
                <w:color w:val="000000"/>
                <w:sz w:val="20"/>
                <w:szCs w:val="22"/>
                <w:lang w:val="fr-FR"/>
              </w:rPr>
            </w:pPr>
            <w:r>
              <w:rPr>
                <w:color w:val="000000"/>
                <w:sz w:val="20"/>
                <w:szCs w:val="22"/>
                <w:lang w:val="fr-FR"/>
              </w:rPr>
              <w:t xml:space="preserve">11,4 </w:t>
            </w:r>
          </w:p>
        </w:tc>
        <w:tc>
          <w:tcPr>
            <w:tcW w:w="1440" w:type="dxa"/>
          </w:tcPr>
          <w:p w:rsidR="00000000" w:rsidRDefault="00000000">
            <w:pPr>
              <w:tabs>
                <w:tab w:val="decimal" w:pos="594"/>
              </w:tabs>
              <w:autoSpaceDE w:val="0"/>
              <w:autoSpaceDN w:val="0"/>
              <w:adjustRightInd w:val="0"/>
              <w:spacing w:before="40" w:after="40"/>
              <w:rPr>
                <w:color w:val="000000"/>
                <w:sz w:val="20"/>
                <w:szCs w:val="22"/>
                <w:lang w:val="fr-FR"/>
              </w:rPr>
            </w:pPr>
            <w:r>
              <w:rPr>
                <w:color w:val="000000"/>
                <w:sz w:val="20"/>
                <w:szCs w:val="22"/>
                <w:lang w:val="fr-FR"/>
              </w:rPr>
              <w:t xml:space="preserve">1,6 </w:t>
            </w:r>
          </w:p>
        </w:tc>
        <w:tc>
          <w:tcPr>
            <w:tcW w:w="1080" w:type="dxa"/>
          </w:tcPr>
          <w:p w:rsidR="00000000" w:rsidRDefault="00000000">
            <w:pPr>
              <w:autoSpaceDE w:val="0"/>
              <w:autoSpaceDN w:val="0"/>
              <w:adjustRightInd w:val="0"/>
              <w:spacing w:before="40" w:after="40"/>
              <w:ind w:right="290"/>
              <w:jc w:val="right"/>
              <w:rPr>
                <w:color w:val="000000"/>
                <w:sz w:val="20"/>
                <w:szCs w:val="22"/>
                <w:lang w:val="fr-FR"/>
              </w:rPr>
            </w:pPr>
            <w:r>
              <w:rPr>
                <w:color w:val="000000"/>
                <w:sz w:val="20"/>
                <w:szCs w:val="22"/>
                <w:lang w:val="fr-FR"/>
              </w:rPr>
              <w:t xml:space="preserve">401 </w:t>
            </w:r>
          </w:p>
        </w:tc>
        <w:tc>
          <w:tcPr>
            <w:tcW w:w="1256" w:type="dxa"/>
          </w:tcPr>
          <w:p w:rsidR="00000000" w:rsidRDefault="00000000">
            <w:pPr>
              <w:tabs>
                <w:tab w:val="decimal" w:pos="622"/>
              </w:tabs>
              <w:autoSpaceDE w:val="0"/>
              <w:autoSpaceDN w:val="0"/>
              <w:adjustRightInd w:val="0"/>
              <w:spacing w:before="40" w:after="40"/>
              <w:rPr>
                <w:color w:val="000000"/>
                <w:sz w:val="20"/>
                <w:szCs w:val="22"/>
                <w:lang w:val="fr-FR"/>
              </w:rPr>
            </w:pPr>
            <w:r>
              <w:rPr>
                <w:color w:val="000000"/>
                <w:sz w:val="20"/>
                <w:szCs w:val="22"/>
                <w:lang w:val="fr-FR"/>
              </w:rPr>
              <w:t xml:space="preserve">55,1  </w:t>
            </w:r>
          </w:p>
        </w:tc>
      </w:tr>
    </w:tbl>
    <w:p w:rsidR="00000000" w:rsidRDefault="00000000">
      <w:pPr>
        <w:autoSpaceDE w:val="0"/>
        <w:autoSpaceDN w:val="0"/>
        <w:adjustRightInd w:val="0"/>
        <w:spacing w:before="80" w:after="360"/>
        <w:ind w:left="567"/>
        <w:rPr>
          <w:i/>
          <w:iCs/>
          <w:color w:val="000000"/>
          <w:sz w:val="20"/>
          <w:szCs w:val="22"/>
          <w:lang w:val="fr-FR"/>
        </w:rPr>
      </w:pPr>
      <w:r>
        <w:rPr>
          <w:i/>
          <w:iCs/>
          <w:color w:val="000000"/>
          <w:sz w:val="20"/>
          <w:szCs w:val="22"/>
          <w:lang w:val="fr-FR"/>
        </w:rPr>
        <w:t>Source :</w:t>
      </w:r>
      <w:r>
        <w:rPr>
          <w:color w:val="000000"/>
          <w:sz w:val="20"/>
          <w:szCs w:val="22"/>
          <w:lang w:val="fr-FR"/>
        </w:rPr>
        <w:t xml:space="preserve"> Ministère de la santé, </w:t>
      </w:r>
      <w:r>
        <w:rPr>
          <w:i/>
          <w:iCs/>
          <w:color w:val="000000"/>
          <w:sz w:val="20"/>
          <w:szCs w:val="22"/>
          <w:lang w:val="fr-FR"/>
        </w:rPr>
        <w:t>Boletín Informativo del ICT</w:t>
      </w:r>
      <w:r>
        <w:rPr>
          <w:color w:val="000000"/>
          <w:sz w:val="20"/>
          <w:szCs w:val="22"/>
          <w:lang w:val="fr-FR"/>
        </w:rPr>
        <w:t>, n º 3</w:t>
      </w:r>
      <w:r>
        <w:rPr>
          <w:i/>
          <w:iCs/>
          <w:color w:val="000000"/>
          <w:sz w:val="20"/>
          <w:szCs w:val="22"/>
          <w:lang w:val="fr-FR"/>
        </w:rPr>
        <w:t>.</w:t>
      </w:r>
    </w:p>
    <w:p w:rsidR="00000000" w:rsidRDefault="00000000">
      <w:pPr>
        <w:autoSpaceDE w:val="0"/>
        <w:autoSpaceDN w:val="0"/>
        <w:adjustRightInd w:val="0"/>
        <w:spacing w:after="240"/>
        <w:rPr>
          <w:color w:val="000000"/>
          <w:szCs w:val="22"/>
          <w:lang w:val="fr-FR"/>
        </w:rPr>
      </w:pPr>
      <w:r>
        <w:rPr>
          <w:color w:val="000000"/>
          <w:szCs w:val="22"/>
          <w:lang w:val="fr-FR"/>
        </w:rPr>
        <w:t>300.</w:t>
      </w:r>
      <w:r>
        <w:rPr>
          <w:color w:val="000000"/>
          <w:szCs w:val="22"/>
          <w:lang w:val="fr-FR"/>
        </w:rPr>
        <w:tab/>
        <w:t xml:space="preserve">Les valeurs moyennes d'hémoglobine correspondant aux diverses catégories professionnelles de la population montrent que les personnes qui travaillent ont des valeurs similaires, par exemple :  employés des entreprise privée, 13.8 +- 1.9 g/dl; professions indépendantes, 13.9 +/- 1.8 g/dl et petits producteurs ruraux, 13.7 +/- 1 g/dl.  Parmi les personnes qui se consacrent aux travaux domestiques, la valeur moyenne est de 12.4 g/dl.  </w:t>
      </w:r>
    </w:p>
    <w:p w:rsidR="00000000" w:rsidRDefault="00000000">
      <w:pPr>
        <w:autoSpaceDE w:val="0"/>
        <w:autoSpaceDN w:val="0"/>
        <w:adjustRightInd w:val="0"/>
        <w:spacing w:after="120"/>
        <w:jc w:val="center"/>
        <w:rPr>
          <w:b/>
          <w:bCs/>
          <w:color w:val="000000"/>
          <w:sz w:val="20"/>
          <w:szCs w:val="22"/>
          <w:lang w:val="fr-FR"/>
        </w:rPr>
      </w:pPr>
      <w:r>
        <w:rPr>
          <w:b/>
          <w:bCs/>
          <w:color w:val="000000"/>
          <w:sz w:val="20"/>
          <w:szCs w:val="22"/>
          <w:lang w:val="fr-FR"/>
        </w:rPr>
        <w:t xml:space="preserve">Valeurs d’hémoglobine et prévalence de l'anémie par profession, Équateur, 1997  </w:t>
      </w:r>
    </w:p>
    <w:tbl>
      <w:tblPr>
        <w:tblW w:w="9299"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3201"/>
        <w:gridCol w:w="1427"/>
        <w:gridCol w:w="1370"/>
        <w:gridCol w:w="1006"/>
        <w:gridCol w:w="909"/>
        <w:gridCol w:w="1386"/>
      </w:tblGrid>
      <w:tr w:rsidR="00000000">
        <w:tblPrEx>
          <w:tblCellMar>
            <w:top w:w="0" w:type="dxa"/>
            <w:bottom w:w="0" w:type="dxa"/>
          </w:tblCellMar>
        </w:tblPrEx>
        <w:trPr>
          <w:cantSplit/>
          <w:jc w:val="center"/>
        </w:trPr>
        <w:tc>
          <w:tcPr>
            <w:tcW w:w="2928"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Variable</w:t>
            </w:r>
          </w:p>
        </w:tc>
        <w:tc>
          <w:tcPr>
            <w:tcW w:w="1305"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Échantillon total</w:t>
            </w:r>
          </w:p>
        </w:tc>
        <w:tc>
          <w:tcPr>
            <w:tcW w:w="2173" w:type="dxa"/>
            <w:gridSpan w:val="2"/>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Hémoglobine</w:t>
            </w:r>
          </w:p>
        </w:tc>
        <w:tc>
          <w:tcPr>
            <w:tcW w:w="2099" w:type="dxa"/>
            <w:gridSpan w:val="2"/>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Anémie</w:t>
            </w:r>
          </w:p>
        </w:tc>
      </w:tr>
      <w:tr w:rsidR="00000000">
        <w:tblPrEx>
          <w:tblCellMar>
            <w:top w:w="0" w:type="dxa"/>
            <w:bottom w:w="0" w:type="dxa"/>
          </w:tblCellMar>
        </w:tblPrEx>
        <w:trPr>
          <w:cantSplit/>
          <w:jc w:val="center"/>
        </w:trPr>
        <w:tc>
          <w:tcPr>
            <w:tcW w:w="2928" w:type="dxa"/>
            <w:vMerge/>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p>
        </w:tc>
        <w:tc>
          <w:tcPr>
            <w:tcW w:w="1305" w:type="dxa"/>
            <w:vMerge/>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p>
        </w:tc>
        <w:tc>
          <w:tcPr>
            <w:tcW w:w="1253"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Moyenne</w:t>
            </w:r>
          </w:p>
        </w:tc>
        <w:tc>
          <w:tcPr>
            <w:tcW w:w="920"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Écart type</w:t>
            </w:r>
          </w:p>
        </w:tc>
        <w:tc>
          <w:tcPr>
            <w:tcW w:w="831"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Nombre</w:t>
            </w:r>
          </w:p>
        </w:tc>
        <w:tc>
          <w:tcPr>
            <w:tcW w:w="1268"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Pourcentage</w:t>
            </w:r>
          </w:p>
        </w:tc>
      </w:tr>
      <w:tr w:rsidR="00000000">
        <w:tblPrEx>
          <w:tblCellMar>
            <w:top w:w="0" w:type="dxa"/>
            <w:bottom w:w="0" w:type="dxa"/>
          </w:tblCellMar>
        </w:tblPrEx>
        <w:trPr>
          <w:jc w:val="center"/>
        </w:trPr>
        <w:tc>
          <w:tcPr>
            <w:tcW w:w="2928" w:type="dxa"/>
            <w:tcBorders>
              <w:top w:val="single" w:sz="4" w:space="0" w:color="auto"/>
            </w:tcBorders>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Profession  </w:t>
            </w:r>
          </w:p>
        </w:tc>
        <w:tc>
          <w:tcPr>
            <w:tcW w:w="1305" w:type="dxa"/>
            <w:tcBorders>
              <w:top w:val="single" w:sz="4" w:space="0" w:color="auto"/>
            </w:tcBorders>
          </w:tcPr>
          <w:p w:rsidR="00000000" w:rsidRDefault="00000000">
            <w:pPr>
              <w:autoSpaceDE w:val="0"/>
              <w:autoSpaceDN w:val="0"/>
              <w:adjustRightInd w:val="0"/>
              <w:spacing w:before="20" w:after="20"/>
              <w:rPr>
                <w:color w:val="000000"/>
                <w:sz w:val="20"/>
                <w:szCs w:val="22"/>
                <w:lang w:val="fr-FR"/>
              </w:rPr>
            </w:pPr>
          </w:p>
        </w:tc>
        <w:tc>
          <w:tcPr>
            <w:tcW w:w="1253" w:type="dxa"/>
            <w:tcBorders>
              <w:top w:val="single" w:sz="4" w:space="0" w:color="auto"/>
            </w:tcBorders>
          </w:tcPr>
          <w:p w:rsidR="00000000" w:rsidRDefault="00000000">
            <w:pPr>
              <w:autoSpaceDE w:val="0"/>
              <w:autoSpaceDN w:val="0"/>
              <w:adjustRightInd w:val="0"/>
              <w:spacing w:before="20" w:after="20"/>
              <w:rPr>
                <w:color w:val="000000"/>
                <w:sz w:val="20"/>
                <w:szCs w:val="22"/>
                <w:lang w:val="fr-FR"/>
              </w:rPr>
            </w:pPr>
          </w:p>
        </w:tc>
        <w:tc>
          <w:tcPr>
            <w:tcW w:w="920" w:type="dxa"/>
            <w:tcBorders>
              <w:top w:val="single" w:sz="4" w:space="0" w:color="auto"/>
            </w:tcBorders>
          </w:tcPr>
          <w:p w:rsidR="00000000" w:rsidRDefault="00000000">
            <w:pPr>
              <w:autoSpaceDE w:val="0"/>
              <w:autoSpaceDN w:val="0"/>
              <w:adjustRightInd w:val="0"/>
              <w:spacing w:before="20" w:after="20"/>
              <w:rPr>
                <w:color w:val="000000"/>
                <w:sz w:val="20"/>
                <w:szCs w:val="22"/>
                <w:lang w:val="fr-FR"/>
              </w:rPr>
            </w:pPr>
          </w:p>
        </w:tc>
        <w:tc>
          <w:tcPr>
            <w:tcW w:w="831" w:type="dxa"/>
            <w:tcBorders>
              <w:top w:val="single" w:sz="4" w:space="0" w:color="auto"/>
            </w:tcBorders>
          </w:tcPr>
          <w:p w:rsidR="00000000" w:rsidRDefault="00000000">
            <w:pPr>
              <w:autoSpaceDE w:val="0"/>
              <w:autoSpaceDN w:val="0"/>
              <w:adjustRightInd w:val="0"/>
              <w:spacing w:before="20" w:after="20"/>
              <w:ind w:right="113"/>
              <w:rPr>
                <w:color w:val="000000"/>
                <w:sz w:val="20"/>
                <w:szCs w:val="22"/>
                <w:lang w:val="fr-FR"/>
              </w:rPr>
            </w:pPr>
          </w:p>
        </w:tc>
        <w:tc>
          <w:tcPr>
            <w:tcW w:w="1268" w:type="dxa"/>
            <w:tcBorders>
              <w:top w:val="single" w:sz="4" w:space="0" w:color="auto"/>
            </w:tcBorders>
          </w:tcPr>
          <w:p w:rsidR="00000000" w:rsidRDefault="00000000">
            <w:pPr>
              <w:autoSpaceDE w:val="0"/>
              <w:autoSpaceDN w:val="0"/>
              <w:adjustRightInd w:val="0"/>
              <w:spacing w:before="20" w:after="20"/>
              <w:rPr>
                <w:color w:val="000000"/>
                <w:sz w:val="20"/>
                <w:szCs w:val="22"/>
                <w:lang w:val="fr-FR"/>
              </w:rPr>
            </w:pPr>
          </w:p>
        </w:tc>
      </w:tr>
      <w:tr w:rsidR="00000000">
        <w:tblPrEx>
          <w:tblCellMar>
            <w:top w:w="0" w:type="dxa"/>
            <w:bottom w:w="0" w:type="dxa"/>
          </w:tblCellMar>
        </w:tblPrEx>
        <w:trPr>
          <w:trHeight w:val="86"/>
          <w:jc w:val="center"/>
        </w:trPr>
        <w:tc>
          <w:tcPr>
            <w:tcW w:w="2928"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Ouvrier </w:t>
            </w:r>
          </w:p>
        </w:tc>
        <w:tc>
          <w:tcPr>
            <w:tcW w:w="1305" w:type="dxa"/>
          </w:tcPr>
          <w:p w:rsidR="00000000" w:rsidRDefault="00000000">
            <w:pPr>
              <w:autoSpaceDE w:val="0"/>
              <w:autoSpaceDN w:val="0"/>
              <w:adjustRightInd w:val="0"/>
              <w:spacing w:before="20" w:after="20"/>
              <w:ind w:right="297"/>
              <w:jc w:val="right"/>
              <w:rPr>
                <w:color w:val="000000"/>
                <w:sz w:val="20"/>
                <w:szCs w:val="22"/>
                <w:lang w:val="fr-FR"/>
              </w:rPr>
            </w:pPr>
            <w:r>
              <w:rPr>
                <w:color w:val="000000"/>
                <w:sz w:val="20"/>
                <w:szCs w:val="22"/>
                <w:lang w:val="fr-FR"/>
              </w:rPr>
              <w:t xml:space="preserve">127 </w:t>
            </w:r>
          </w:p>
        </w:tc>
        <w:tc>
          <w:tcPr>
            <w:tcW w:w="1253" w:type="dxa"/>
          </w:tcPr>
          <w:p w:rsidR="00000000" w:rsidRDefault="00000000">
            <w:pPr>
              <w:tabs>
                <w:tab w:val="decimal" w:pos="643"/>
              </w:tabs>
              <w:autoSpaceDE w:val="0"/>
              <w:autoSpaceDN w:val="0"/>
              <w:adjustRightInd w:val="0"/>
              <w:spacing w:before="20" w:after="20"/>
              <w:rPr>
                <w:color w:val="000000"/>
                <w:sz w:val="20"/>
                <w:szCs w:val="22"/>
                <w:lang w:val="fr-FR"/>
              </w:rPr>
            </w:pPr>
            <w:r>
              <w:rPr>
                <w:color w:val="000000"/>
                <w:sz w:val="20"/>
                <w:szCs w:val="22"/>
                <w:lang w:val="fr-FR"/>
              </w:rPr>
              <w:t xml:space="preserve">13,6 </w:t>
            </w:r>
          </w:p>
        </w:tc>
        <w:tc>
          <w:tcPr>
            <w:tcW w:w="92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1,6 </w:t>
            </w:r>
          </w:p>
        </w:tc>
        <w:tc>
          <w:tcPr>
            <w:tcW w:w="831" w:type="dxa"/>
          </w:tcPr>
          <w:p w:rsidR="00000000" w:rsidRDefault="00000000">
            <w:pPr>
              <w:autoSpaceDE w:val="0"/>
              <w:autoSpaceDN w:val="0"/>
              <w:adjustRightInd w:val="0"/>
              <w:spacing w:before="20" w:after="20"/>
              <w:ind w:right="113"/>
              <w:jc w:val="right"/>
              <w:rPr>
                <w:color w:val="000000"/>
                <w:sz w:val="20"/>
                <w:szCs w:val="22"/>
                <w:lang w:val="fr-FR"/>
              </w:rPr>
            </w:pPr>
            <w:r>
              <w:rPr>
                <w:color w:val="000000"/>
                <w:sz w:val="20"/>
                <w:szCs w:val="22"/>
                <w:lang w:val="fr-FR"/>
              </w:rPr>
              <w:t xml:space="preserve">49 </w:t>
            </w:r>
          </w:p>
        </w:tc>
        <w:tc>
          <w:tcPr>
            <w:tcW w:w="1268" w:type="dxa"/>
          </w:tcPr>
          <w:p w:rsidR="00000000" w:rsidRDefault="00000000">
            <w:pPr>
              <w:tabs>
                <w:tab w:val="decimal" w:pos="519"/>
              </w:tabs>
              <w:autoSpaceDE w:val="0"/>
              <w:autoSpaceDN w:val="0"/>
              <w:adjustRightInd w:val="0"/>
              <w:spacing w:before="20" w:after="20"/>
              <w:rPr>
                <w:color w:val="000000"/>
                <w:sz w:val="20"/>
                <w:szCs w:val="22"/>
                <w:lang w:val="fr-FR"/>
              </w:rPr>
            </w:pPr>
            <w:r>
              <w:rPr>
                <w:color w:val="000000"/>
                <w:sz w:val="20"/>
                <w:szCs w:val="22"/>
                <w:lang w:val="fr-FR"/>
              </w:rPr>
              <w:t xml:space="preserve">38,6  </w:t>
            </w:r>
          </w:p>
        </w:tc>
      </w:tr>
      <w:tr w:rsidR="00000000">
        <w:tblPrEx>
          <w:tblCellMar>
            <w:top w:w="0" w:type="dxa"/>
            <w:bottom w:w="0" w:type="dxa"/>
          </w:tblCellMar>
        </w:tblPrEx>
        <w:trPr>
          <w:jc w:val="center"/>
        </w:trPr>
        <w:tc>
          <w:tcPr>
            <w:tcW w:w="2928"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Artisan </w:t>
            </w:r>
          </w:p>
        </w:tc>
        <w:tc>
          <w:tcPr>
            <w:tcW w:w="1305" w:type="dxa"/>
          </w:tcPr>
          <w:p w:rsidR="00000000" w:rsidRDefault="00000000">
            <w:pPr>
              <w:autoSpaceDE w:val="0"/>
              <w:autoSpaceDN w:val="0"/>
              <w:adjustRightInd w:val="0"/>
              <w:spacing w:before="20" w:after="20"/>
              <w:ind w:right="297"/>
              <w:jc w:val="right"/>
              <w:rPr>
                <w:color w:val="000000"/>
                <w:sz w:val="20"/>
                <w:szCs w:val="22"/>
                <w:lang w:val="fr-FR"/>
              </w:rPr>
            </w:pPr>
            <w:r>
              <w:rPr>
                <w:color w:val="000000"/>
                <w:sz w:val="20"/>
                <w:szCs w:val="22"/>
                <w:lang w:val="fr-FR"/>
              </w:rPr>
              <w:t xml:space="preserve">235 </w:t>
            </w:r>
          </w:p>
        </w:tc>
        <w:tc>
          <w:tcPr>
            <w:tcW w:w="1253" w:type="dxa"/>
          </w:tcPr>
          <w:p w:rsidR="00000000" w:rsidRDefault="00000000">
            <w:pPr>
              <w:tabs>
                <w:tab w:val="decimal" w:pos="643"/>
              </w:tabs>
              <w:autoSpaceDE w:val="0"/>
              <w:autoSpaceDN w:val="0"/>
              <w:adjustRightInd w:val="0"/>
              <w:spacing w:before="20" w:after="20"/>
              <w:rPr>
                <w:color w:val="000000"/>
                <w:sz w:val="20"/>
                <w:szCs w:val="22"/>
                <w:lang w:val="fr-FR"/>
              </w:rPr>
            </w:pPr>
            <w:r>
              <w:rPr>
                <w:color w:val="000000"/>
                <w:sz w:val="20"/>
                <w:szCs w:val="22"/>
                <w:lang w:val="fr-FR"/>
              </w:rPr>
              <w:t xml:space="preserve">13,6 </w:t>
            </w:r>
          </w:p>
        </w:tc>
        <w:tc>
          <w:tcPr>
            <w:tcW w:w="92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2,0 </w:t>
            </w:r>
          </w:p>
        </w:tc>
        <w:tc>
          <w:tcPr>
            <w:tcW w:w="831" w:type="dxa"/>
          </w:tcPr>
          <w:p w:rsidR="00000000" w:rsidRDefault="00000000">
            <w:pPr>
              <w:autoSpaceDE w:val="0"/>
              <w:autoSpaceDN w:val="0"/>
              <w:adjustRightInd w:val="0"/>
              <w:spacing w:before="20" w:after="20"/>
              <w:ind w:right="113"/>
              <w:jc w:val="right"/>
              <w:rPr>
                <w:color w:val="000000"/>
                <w:sz w:val="20"/>
                <w:szCs w:val="22"/>
                <w:lang w:val="fr-FR"/>
              </w:rPr>
            </w:pPr>
            <w:r>
              <w:rPr>
                <w:color w:val="000000"/>
                <w:sz w:val="20"/>
                <w:szCs w:val="22"/>
                <w:lang w:val="fr-FR"/>
              </w:rPr>
              <w:t xml:space="preserve">91 </w:t>
            </w:r>
          </w:p>
        </w:tc>
        <w:tc>
          <w:tcPr>
            <w:tcW w:w="1268" w:type="dxa"/>
          </w:tcPr>
          <w:p w:rsidR="00000000" w:rsidRDefault="00000000">
            <w:pPr>
              <w:tabs>
                <w:tab w:val="decimal" w:pos="519"/>
              </w:tabs>
              <w:autoSpaceDE w:val="0"/>
              <w:autoSpaceDN w:val="0"/>
              <w:adjustRightInd w:val="0"/>
              <w:spacing w:before="20" w:after="20"/>
              <w:rPr>
                <w:color w:val="000000"/>
                <w:sz w:val="20"/>
                <w:szCs w:val="22"/>
                <w:lang w:val="fr-FR"/>
              </w:rPr>
            </w:pPr>
            <w:r>
              <w:rPr>
                <w:color w:val="000000"/>
                <w:sz w:val="20"/>
                <w:szCs w:val="22"/>
                <w:lang w:val="fr-FR"/>
              </w:rPr>
              <w:t xml:space="preserve">38,7  </w:t>
            </w:r>
          </w:p>
        </w:tc>
      </w:tr>
      <w:tr w:rsidR="00000000">
        <w:tblPrEx>
          <w:tblCellMar>
            <w:top w:w="0" w:type="dxa"/>
            <w:bottom w:w="0" w:type="dxa"/>
          </w:tblCellMar>
        </w:tblPrEx>
        <w:trPr>
          <w:jc w:val="center"/>
        </w:trPr>
        <w:tc>
          <w:tcPr>
            <w:tcW w:w="2928"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Employé, secteur public </w:t>
            </w:r>
          </w:p>
        </w:tc>
        <w:tc>
          <w:tcPr>
            <w:tcW w:w="1305" w:type="dxa"/>
          </w:tcPr>
          <w:p w:rsidR="00000000" w:rsidRDefault="00000000">
            <w:pPr>
              <w:autoSpaceDE w:val="0"/>
              <w:autoSpaceDN w:val="0"/>
              <w:adjustRightInd w:val="0"/>
              <w:spacing w:before="20" w:after="20"/>
              <w:ind w:right="297"/>
              <w:jc w:val="right"/>
              <w:rPr>
                <w:color w:val="000000"/>
                <w:sz w:val="20"/>
                <w:szCs w:val="22"/>
                <w:lang w:val="fr-FR"/>
              </w:rPr>
            </w:pPr>
            <w:r>
              <w:rPr>
                <w:color w:val="000000"/>
                <w:sz w:val="20"/>
                <w:szCs w:val="22"/>
                <w:lang w:val="fr-FR"/>
              </w:rPr>
              <w:t xml:space="preserve">209 </w:t>
            </w:r>
          </w:p>
        </w:tc>
        <w:tc>
          <w:tcPr>
            <w:tcW w:w="1253" w:type="dxa"/>
          </w:tcPr>
          <w:p w:rsidR="00000000" w:rsidRDefault="00000000">
            <w:pPr>
              <w:tabs>
                <w:tab w:val="decimal" w:pos="643"/>
              </w:tabs>
              <w:autoSpaceDE w:val="0"/>
              <w:autoSpaceDN w:val="0"/>
              <w:adjustRightInd w:val="0"/>
              <w:spacing w:before="20" w:after="20"/>
              <w:rPr>
                <w:color w:val="000000"/>
                <w:sz w:val="20"/>
                <w:szCs w:val="22"/>
                <w:lang w:val="fr-FR"/>
              </w:rPr>
            </w:pPr>
            <w:r>
              <w:rPr>
                <w:color w:val="000000"/>
                <w:sz w:val="20"/>
                <w:szCs w:val="22"/>
                <w:lang w:val="fr-FR"/>
              </w:rPr>
              <w:t xml:space="preserve">13,5 </w:t>
            </w:r>
          </w:p>
        </w:tc>
        <w:tc>
          <w:tcPr>
            <w:tcW w:w="92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1,8 </w:t>
            </w:r>
          </w:p>
        </w:tc>
        <w:tc>
          <w:tcPr>
            <w:tcW w:w="831" w:type="dxa"/>
          </w:tcPr>
          <w:p w:rsidR="00000000" w:rsidRDefault="00000000">
            <w:pPr>
              <w:autoSpaceDE w:val="0"/>
              <w:autoSpaceDN w:val="0"/>
              <w:adjustRightInd w:val="0"/>
              <w:spacing w:before="20" w:after="20"/>
              <w:ind w:right="113"/>
              <w:jc w:val="right"/>
              <w:rPr>
                <w:color w:val="000000"/>
                <w:sz w:val="20"/>
                <w:szCs w:val="22"/>
                <w:lang w:val="fr-FR"/>
              </w:rPr>
            </w:pPr>
            <w:r>
              <w:rPr>
                <w:color w:val="000000"/>
                <w:sz w:val="20"/>
                <w:szCs w:val="22"/>
                <w:lang w:val="fr-FR"/>
              </w:rPr>
              <w:t xml:space="preserve">86 </w:t>
            </w:r>
          </w:p>
        </w:tc>
        <w:tc>
          <w:tcPr>
            <w:tcW w:w="1268" w:type="dxa"/>
          </w:tcPr>
          <w:p w:rsidR="00000000" w:rsidRDefault="00000000">
            <w:pPr>
              <w:tabs>
                <w:tab w:val="decimal" w:pos="519"/>
              </w:tabs>
              <w:autoSpaceDE w:val="0"/>
              <w:autoSpaceDN w:val="0"/>
              <w:adjustRightInd w:val="0"/>
              <w:spacing w:before="20" w:after="20"/>
              <w:rPr>
                <w:color w:val="000000"/>
                <w:sz w:val="20"/>
                <w:szCs w:val="22"/>
                <w:lang w:val="fr-FR"/>
              </w:rPr>
            </w:pPr>
            <w:r>
              <w:rPr>
                <w:color w:val="000000"/>
                <w:sz w:val="20"/>
                <w:szCs w:val="22"/>
                <w:lang w:val="fr-FR"/>
              </w:rPr>
              <w:t xml:space="preserve">41,1  </w:t>
            </w:r>
          </w:p>
        </w:tc>
      </w:tr>
      <w:tr w:rsidR="00000000">
        <w:tblPrEx>
          <w:tblCellMar>
            <w:top w:w="0" w:type="dxa"/>
            <w:bottom w:w="0" w:type="dxa"/>
          </w:tblCellMar>
        </w:tblPrEx>
        <w:trPr>
          <w:jc w:val="center"/>
        </w:trPr>
        <w:tc>
          <w:tcPr>
            <w:tcW w:w="2928"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Sous-employé  </w:t>
            </w:r>
          </w:p>
        </w:tc>
        <w:tc>
          <w:tcPr>
            <w:tcW w:w="1305" w:type="dxa"/>
          </w:tcPr>
          <w:p w:rsidR="00000000" w:rsidRDefault="00000000">
            <w:pPr>
              <w:autoSpaceDE w:val="0"/>
              <w:autoSpaceDN w:val="0"/>
              <w:adjustRightInd w:val="0"/>
              <w:spacing w:before="20" w:after="20"/>
              <w:ind w:right="297"/>
              <w:jc w:val="right"/>
              <w:rPr>
                <w:color w:val="000000"/>
                <w:sz w:val="20"/>
                <w:szCs w:val="22"/>
                <w:lang w:val="fr-FR"/>
              </w:rPr>
            </w:pPr>
            <w:r>
              <w:rPr>
                <w:color w:val="000000"/>
                <w:sz w:val="20"/>
                <w:szCs w:val="22"/>
                <w:lang w:val="fr-FR"/>
              </w:rPr>
              <w:t xml:space="preserve">100 </w:t>
            </w:r>
          </w:p>
        </w:tc>
        <w:tc>
          <w:tcPr>
            <w:tcW w:w="1253" w:type="dxa"/>
          </w:tcPr>
          <w:p w:rsidR="00000000" w:rsidRDefault="00000000">
            <w:pPr>
              <w:tabs>
                <w:tab w:val="decimal" w:pos="643"/>
              </w:tabs>
              <w:autoSpaceDE w:val="0"/>
              <w:autoSpaceDN w:val="0"/>
              <w:adjustRightInd w:val="0"/>
              <w:spacing w:before="20" w:after="20"/>
              <w:rPr>
                <w:color w:val="000000"/>
                <w:sz w:val="20"/>
                <w:szCs w:val="22"/>
                <w:lang w:val="fr-FR"/>
              </w:rPr>
            </w:pPr>
            <w:r>
              <w:rPr>
                <w:color w:val="000000"/>
                <w:sz w:val="20"/>
                <w:szCs w:val="22"/>
                <w:lang w:val="fr-FR"/>
              </w:rPr>
              <w:t xml:space="preserve">13,7 </w:t>
            </w:r>
          </w:p>
        </w:tc>
        <w:tc>
          <w:tcPr>
            <w:tcW w:w="92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1,7 </w:t>
            </w:r>
          </w:p>
        </w:tc>
        <w:tc>
          <w:tcPr>
            <w:tcW w:w="831" w:type="dxa"/>
          </w:tcPr>
          <w:p w:rsidR="00000000" w:rsidRDefault="00000000">
            <w:pPr>
              <w:autoSpaceDE w:val="0"/>
              <w:autoSpaceDN w:val="0"/>
              <w:adjustRightInd w:val="0"/>
              <w:spacing w:before="20" w:after="20"/>
              <w:ind w:right="113"/>
              <w:jc w:val="right"/>
              <w:rPr>
                <w:color w:val="000000"/>
                <w:sz w:val="20"/>
                <w:szCs w:val="22"/>
                <w:lang w:val="fr-FR"/>
              </w:rPr>
            </w:pPr>
            <w:r>
              <w:rPr>
                <w:color w:val="000000"/>
                <w:sz w:val="20"/>
                <w:szCs w:val="22"/>
                <w:lang w:val="fr-FR"/>
              </w:rPr>
              <w:t xml:space="preserve">45 </w:t>
            </w:r>
          </w:p>
        </w:tc>
        <w:tc>
          <w:tcPr>
            <w:tcW w:w="1268" w:type="dxa"/>
          </w:tcPr>
          <w:p w:rsidR="00000000" w:rsidRDefault="00000000">
            <w:pPr>
              <w:tabs>
                <w:tab w:val="decimal" w:pos="519"/>
              </w:tabs>
              <w:autoSpaceDE w:val="0"/>
              <w:autoSpaceDN w:val="0"/>
              <w:adjustRightInd w:val="0"/>
              <w:spacing w:before="20" w:after="20"/>
              <w:rPr>
                <w:color w:val="000000"/>
                <w:sz w:val="20"/>
                <w:szCs w:val="22"/>
                <w:lang w:val="fr-FR"/>
              </w:rPr>
            </w:pPr>
            <w:r>
              <w:rPr>
                <w:color w:val="000000"/>
                <w:sz w:val="20"/>
                <w:szCs w:val="22"/>
                <w:lang w:val="fr-FR"/>
              </w:rPr>
              <w:t xml:space="preserve">45,0  </w:t>
            </w:r>
          </w:p>
        </w:tc>
      </w:tr>
      <w:tr w:rsidR="00000000">
        <w:tblPrEx>
          <w:tblCellMar>
            <w:top w:w="0" w:type="dxa"/>
            <w:bottom w:w="0" w:type="dxa"/>
          </w:tblCellMar>
        </w:tblPrEx>
        <w:trPr>
          <w:jc w:val="center"/>
        </w:trPr>
        <w:tc>
          <w:tcPr>
            <w:tcW w:w="2928"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Employé, entreprise privée  </w:t>
            </w:r>
          </w:p>
        </w:tc>
        <w:tc>
          <w:tcPr>
            <w:tcW w:w="1305" w:type="dxa"/>
          </w:tcPr>
          <w:p w:rsidR="00000000" w:rsidRDefault="00000000">
            <w:pPr>
              <w:autoSpaceDE w:val="0"/>
              <w:autoSpaceDN w:val="0"/>
              <w:adjustRightInd w:val="0"/>
              <w:spacing w:before="20" w:after="20"/>
              <w:ind w:right="297"/>
              <w:jc w:val="right"/>
              <w:rPr>
                <w:color w:val="000000"/>
                <w:sz w:val="20"/>
                <w:szCs w:val="22"/>
                <w:lang w:val="fr-FR"/>
              </w:rPr>
            </w:pPr>
            <w:r>
              <w:rPr>
                <w:color w:val="000000"/>
                <w:sz w:val="20"/>
                <w:szCs w:val="22"/>
                <w:lang w:val="fr-FR"/>
              </w:rPr>
              <w:t xml:space="preserve">200 </w:t>
            </w:r>
          </w:p>
        </w:tc>
        <w:tc>
          <w:tcPr>
            <w:tcW w:w="1253" w:type="dxa"/>
          </w:tcPr>
          <w:p w:rsidR="00000000" w:rsidRDefault="00000000">
            <w:pPr>
              <w:tabs>
                <w:tab w:val="decimal" w:pos="643"/>
              </w:tabs>
              <w:autoSpaceDE w:val="0"/>
              <w:autoSpaceDN w:val="0"/>
              <w:adjustRightInd w:val="0"/>
              <w:spacing w:before="20" w:after="20"/>
              <w:rPr>
                <w:color w:val="000000"/>
                <w:sz w:val="20"/>
                <w:szCs w:val="22"/>
                <w:lang w:val="fr-FR"/>
              </w:rPr>
            </w:pPr>
            <w:r>
              <w:rPr>
                <w:color w:val="000000"/>
                <w:sz w:val="20"/>
                <w:szCs w:val="22"/>
                <w:lang w:val="fr-FR"/>
              </w:rPr>
              <w:t xml:space="preserve">13,8 </w:t>
            </w:r>
          </w:p>
        </w:tc>
        <w:tc>
          <w:tcPr>
            <w:tcW w:w="92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1,9 </w:t>
            </w:r>
          </w:p>
        </w:tc>
        <w:tc>
          <w:tcPr>
            <w:tcW w:w="831" w:type="dxa"/>
          </w:tcPr>
          <w:p w:rsidR="00000000" w:rsidRDefault="00000000">
            <w:pPr>
              <w:autoSpaceDE w:val="0"/>
              <w:autoSpaceDN w:val="0"/>
              <w:adjustRightInd w:val="0"/>
              <w:spacing w:before="20" w:after="20"/>
              <w:ind w:right="113"/>
              <w:jc w:val="right"/>
              <w:rPr>
                <w:color w:val="000000"/>
                <w:sz w:val="20"/>
                <w:szCs w:val="22"/>
                <w:lang w:val="fr-FR"/>
              </w:rPr>
            </w:pPr>
            <w:r>
              <w:rPr>
                <w:color w:val="000000"/>
                <w:sz w:val="20"/>
                <w:szCs w:val="22"/>
                <w:lang w:val="fr-FR"/>
              </w:rPr>
              <w:t xml:space="preserve">67 </w:t>
            </w:r>
          </w:p>
        </w:tc>
        <w:tc>
          <w:tcPr>
            <w:tcW w:w="1268" w:type="dxa"/>
          </w:tcPr>
          <w:p w:rsidR="00000000" w:rsidRDefault="00000000">
            <w:pPr>
              <w:tabs>
                <w:tab w:val="decimal" w:pos="519"/>
              </w:tabs>
              <w:autoSpaceDE w:val="0"/>
              <w:autoSpaceDN w:val="0"/>
              <w:adjustRightInd w:val="0"/>
              <w:spacing w:before="20" w:after="20"/>
              <w:rPr>
                <w:color w:val="000000"/>
                <w:sz w:val="20"/>
                <w:szCs w:val="22"/>
                <w:lang w:val="fr-FR"/>
              </w:rPr>
            </w:pPr>
            <w:r>
              <w:rPr>
                <w:color w:val="000000"/>
                <w:sz w:val="20"/>
                <w:szCs w:val="22"/>
                <w:lang w:val="fr-FR"/>
              </w:rPr>
              <w:t xml:space="preserve">33,5  </w:t>
            </w:r>
          </w:p>
        </w:tc>
      </w:tr>
      <w:tr w:rsidR="00000000">
        <w:tblPrEx>
          <w:tblCellMar>
            <w:top w:w="0" w:type="dxa"/>
            <w:bottom w:w="0" w:type="dxa"/>
          </w:tblCellMar>
        </w:tblPrEx>
        <w:trPr>
          <w:jc w:val="center"/>
        </w:trPr>
        <w:tc>
          <w:tcPr>
            <w:tcW w:w="2928"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Cadre, entreprise privée  </w:t>
            </w:r>
          </w:p>
        </w:tc>
        <w:tc>
          <w:tcPr>
            <w:tcW w:w="1305" w:type="dxa"/>
          </w:tcPr>
          <w:p w:rsidR="00000000" w:rsidRDefault="00000000">
            <w:pPr>
              <w:autoSpaceDE w:val="0"/>
              <w:autoSpaceDN w:val="0"/>
              <w:adjustRightInd w:val="0"/>
              <w:spacing w:before="20" w:after="20"/>
              <w:ind w:right="297"/>
              <w:jc w:val="right"/>
              <w:rPr>
                <w:color w:val="000000"/>
                <w:sz w:val="20"/>
                <w:szCs w:val="22"/>
                <w:lang w:val="fr-FR"/>
              </w:rPr>
            </w:pPr>
            <w:r>
              <w:rPr>
                <w:color w:val="000000"/>
                <w:sz w:val="20"/>
                <w:szCs w:val="22"/>
                <w:lang w:val="fr-FR"/>
              </w:rPr>
              <w:t xml:space="preserve">40 </w:t>
            </w:r>
          </w:p>
        </w:tc>
        <w:tc>
          <w:tcPr>
            <w:tcW w:w="1253" w:type="dxa"/>
          </w:tcPr>
          <w:p w:rsidR="00000000" w:rsidRDefault="00000000">
            <w:pPr>
              <w:tabs>
                <w:tab w:val="decimal" w:pos="643"/>
              </w:tabs>
              <w:autoSpaceDE w:val="0"/>
              <w:autoSpaceDN w:val="0"/>
              <w:adjustRightInd w:val="0"/>
              <w:spacing w:before="20" w:after="20"/>
              <w:rPr>
                <w:color w:val="000000"/>
                <w:sz w:val="20"/>
                <w:szCs w:val="22"/>
                <w:lang w:val="fr-FR"/>
              </w:rPr>
            </w:pPr>
            <w:r>
              <w:rPr>
                <w:color w:val="000000"/>
                <w:sz w:val="20"/>
                <w:szCs w:val="22"/>
                <w:lang w:val="fr-FR"/>
              </w:rPr>
              <w:t xml:space="preserve">13,6 </w:t>
            </w:r>
          </w:p>
        </w:tc>
        <w:tc>
          <w:tcPr>
            <w:tcW w:w="92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2,0 </w:t>
            </w:r>
          </w:p>
        </w:tc>
        <w:tc>
          <w:tcPr>
            <w:tcW w:w="831" w:type="dxa"/>
          </w:tcPr>
          <w:p w:rsidR="00000000" w:rsidRDefault="00000000">
            <w:pPr>
              <w:autoSpaceDE w:val="0"/>
              <w:autoSpaceDN w:val="0"/>
              <w:adjustRightInd w:val="0"/>
              <w:spacing w:before="20" w:after="20"/>
              <w:ind w:right="113"/>
              <w:jc w:val="right"/>
              <w:rPr>
                <w:color w:val="000000"/>
                <w:sz w:val="20"/>
                <w:szCs w:val="22"/>
                <w:lang w:val="fr-FR"/>
              </w:rPr>
            </w:pPr>
            <w:r>
              <w:rPr>
                <w:color w:val="000000"/>
                <w:sz w:val="20"/>
                <w:szCs w:val="22"/>
                <w:lang w:val="fr-FR"/>
              </w:rPr>
              <w:t xml:space="preserve">22 </w:t>
            </w:r>
          </w:p>
        </w:tc>
        <w:tc>
          <w:tcPr>
            <w:tcW w:w="1268" w:type="dxa"/>
          </w:tcPr>
          <w:p w:rsidR="00000000" w:rsidRDefault="00000000">
            <w:pPr>
              <w:tabs>
                <w:tab w:val="decimal" w:pos="519"/>
              </w:tabs>
              <w:autoSpaceDE w:val="0"/>
              <w:autoSpaceDN w:val="0"/>
              <w:adjustRightInd w:val="0"/>
              <w:spacing w:before="20" w:after="20"/>
              <w:rPr>
                <w:color w:val="000000"/>
                <w:sz w:val="20"/>
                <w:szCs w:val="22"/>
                <w:lang w:val="fr-FR"/>
              </w:rPr>
            </w:pPr>
            <w:r>
              <w:rPr>
                <w:color w:val="000000"/>
                <w:sz w:val="20"/>
                <w:szCs w:val="22"/>
                <w:lang w:val="fr-FR"/>
              </w:rPr>
              <w:t xml:space="preserve">55,0  </w:t>
            </w:r>
          </w:p>
        </w:tc>
      </w:tr>
      <w:tr w:rsidR="00000000">
        <w:tblPrEx>
          <w:tblCellMar>
            <w:top w:w="0" w:type="dxa"/>
            <w:bottom w:w="0" w:type="dxa"/>
          </w:tblCellMar>
        </w:tblPrEx>
        <w:trPr>
          <w:jc w:val="center"/>
        </w:trPr>
        <w:tc>
          <w:tcPr>
            <w:tcW w:w="2928"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Petit commerçant </w:t>
            </w:r>
          </w:p>
        </w:tc>
        <w:tc>
          <w:tcPr>
            <w:tcW w:w="1305" w:type="dxa"/>
          </w:tcPr>
          <w:p w:rsidR="00000000" w:rsidRDefault="00000000">
            <w:pPr>
              <w:autoSpaceDE w:val="0"/>
              <w:autoSpaceDN w:val="0"/>
              <w:adjustRightInd w:val="0"/>
              <w:spacing w:before="20" w:after="20"/>
              <w:ind w:right="297"/>
              <w:jc w:val="right"/>
              <w:rPr>
                <w:color w:val="000000"/>
                <w:sz w:val="20"/>
                <w:szCs w:val="22"/>
                <w:lang w:val="fr-FR"/>
              </w:rPr>
            </w:pPr>
            <w:r>
              <w:rPr>
                <w:color w:val="000000"/>
                <w:sz w:val="20"/>
                <w:szCs w:val="22"/>
                <w:lang w:val="fr-FR"/>
              </w:rPr>
              <w:t xml:space="preserve">303 </w:t>
            </w:r>
          </w:p>
        </w:tc>
        <w:tc>
          <w:tcPr>
            <w:tcW w:w="1253" w:type="dxa"/>
          </w:tcPr>
          <w:p w:rsidR="00000000" w:rsidRDefault="00000000">
            <w:pPr>
              <w:tabs>
                <w:tab w:val="decimal" w:pos="643"/>
              </w:tabs>
              <w:autoSpaceDE w:val="0"/>
              <w:autoSpaceDN w:val="0"/>
              <w:adjustRightInd w:val="0"/>
              <w:spacing w:before="20" w:after="20"/>
              <w:rPr>
                <w:color w:val="000000"/>
                <w:sz w:val="20"/>
                <w:szCs w:val="22"/>
                <w:lang w:val="fr-FR"/>
              </w:rPr>
            </w:pPr>
            <w:r>
              <w:rPr>
                <w:color w:val="000000"/>
                <w:sz w:val="20"/>
                <w:szCs w:val="22"/>
                <w:lang w:val="fr-FR"/>
              </w:rPr>
              <w:t xml:space="preserve">13,1 </w:t>
            </w:r>
          </w:p>
        </w:tc>
        <w:tc>
          <w:tcPr>
            <w:tcW w:w="92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2,0 </w:t>
            </w:r>
          </w:p>
        </w:tc>
        <w:tc>
          <w:tcPr>
            <w:tcW w:w="831" w:type="dxa"/>
          </w:tcPr>
          <w:p w:rsidR="00000000" w:rsidRDefault="00000000">
            <w:pPr>
              <w:autoSpaceDE w:val="0"/>
              <w:autoSpaceDN w:val="0"/>
              <w:adjustRightInd w:val="0"/>
              <w:spacing w:before="20" w:after="20"/>
              <w:ind w:right="113"/>
              <w:jc w:val="right"/>
              <w:rPr>
                <w:color w:val="000000"/>
                <w:sz w:val="20"/>
                <w:szCs w:val="22"/>
                <w:lang w:val="fr-FR"/>
              </w:rPr>
            </w:pPr>
            <w:r>
              <w:rPr>
                <w:color w:val="000000"/>
                <w:sz w:val="20"/>
                <w:szCs w:val="22"/>
                <w:lang w:val="fr-FR"/>
              </w:rPr>
              <w:t xml:space="preserve">143 </w:t>
            </w:r>
          </w:p>
        </w:tc>
        <w:tc>
          <w:tcPr>
            <w:tcW w:w="1268" w:type="dxa"/>
          </w:tcPr>
          <w:p w:rsidR="00000000" w:rsidRDefault="00000000">
            <w:pPr>
              <w:tabs>
                <w:tab w:val="decimal" w:pos="519"/>
              </w:tabs>
              <w:autoSpaceDE w:val="0"/>
              <w:autoSpaceDN w:val="0"/>
              <w:adjustRightInd w:val="0"/>
              <w:spacing w:before="20" w:after="20"/>
              <w:rPr>
                <w:color w:val="000000"/>
                <w:sz w:val="20"/>
                <w:szCs w:val="22"/>
                <w:lang w:val="fr-FR"/>
              </w:rPr>
            </w:pPr>
            <w:r>
              <w:rPr>
                <w:color w:val="000000"/>
                <w:sz w:val="20"/>
                <w:szCs w:val="22"/>
                <w:lang w:val="fr-FR"/>
              </w:rPr>
              <w:t xml:space="preserve">47,2  </w:t>
            </w:r>
          </w:p>
        </w:tc>
      </w:tr>
      <w:tr w:rsidR="00000000">
        <w:tblPrEx>
          <w:tblCellMar>
            <w:top w:w="0" w:type="dxa"/>
            <w:bottom w:w="0" w:type="dxa"/>
          </w:tblCellMar>
        </w:tblPrEx>
        <w:trPr>
          <w:jc w:val="center"/>
        </w:trPr>
        <w:tc>
          <w:tcPr>
            <w:tcW w:w="2928"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Profession indépendante </w:t>
            </w:r>
          </w:p>
        </w:tc>
        <w:tc>
          <w:tcPr>
            <w:tcW w:w="1305" w:type="dxa"/>
          </w:tcPr>
          <w:p w:rsidR="00000000" w:rsidRDefault="00000000">
            <w:pPr>
              <w:autoSpaceDE w:val="0"/>
              <w:autoSpaceDN w:val="0"/>
              <w:adjustRightInd w:val="0"/>
              <w:spacing w:before="20" w:after="20"/>
              <w:ind w:right="297"/>
              <w:jc w:val="right"/>
              <w:rPr>
                <w:color w:val="000000"/>
                <w:sz w:val="20"/>
                <w:szCs w:val="22"/>
                <w:lang w:val="fr-FR"/>
              </w:rPr>
            </w:pPr>
            <w:r>
              <w:rPr>
                <w:color w:val="000000"/>
                <w:sz w:val="20"/>
                <w:szCs w:val="22"/>
                <w:lang w:val="fr-FR"/>
              </w:rPr>
              <w:t xml:space="preserve">181 </w:t>
            </w:r>
          </w:p>
        </w:tc>
        <w:tc>
          <w:tcPr>
            <w:tcW w:w="1253" w:type="dxa"/>
          </w:tcPr>
          <w:p w:rsidR="00000000" w:rsidRDefault="00000000">
            <w:pPr>
              <w:tabs>
                <w:tab w:val="decimal" w:pos="643"/>
              </w:tabs>
              <w:autoSpaceDE w:val="0"/>
              <w:autoSpaceDN w:val="0"/>
              <w:adjustRightInd w:val="0"/>
              <w:spacing w:before="20" w:after="20"/>
              <w:rPr>
                <w:color w:val="000000"/>
                <w:sz w:val="20"/>
                <w:szCs w:val="22"/>
                <w:lang w:val="fr-FR"/>
              </w:rPr>
            </w:pPr>
            <w:r>
              <w:rPr>
                <w:color w:val="000000"/>
                <w:sz w:val="20"/>
                <w:szCs w:val="22"/>
                <w:lang w:val="fr-FR"/>
              </w:rPr>
              <w:t xml:space="preserve">13,9 </w:t>
            </w:r>
          </w:p>
        </w:tc>
        <w:tc>
          <w:tcPr>
            <w:tcW w:w="92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1,8 </w:t>
            </w:r>
          </w:p>
        </w:tc>
        <w:tc>
          <w:tcPr>
            <w:tcW w:w="831" w:type="dxa"/>
          </w:tcPr>
          <w:p w:rsidR="00000000" w:rsidRDefault="00000000">
            <w:pPr>
              <w:autoSpaceDE w:val="0"/>
              <w:autoSpaceDN w:val="0"/>
              <w:adjustRightInd w:val="0"/>
              <w:spacing w:before="20" w:after="20"/>
              <w:ind w:right="113"/>
              <w:jc w:val="right"/>
              <w:rPr>
                <w:color w:val="000000"/>
                <w:sz w:val="20"/>
                <w:szCs w:val="22"/>
                <w:lang w:val="fr-FR"/>
              </w:rPr>
            </w:pPr>
            <w:r>
              <w:rPr>
                <w:color w:val="000000"/>
                <w:sz w:val="20"/>
                <w:szCs w:val="22"/>
                <w:lang w:val="fr-FR"/>
              </w:rPr>
              <w:t xml:space="preserve">59 </w:t>
            </w:r>
          </w:p>
        </w:tc>
        <w:tc>
          <w:tcPr>
            <w:tcW w:w="1268" w:type="dxa"/>
          </w:tcPr>
          <w:p w:rsidR="00000000" w:rsidRDefault="00000000">
            <w:pPr>
              <w:tabs>
                <w:tab w:val="decimal" w:pos="519"/>
              </w:tabs>
              <w:autoSpaceDE w:val="0"/>
              <w:autoSpaceDN w:val="0"/>
              <w:adjustRightInd w:val="0"/>
              <w:spacing w:before="20" w:after="20"/>
              <w:rPr>
                <w:color w:val="000000"/>
                <w:sz w:val="20"/>
                <w:szCs w:val="22"/>
                <w:lang w:val="fr-FR"/>
              </w:rPr>
            </w:pPr>
            <w:r>
              <w:rPr>
                <w:color w:val="000000"/>
                <w:sz w:val="20"/>
                <w:szCs w:val="22"/>
                <w:lang w:val="fr-FR"/>
              </w:rPr>
              <w:t xml:space="preserve">32,6  </w:t>
            </w:r>
          </w:p>
        </w:tc>
      </w:tr>
      <w:tr w:rsidR="00000000">
        <w:tblPrEx>
          <w:tblCellMar>
            <w:top w:w="0" w:type="dxa"/>
            <w:bottom w:w="0" w:type="dxa"/>
          </w:tblCellMar>
        </w:tblPrEx>
        <w:trPr>
          <w:jc w:val="center"/>
        </w:trPr>
        <w:tc>
          <w:tcPr>
            <w:tcW w:w="2928"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Petit producteur rural </w:t>
            </w:r>
          </w:p>
        </w:tc>
        <w:tc>
          <w:tcPr>
            <w:tcW w:w="1305" w:type="dxa"/>
          </w:tcPr>
          <w:p w:rsidR="00000000" w:rsidRDefault="00000000">
            <w:pPr>
              <w:autoSpaceDE w:val="0"/>
              <w:autoSpaceDN w:val="0"/>
              <w:adjustRightInd w:val="0"/>
              <w:spacing w:before="20" w:after="20"/>
              <w:ind w:right="297"/>
              <w:jc w:val="right"/>
              <w:rPr>
                <w:color w:val="000000"/>
                <w:sz w:val="20"/>
                <w:szCs w:val="22"/>
                <w:lang w:val="fr-FR"/>
              </w:rPr>
            </w:pPr>
            <w:r>
              <w:rPr>
                <w:color w:val="000000"/>
                <w:sz w:val="20"/>
                <w:szCs w:val="22"/>
                <w:lang w:val="fr-FR"/>
              </w:rPr>
              <w:t xml:space="preserve">183 </w:t>
            </w:r>
          </w:p>
        </w:tc>
        <w:tc>
          <w:tcPr>
            <w:tcW w:w="1253" w:type="dxa"/>
          </w:tcPr>
          <w:p w:rsidR="00000000" w:rsidRDefault="00000000">
            <w:pPr>
              <w:tabs>
                <w:tab w:val="decimal" w:pos="643"/>
              </w:tabs>
              <w:autoSpaceDE w:val="0"/>
              <w:autoSpaceDN w:val="0"/>
              <w:adjustRightInd w:val="0"/>
              <w:spacing w:before="20" w:after="20"/>
              <w:rPr>
                <w:color w:val="000000"/>
                <w:sz w:val="20"/>
                <w:szCs w:val="22"/>
                <w:lang w:val="fr-FR"/>
              </w:rPr>
            </w:pPr>
            <w:r>
              <w:rPr>
                <w:color w:val="000000"/>
                <w:sz w:val="20"/>
                <w:szCs w:val="22"/>
                <w:lang w:val="fr-FR"/>
              </w:rPr>
              <w:t xml:space="preserve">13,7 </w:t>
            </w:r>
          </w:p>
        </w:tc>
        <w:tc>
          <w:tcPr>
            <w:tcW w:w="92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1,9 </w:t>
            </w:r>
          </w:p>
        </w:tc>
        <w:tc>
          <w:tcPr>
            <w:tcW w:w="831" w:type="dxa"/>
          </w:tcPr>
          <w:p w:rsidR="00000000" w:rsidRDefault="00000000">
            <w:pPr>
              <w:autoSpaceDE w:val="0"/>
              <w:autoSpaceDN w:val="0"/>
              <w:adjustRightInd w:val="0"/>
              <w:spacing w:before="20" w:after="20"/>
              <w:ind w:right="113"/>
              <w:jc w:val="right"/>
              <w:rPr>
                <w:color w:val="000000"/>
                <w:sz w:val="20"/>
                <w:szCs w:val="22"/>
                <w:lang w:val="fr-FR"/>
              </w:rPr>
            </w:pPr>
            <w:r>
              <w:rPr>
                <w:color w:val="000000"/>
                <w:sz w:val="20"/>
                <w:szCs w:val="22"/>
                <w:lang w:val="fr-FR"/>
              </w:rPr>
              <w:t xml:space="preserve">66 </w:t>
            </w:r>
          </w:p>
        </w:tc>
        <w:tc>
          <w:tcPr>
            <w:tcW w:w="1268" w:type="dxa"/>
          </w:tcPr>
          <w:p w:rsidR="00000000" w:rsidRDefault="00000000">
            <w:pPr>
              <w:tabs>
                <w:tab w:val="decimal" w:pos="519"/>
              </w:tabs>
              <w:autoSpaceDE w:val="0"/>
              <w:autoSpaceDN w:val="0"/>
              <w:adjustRightInd w:val="0"/>
              <w:spacing w:before="20" w:after="20"/>
              <w:rPr>
                <w:color w:val="000000"/>
                <w:sz w:val="20"/>
                <w:szCs w:val="22"/>
                <w:lang w:val="fr-FR"/>
              </w:rPr>
            </w:pPr>
            <w:r>
              <w:rPr>
                <w:color w:val="000000"/>
                <w:sz w:val="20"/>
                <w:szCs w:val="22"/>
                <w:lang w:val="fr-FR"/>
              </w:rPr>
              <w:t xml:space="preserve">36,1  </w:t>
            </w:r>
          </w:p>
        </w:tc>
      </w:tr>
      <w:tr w:rsidR="00000000">
        <w:tblPrEx>
          <w:tblCellMar>
            <w:top w:w="0" w:type="dxa"/>
            <w:bottom w:w="0" w:type="dxa"/>
          </w:tblCellMar>
        </w:tblPrEx>
        <w:trPr>
          <w:jc w:val="center"/>
        </w:trPr>
        <w:tc>
          <w:tcPr>
            <w:tcW w:w="2928"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Paysan pauvre </w:t>
            </w:r>
          </w:p>
        </w:tc>
        <w:tc>
          <w:tcPr>
            <w:tcW w:w="1305" w:type="dxa"/>
          </w:tcPr>
          <w:p w:rsidR="00000000" w:rsidRDefault="00000000">
            <w:pPr>
              <w:autoSpaceDE w:val="0"/>
              <w:autoSpaceDN w:val="0"/>
              <w:adjustRightInd w:val="0"/>
              <w:spacing w:before="20" w:after="20"/>
              <w:ind w:right="297"/>
              <w:jc w:val="right"/>
              <w:rPr>
                <w:color w:val="000000"/>
                <w:sz w:val="20"/>
                <w:szCs w:val="22"/>
                <w:lang w:val="fr-FR"/>
              </w:rPr>
            </w:pPr>
            <w:r>
              <w:rPr>
                <w:color w:val="000000"/>
                <w:sz w:val="20"/>
                <w:szCs w:val="22"/>
                <w:lang w:val="fr-FR"/>
              </w:rPr>
              <w:t xml:space="preserve">293 </w:t>
            </w:r>
          </w:p>
        </w:tc>
        <w:tc>
          <w:tcPr>
            <w:tcW w:w="1253" w:type="dxa"/>
          </w:tcPr>
          <w:p w:rsidR="00000000" w:rsidRDefault="00000000">
            <w:pPr>
              <w:tabs>
                <w:tab w:val="decimal" w:pos="643"/>
              </w:tabs>
              <w:autoSpaceDE w:val="0"/>
              <w:autoSpaceDN w:val="0"/>
              <w:adjustRightInd w:val="0"/>
              <w:spacing w:before="20" w:after="20"/>
              <w:rPr>
                <w:color w:val="000000"/>
                <w:sz w:val="20"/>
                <w:szCs w:val="22"/>
                <w:lang w:val="fr-FR"/>
              </w:rPr>
            </w:pPr>
            <w:r>
              <w:rPr>
                <w:color w:val="000000"/>
                <w:sz w:val="20"/>
                <w:szCs w:val="22"/>
                <w:lang w:val="fr-FR"/>
              </w:rPr>
              <w:t xml:space="preserve">13,2 </w:t>
            </w:r>
          </w:p>
        </w:tc>
        <w:tc>
          <w:tcPr>
            <w:tcW w:w="92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1,7 </w:t>
            </w:r>
          </w:p>
        </w:tc>
        <w:tc>
          <w:tcPr>
            <w:tcW w:w="831" w:type="dxa"/>
          </w:tcPr>
          <w:p w:rsidR="00000000" w:rsidRDefault="00000000">
            <w:pPr>
              <w:autoSpaceDE w:val="0"/>
              <w:autoSpaceDN w:val="0"/>
              <w:adjustRightInd w:val="0"/>
              <w:spacing w:before="20" w:after="20"/>
              <w:ind w:right="113"/>
              <w:jc w:val="right"/>
              <w:rPr>
                <w:color w:val="000000"/>
                <w:sz w:val="20"/>
                <w:szCs w:val="22"/>
                <w:lang w:val="fr-FR"/>
              </w:rPr>
            </w:pPr>
            <w:r>
              <w:rPr>
                <w:color w:val="000000"/>
                <w:sz w:val="20"/>
                <w:szCs w:val="22"/>
                <w:lang w:val="fr-FR"/>
              </w:rPr>
              <w:t xml:space="preserve">160 </w:t>
            </w:r>
          </w:p>
        </w:tc>
        <w:tc>
          <w:tcPr>
            <w:tcW w:w="1268" w:type="dxa"/>
          </w:tcPr>
          <w:p w:rsidR="00000000" w:rsidRDefault="00000000">
            <w:pPr>
              <w:tabs>
                <w:tab w:val="decimal" w:pos="519"/>
              </w:tabs>
              <w:autoSpaceDE w:val="0"/>
              <w:autoSpaceDN w:val="0"/>
              <w:adjustRightInd w:val="0"/>
              <w:spacing w:before="20" w:after="20"/>
              <w:rPr>
                <w:color w:val="000000"/>
                <w:sz w:val="20"/>
                <w:szCs w:val="22"/>
                <w:lang w:val="fr-FR"/>
              </w:rPr>
            </w:pPr>
            <w:r>
              <w:rPr>
                <w:color w:val="000000"/>
                <w:sz w:val="20"/>
                <w:szCs w:val="22"/>
                <w:lang w:val="fr-FR"/>
              </w:rPr>
              <w:t xml:space="preserve">54,6  </w:t>
            </w:r>
          </w:p>
        </w:tc>
      </w:tr>
      <w:tr w:rsidR="00000000">
        <w:tblPrEx>
          <w:tblCellMar>
            <w:top w:w="0" w:type="dxa"/>
            <w:bottom w:w="0" w:type="dxa"/>
          </w:tblCellMar>
        </w:tblPrEx>
        <w:trPr>
          <w:jc w:val="center"/>
        </w:trPr>
        <w:tc>
          <w:tcPr>
            <w:tcW w:w="2928"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Autres </w:t>
            </w:r>
          </w:p>
        </w:tc>
        <w:tc>
          <w:tcPr>
            <w:tcW w:w="1305" w:type="dxa"/>
          </w:tcPr>
          <w:p w:rsidR="00000000" w:rsidRDefault="00000000">
            <w:pPr>
              <w:autoSpaceDE w:val="0"/>
              <w:autoSpaceDN w:val="0"/>
              <w:adjustRightInd w:val="0"/>
              <w:spacing w:before="20" w:after="20"/>
              <w:ind w:right="297"/>
              <w:jc w:val="right"/>
              <w:rPr>
                <w:color w:val="000000"/>
                <w:sz w:val="20"/>
                <w:szCs w:val="22"/>
                <w:lang w:val="fr-FR"/>
              </w:rPr>
            </w:pPr>
            <w:r>
              <w:rPr>
                <w:color w:val="000000"/>
                <w:sz w:val="20"/>
                <w:szCs w:val="22"/>
                <w:lang w:val="fr-FR"/>
              </w:rPr>
              <w:t xml:space="preserve">838 </w:t>
            </w:r>
          </w:p>
        </w:tc>
        <w:tc>
          <w:tcPr>
            <w:tcW w:w="1253" w:type="dxa"/>
          </w:tcPr>
          <w:p w:rsidR="00000000" w:rsidRDefault="00000000">
            <w:pPr>
              <w:tabs>
                <w:tab w:val="decimal" w:pos="643"/>
              </w:tabs>
              <w:autoSpaceDE w:val="0"/>
              <w:autoSpaceDN w:val="0"/>
              <w:adjustRightInd w:val="0"/>
              <w:spacing w:before="20" w:after="20"/>
              <w:rPr>
                <w:color w:val="000000"/>
                <w:sz w:val="20"/>
                <w:szCs w:val="22"/>
                <w:lang w:val="fr-FR"/>
              </w:rPr>
            </w:pPr>
            <w:r>
              <w:rPr>
                <w:color w:val="000000"/>
                <w:sz w:val="20"/>
                <w:szCs w:val="22"/>
                <w:lang w:val="fr-FR"/>
              </w:rPr>
              <w:t xml:space="preserve">13,0 </w:t>
            </w:r>
          </w:p>
        </w:tc>
        <w:tc>
          <w:tcPr>
            <w:tcW w:w="92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1,8 </w:t>
            </w:r>
          </w:p>
        </w:tc>
        <w:tc>
          <w:tcPr>
            <w:tcW w:w="831" w:type="dxa"/>
          </w:tcPr>
          <w:p w:rsidR="00000000" w:rsidRDefault="00000000">
            <w:pPr>
              <w:autoSpaceDE w:val="0"/>
              <w:autoSpaceDN w:val="0"/>
              <w:adjustRightInd w:val="0"/>
              <w:spacing w:before="20" w:after="20"/>
              <w:ind w:right="113"/>
              <w:jc w:val="right"/>
              <w:rPr>
                <w:color w:val="000000"/>
                <w:sz w:val="20"/>
                <w:szCs w:val="22"/>
                <w:lang w:val="fr-FR"/>
              </w:rPr>
            </w:pPr>
            <w:r>
              <w:rPr>
                <w:color w:val="000000"/>
                <w:sz w:val="20"/>
                <w:szCs w:val="22"/>
                <w:lang w:val="fr-FR"/>
              </w:rPr>
              <w:t xml:space="preserve">351 </w:t>
            </w:r>
          </w:p>
        </w:tc>
        <w:tc>
          <w:tcPr>
            <w:tcW w:w="1268" w:type="dxa"/>
          </w:tcPr>
          <w:p w:rsidR="00000000" w:rsidRDefault="00000000">
            <w:pPr>
              <w:tabs>
                <w:tab w:val="decimal" w:pos="519"/>
              </w:tabs>
              <w:autoSpaceDE w:val="0"/>
              <w:autoSpaceDN w:val="0"/>
              <w:adjustRightInd w:val="0"/>
              <w:spacing w:before="20" w:after="20"/>
              <w:rPr>
                <w:color w:val="000000"/>
                <w:sz w:val="20"/>
                <w:szCs w:val="22"/>
                <w:lang w:val="fr-FR"/>
              </w:rPr>
            </w:pPr>
            <w:r>
              <w:rPr>
                <w:color w:val="000000"/>
                <w:sz w:val="20"/>
                <w:szCs w:val="22"/>
                <w:lang w:val="fr-FR"/>
              </w:rPr>
              <w:t xml:space="preserve">41,9  </w:t>
            </w:r>
          </w:p>
        </w:tc>
      </w:tr>
      <w:tr w:rsidR="00000000">
        <w:tblPrEx>
          <w:tblCellMar>
            <w:top w:w="0" w:type="dxa"/>
            <w:bottom w:w="0" w:type="dxa"/>
          </w:tblCellMar>
        </w:tblPrEx>
        <w:trPr>
          <w:jc w:val="center"/>
        </w:trPr>
        <w:tc>
          <w:tcPr>
            <w:tcW w:w="2928"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Travaux domestiques </w:t>
            </w:r>
          </w:p>
        </w:tc>
        <w:tc>
          <w:tcPr>
            <w:tcW w:w="1305" w:type="dxa"/>
          </w:tcPr>
          <w:p w:rsidR="00000000" w:rsidRDefault="00000000">
            <w:pPr>
              <w:autoSpaceDE w:val="0"/>
              <w:autoSpaceDN w:val="0"/>
              <w:adjustRightInd w:val="0"/>
              <w:spacing w:before="20" w:after="20"/>
              <w:ind w:right="297"/>
              <w:jc w:val="right"/>
              <w:rPr>
                <w:color w:val="000000"/>
                <w:sz w:val="20"/>
                <w:szCs w:val="22"/>
                <w:lang w:val="fr-FR"/>
              </w:rPr>
            </w:pPr>
            <w:r>
              <w:rPr>
                <w:color w:val="000000"/>
                <w:sz w:val="20"/>
                <w:szCs w:val="22"/>
                <w:lang w:val="fr-FR"/>
              </w:rPr>
              <w:t xml:space="preserve">1 658 </w:t>
            </w:r>
          </w:p>
        </w:tc>
        <w:tc>
          <w:tcPr>
            <w:tcW w:w="1253" w:type="dxa"/>
          </w:tcPr>
          <w:p w:rsidR="00000000" w:rsidRDefault="00000000">
            <w:pPr>
              <w:tabs>
                <w:tab w:val="decimal" w:pos="643"/>
              </w:tabs>
              <w:autoSpaceDE w:val="0"/>
              <w:autoSpaceDN w:val="0"/>
              <w:adjustRightInd w:val="0"/>
              <w:spacing w:before="20" w:after="20"/>
              <w:rPr>
                <w:color w:val="000000"/>
                <w:sz w:val="20"/>
                <w:szCs w:val="22"/>
                <w:lang w:val="fr-FR"/>
              </w:rPr>
            </w:pPr>
            <w:r>
              <w:rPr>
                <w:color w:val="000000"/>
                <w:sz w:val="20"/>
                <w:szCs w:val="22"/>
                <w:lang w:val="fr-FR"/>
              </w:rPr>
              <w:t xml:space="preserve">12,4 </w:t>
            </w:r>
          </w:p>
        </w:tc>
        <w:tc>
          <w:tcPr>
            <w:tcW w:w="92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1,7 </w:t>
            </w:r>
          </w:p>
        </w:tc>
        <w:tc>
          <w:tcPr>
            <w:tcW w:w="831" w:type="dxa"/>
          </w:tcPr>
          <w:p w:rsidR="00000000" w:rsidRDefault="00000000">
            <w:pPr>
              <w:autoSpaceDE w:val="0"/>
              <w:autoSpaceDN w:val="0"/>
              <w:adjustRightInd w:val="0"/>
              <w:spacing w:before="20" w:after="20"/>
              <w:ind w:right="113"/>
              <w:jc w:val="right"/>
              <w:rPr>
                <w:color w:val="000000"/>
                <w:sz w:val="20"/>
                <w:szCs w:val="22"/>
                <w:lang w:val="fr-FR"/>
              </w:rPr>
            </w:pPr>
            <w:r>
              <w:rPr>
                <w:color w:val="000000"/>
                <w:sz w:val="20"/>
                <w:szCs w:val="22"/>
                <w:lang w:val="fr-FR"/>
              </w:rPr>
              <w:t xml:space="preserve">901 </w:t>
            </w:r>
          </w:p>
        </w:tc>
        <w:tc>
          <w:tcPr>
            <w:tcW w:w="1268" w:type="dxa"/>
          </w:tcPr>
          <w:p w:rsidR="00000000" w:rsidRDefault="00000000">
            <w:pPr>
              <w:tabs>
                <w:tab w:val="decimal" w:pos="519"/>
              </w:tabs>
              <w:autoSpaceDE w:val="0"/>
              <w:autoSpaceDN w:val="0"/>
              <w:adjustRightInd w:val="0"/>
              <w:spacing w:before="20" w:after="20"/>
              <w:rPr>
                <w:color w:val="000000"/>
                <w:sz w:val="20"/>
                <w:szCs w:val="22"/>
                <w:lang w:val="fr-FR"/>
              </w:rPr>
            </w:pPr>
            <w:r>
              <w:rPr>
                <w:color w:val="000000"/>
                <w:sz w:val="20"/>
                <w:szCs w:val="22"/>
                <w:lang w:val="fr-FR"/>
              </w:rPr>
              <w:t xml:space="preserve">54,3  </w:t>
            </w:r>
          </w:p>
        </w:tc>
      </w:tr>
      <w:tr w:rsidR="00000000">
        <w:tblPrEx>
          <w:tblCellMar>
            <w:top w:w="0" w:type="dxa"/>
            <w:bottom w:w="0" w:type="dxa"/>
          </w:tblCellMar>
        </w:tblPrEx>
        <w:trPr>
          <w:jc w:val="center"/>
        </w:trPr>
        <w:tc>
          <w:tcPr>
            <w:tcW w:w="2928"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Sans réponse </w:t>
            </w:r>
          </w:p>
        </w:tc>
        <w:tc>
          <w:tcPr>
            <w:tcW w:w="1305" w:type="dxa"/>
          </w:tcPr>
          <w:p w:rsidR="00000000" w:rsidRDefault="00000000">
            <w:pPr>
              <w:autoSpaceDE w:val="0"/>
              <w:autoSpaceDN w:val="0"/>
              <w:adjustRightInd w:val="0"/>
              <w:spacing w:before="20" w:after="20"/>
              <w:ind w:right="297"/>
              <w:jc w:val="right"/>
              <w:rPr>
                <w:color w:val="000000"/>
                <w:sz w:val="20"/>
                <w:szCs w:val="22"/>
                <w:lang w:val="fr-FR"/>
              </w:rPr>
            </w:pPr>
            <w:r>
              <w:rPr>
                <w:color w:val="000000"/>
                <w:sz w:val="20"/>
                <w:szCs w:val="22"/>
                <w:lang w:val="fr-FR"/>
              </w:rPr>
              <w:t xml:space="preserve">216 </w:t>
            </w:r>
          </w:p>
        </w:tc>
        <w:tc>
          <w:tcPr>
            <w:tcW w:w="1253" w:type="dxa"/>
          </w:tcPr>
          <w:p w:rsidR="00000000" w:rsidRDefault="00000000">
            <w:pPr>
              <w:tabs>
                <w:tab w:val="decimal" w:pos="643"/>
              </w:tabs>
              <w:autoSpaceDE w:val="0"/>
              <w:autoSpaceDN w:val="0"/>
              <w:adjustRightInd w:val="0"/>
              <w:spacing w:before="20" w:after="20"/>
              <w:rPr>
                <w:color w:val="000000"/>
                <w:sz w:val="20"/>
                <w:szCs w:val="22"/>
                <w:lang w:val="fr-FR"/>
              </w:rPr>
            </w:pPr>
            <w:r>
              <w:rPr>
                <w:color w:val="000000"/>
                <w:sz w:val="20"/>
                <w:szCs w:val="22"/>
                <w:lang w:val="fr-FR"/>
              </w:rPr>
              <w:t xml:space="preserve">13,6 </w:t>
            </w:r>
          </w:p>
        </w:tc>
        <w:tc>
          <w:tcPr>
            <w:tcW w:w="92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1,8 </w:t>
            </w:r>
          </w:p>
        </w:tc>
        <w:tc>
          <w:tcPr>
            <w:tcW w:w="831" w:type="dxa"/>
          </w:tcPr>
          <w:p w:rsidR="00000000" w:rsidRDefault="00000000">
            <w:pPr>
              <w:autoSpaceDE w:val="0"/>
              <w:autoSpaceDN w:val="0"/>
              <w:adjustRightInd w:val="0"/>
              <w:spacing w:before="20" w:after="20"/>
              <w:ind w:right="113"/>
              <w:jc w:val="right"/>
              <w:rPr>
                <w:color w:val="000000"/>
                <w:sz w:val="20"/>
                <w:szCs w:val="22"/>
                <w:lang w:val="fr-FR"/>
              </w:rPr>
            </w:pPr>
            <w:r>
              <w:rPr>
                <w:color w:val="000000"/>
                <w:sz w:val="20"/>
                <w:szCs w:val="22"/>
                <w:lang w:val="fr-FR"/>
              </w:rPr>
              <w:t xml:space="preserve">97 </w:t>
            </w:r>
          </w:p>
        </w:tc>
        <w:tc>
          <w:tcPr>
            <w:tcW w:w="1268" w:type="dxa"/>
          </w:tcPr>
          <w:p w:rsidR="00000000" w:rsidRDefault="00000000">
            <w:pPr>
              <w:tabs>
                <w:tab w:val="decimal" w:pos="519"/>
              </w:tabs>
              <w:autoSpaceDE w:val="0"/>
              <w:autoSpaceDN w:val="0"/>
              <w:adjustRightInd w:val="0"/>
              <w:spacing w:before="20" w:after="20"/>
              <w:rPr>
                <w:color w:val="000000"/>
                <w:sz w:val="20"/>
                <w:szCs w:val="22"/>
                <w:lang w:val="fr-FR"/>
              </w:rPr>
            </w:pPr>
            <w:r>
              <w:rPr>
                <w:color w:val="000000"/>
                <w:sz w:val="20"/>
                <w:szCs w:val="22"/>
                <w:lang w:val="fr-FR"/>
              </w:rPr>
              <w:t xml:space="preserve">44,9  </w:t>
            </w:r>
          </w:p>
        </w:tc>
      </w:tr>
      <w:tr w:rsidR="00000000">
        <w:tblPrEx>
          <w:tblCellMar>
            <w:top w:w="0" w:type="dxa"/>
            <w:bottom w:w="0" w:type="dxa"/>
          </w:tblCellMar>
        </w:tblPrEx>
        <w:trPr>
          <w:jc w:val="center"/>
        </w:trPr>
        <w:tc>
          <w:tcPr>
            <w:tcW w:w="2928"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Non applicable (population de moins de 14 ans) </w:t>
            </w:r>
          </w:p>
        </w:tc>
        <w:tc>
          <w:tcPr>
            <w:tcW w:w="1305" w:type="dxa"/>
          </w:tcPr>
          <w:p w:rsidR="00000000" w:rsidRDefault="00000000">
            <w:pPr>
              <w:autoSpaceDE w:val="0"/>
              <w:autoSpaceDN w:val="0"/>
              <w:adjustRightInd w:val="0"/>
              <w:spacing w:before="20" w:after="20"/>
              <w:ind w:right="297"/>
              <w:jc w:val="right"/>
              <w:rPr>
                <w:color w:val="000000"/>
                <w:sz w:val="20"/>
                <w:szCs w:val="22"/>
                <w:lang w:val="fr-FR"/>
              </w:rPr>
            </w:pPr>
            <w:r>
              <w:rPr>
                <w:color w:val="000000"/>
                <w:sz w:val="20"/>
                <w:szCs w:val="22"/>
                <w:lang w:val="fr-FR"/>
              </w:rPr>
              <w:t xml:space="preserve">3 014 </w:t>
            </w:r>
          </w:p>
        </w:tc>
        <w:tc>
          <w:tcPr>
            <w:tcW w:w="1253" w:type="dxa"/>
          </w:tcPr>
          <w:p w:rsidR="00000000" w:rsidRDefault="00000000">
            <w:pPr>
              <w:tabs>
                <w:tab w:val="decimal" w:pos="643"/>
              </w:tabs>
              <w:autoSpaceDE w:val="0"/>
              <w:autoSpaceDN w:val="0"/>
              <w:adjustRightInd w:val="0"/>
              <w:spacing w:before="20" w:after="20"/>
              <w:rPr>
                <w:color w:val="000000"/>
                <w:sz w:val="20"/>
                <w:szCs w:val="22"/>
                <w:lang w:val="fr-FR"/>
              </w:rPr>
            </w:pPr>
            <w:r>
              <w:rPr>
                <w:color w:val="000000"/>
                <w:sz w:val="20"/>
                <w:szCs w:val="22"/>
                <w:lang w:val="fr-FR"/>
              </w:rPr>
              <w:t xml:space="preserve">11,7 </w:t>
            </w:r>
          </w:p>
        </w:tc>
        <w:tc>
          <w:tcPr>
            <w:tcW w:w="92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1,6 </w:t>
            </w:r>
          </w:p>
        </w:tc>
        <w:tc>
          <w:tcPr>
            <w:tcW w:w="831" w:type="dxa"/>
          </w:tcPr>
          <w:p w:rsidR="00000000" w:rsidRDefault="00000000">
            <w:pPr>
              <w:autoSpaceDE w:val="0"/>
              <w:autoSpaceDN w:val="0"/>
              <w:adjustRightInd w:val="0"/>
              <w:spacing w:before="20" w:after="20"/>
              <w:ind w:right="113"/>
              <w:jc w:val="right"/>
              <w:rPr>
                <w:color w:val="000000"/>
                <w:sz w:val="20"/>
                <w:szCs w:val="22"/>
                <w:lang w:val="fr-FR"/>
              </w:rPr>
            </w:pPr>
            <w:r>
              <w:rPr>
                <w:color w:val="000000"/>
                <w:sz w:val="20"/>
                <w:szCs w:val="22"/>
                <w:lang w:val="fr-FR"/>
              </w:rPr>
              <w:t xml:space="preserve">1 763 </w:t>
            </w:r>
          </w:p>
        </w:tc>
        <w:tc>
          <w:tcPr>
            <w:tcW w:w="1268" w:type="dxa"/>
          </w:tcPr>
          <w:p w:rsidR="00000000" w:rsidRDefault="00000000">
            <w:pPr>
              <w:tabs>
                <w:tab w:val="decimal" w:pos="519"/>
              </w:tabs>
              <w:autoSpaceDE w:val="0"/>
              <w:autoSpaceDN w:val="0"/>
              <w:adjustRightInd w:val="0"/>
              <w:spacing w:before="20" w:after="20"/>
              <w:rPr>
                <w:color w:val="000000"/>
                <w:sz w:val="20"/>
                <w:szCs w:val="22"/>
                <w:lang w:val="fr-FR"/>
              </w:rPr>
            </w:pPr>
            <w:r>
              <w:rPr>
                <w:color w:val="000000"/>
                <w:sz w:val="20"/>
                <w:szCs w:val="22"/>
                <w:lang w:val="fr-FR"/>
              </w:rPr>
              <w:t xml:space="preserve">58,5  </w:t>
            </w:r>
          </w:p>
        </w:tc>
      </w:tr>
    </w:tbl>
    <w:p w:rsidR="00000000" w:rsidRDefault="00000000">
      <w:pPr>
        <w:autoSpaceDE w:val="0"/>
        <w:autoSpaceDN w:val="0"/>
        <w:adjustRightInd w:val="0"/>
        <w:spacing w:before="80" w:after="360"/>
        <w:ind w:left="567"/>
        <w:rPr>
          <w:i/>
          <w:iCs/>
          <w:color w:val="000000"/>
          <w:sz w:val="20"/>
          <w:szCs w:val="22"/>
          <w:lang w:val="fr-FR"/>
        </w:rPr>
      </w:pPr>
      <w:r>
        <w:rPr>
          <w:i/>
          <w:iCs/>
          <w:color w:val="000000"/>
          <w:sz w:val="20"/>
          <w:szCs w:val="22"/>
          <w:lang w:val="fr-FR"/>
        </w:rPr>
        <w:t>Source :</w:t>
      </w:r>
      <w:r>
        <w:rPr>
          <w:color w:val="000000"/>
          <w:sz w:val="20"/>
          <w:szCs w:val="22"/>
          <w:lang w:val="fr-FR"/>
        </w:rPr>
        <w:t xml:space="preserve"> Ministère de la santé, </w:t>
      </w:r>
      <w:r>
        <w:rPr>
          <w:i/>
          <w:iCs/>
          <w:color w:val="000000"/>
          <w:sz w:val="20"/>
          <w:szCs w:val="22"/>
          <w:lang w:val="fr-FR"/>
        </w:rPr>
        <w:t>Boletín Informativo del ICT</w:t>
      </w:r>
      <w:r>
        <w:rPr>
          <w:color w:val="000000"/>
          <w:sz w:val="20"/>
          <w:szCs w:val="22"/>
          <w:lang w:val="fr-FR"/>
        </w:rPr>
        <w:t>, n º 3</w:t>
      </w:r>
      <w:r>
        <w:rPr>
          <w:i/>
          <w:iCs/>
          <w:color w:val="000000"/>
          <w:sz w:val="20"/>
          <w:szCs w:val="22"/>
          <w:lang w:val="fr-FR"/>
        </w:rPr>
        <w:t>.</w:t>
      </w:r>
    </w:p>
    <w:p w:rsidR="00000000" w:rsidRDefault="00000000">
      <w:pPr>
        <w:autoSpaceDE w:val="0"/>
        <w:autoSpaceDN w:val="0"/>
        <w:adjustRightInd w:val="0"/>
        <w:spacing w:after="240"/>
        <w:rPr>
          <w:szCs w:val="20"/>
          <w:lang w:val="fr-FR"/>
        </w:rPr>
      </w:pPr>
      <w:r>
        <w:rPr>
          <w:szCs w:val="28"/>
          <w:lang w:val="fr-FR"/>
        </w:rPr>
        <w:t>301.</w:t>
      </w:r>
      <w:r>
        <w:rPr>
          <w:szCs w:val="28"/>
          <w:lang w:val="fr-FR"/>
        </w:rPr>
        <w:tab/>
        <w:t>Le PIM comporte divers types d'action : supplémentation en fer, acide folique et vitamines A parmi les groupes à risques; en fer à 100 % pour les femmes enceintes et les enfants de moins d'un an qui se présentent aux services opérationnels du Ministère de la santé; en vitamine A pour 100 % des enfants de 1 à 3 ans qui habitent dans les districts de très grande pauvreté; enrichissement des aliments, du sel en iode et fluor, de la farine de blé en fer et acide folique pour la population générale; et diversification alimentaire sur la base de campagne éducative d'information et de communication sociale.</w:t>
      </w:r>
    </w:p>
    <w:p w:rsidR="00000000" w:rsidRDefault="00000000">
      <w:pPr>
        <w:autoSpaceDE w:val="0"/>
        <w:autoSpaceDN w:val="0"/>
        <w:adjustRightInd w:val="0"/>
        <w:spacing w:after="480"/>
        <w:rPr>
          <w:szCs w:val="28"/>
          <w:lang w:val="fr-FR"/>
        </w:rPr>
      </w:pPr>
      <w:r>
        <w:rPr>
          <w:szCs w:val="28"/>
          <w:lang w:val="fr-FR"/>
        </w:rPr>
        <w:t>302.</w:t>
      </w:r>
      <w:r>
        <w:rPr>
          <w:szCs w:val="28"/>
          <w:lang w:val="fr-FR"/>
        </w:rPr>
        <w:tab/>
        <w:t>La malnutrition chronique, qui correspond, d'après les critères internationaux, à un rapport taille-âge inférieur à -2 écarts type (ET)</w:t>
      </w:r>
      <w:r>
        <w:rPr>
          <w:rStyle w:val="FootnoteReference"/>
          <w:b/>
          <w:szCs w:val="28"/>
          <w:lang w:val="fr-FR"/>
        </w:rPr>
        <w:footnoteReference w:id="41"/>
      </w:r>
      <w:r>
        <w:rPr>
          <w:szCs w:val="28"/>
          <w:lang w:val="fr-FR"/>
        </w:rPr>
        <w:t xml:space="preserve"> touche un enfant de moins de cinq ans sur quatre (tableau 1) : le déficit de taille est sensiblement plus grand dans la population rurale, en particulier dans la région de la Sierra, où la prévalence de la malnutrition dépasse 40 %.  La malnutrition globale (poids selon l'âge inférieur à -2 ET) affecte 14,6 % de la population et suit la même tendance que la variable taille-âge.  La malnutrition mesurée par le rapport du poids à la taille (malnutrition aiguë) est peu fréquente, et présente une situation similaire à celle observée dans la majeure partie des pays en développement</w:t>
      </w:r>
      <w:r>
        <w:rPr>
          <w:rStyle w:val="FootnoteReference"/>
          <w:b/>
          <w:szCs w:val="28"/>
          <w:lang w:val="fr-FR"/>
        </w:rPr>
        <w:footnoteReference w:id="42"/>
      </w:r>
      <w:r>
        <w:rPr>
          <w:szCs w:val="28"/>
          <w:lang w:val="fr-FR"/>
        </w:rPr>
        <w:t>.</w:t>
      </w:r>
    </w:p>
    <w:p w:rsidR="00000000" w:rsidRDefault="00000000">
      <w:pPr>
        <w:autoSpaceDE w:val="0"/>
        <w:autoSpaceDN w:val="0"/>
        <w:adjustRightInd w:val="0"/>
        <w:spacing w:after="80"/>
        <w:jc w:val="center"/>
        <w:rPr>
          <w:b/>
          <w:bCs/>
          <w:color w:val="000000"/>
          <w:sz w:val="20"/>
          <w:szCs w:val="22"/>
          <w:lang w:val="fr-FR"/>
        </w:rPr>
      </w:pPr>
      <w:r>
        <w:rPr>
          <w:b/>
          <w:bCs/>
          <w:color w:val="000000"/>
          <w:sz w:val="20"/>
          <w:szCs w:val="22"/>
          <w:lang w:val="fr-FR"/>
        </w:rPr>
        <w:t xml:space="preserve">Tableau 1 </w:t>
      </w:r>
    </w:p>
    <w:p w:rsidR="00000000" w:rsidRDefault="00000000">
      <w:pPr>
        <w:autoSpaceDE w:val="0"/>
        <w:autoSpaceDN w:val="0"/>
        <w:adjustRightInd w:val="0"/>
        <w:jc w:val="center"/>
        <w:rPr>
          <w:b/>
          <w:bCs/>
          <w:color w:val="000000"/>
          <w:sz w:val="20"/>
          <w:szCs w:val="22"/>
          <w:lang w:val="fr-FR"/>
        </w:rPr>
      </w:pPr>
      <w:r>
        <w:rPr>
          <w:b/>
          <w:bCs/>
          <w:color w:val="000000"/>
          <w:sz w:val="20"/>
          <w:szCs w:val="22"/>
          <w:lang w:val="fr-FR"/>
        </w:rPr>
        <w:t xml:space="preserve">Prévalence de la malnutrition parmi les mineurs de moins de 5 ans, par secteur géographique </w:t>
      </w:r>
    </w:p>
    <w:p w:rsidR="00000000" w:rsidRDefault="00000000">
      <w:pPr>
        <w:autoSpaceDE w:val="0"/>
        <w:autoSpaceDN w:val="0"/>
        <w:adjustRightInd w:val="0"/>
        <w:spacing w:after="120"/>
        <w:jc w:val="center"/>
        <w:rPr>
          <w:i/>
          <w:iCs/>
          <w:color w:val="000000"/>
          <w:sz w:val="20"/>
          <w:szCs w:val="22"/>
          <w:lang w:val="fr-FR"/>
        </w:rPr>
      </w:pPr>
      <w:r>
        <w:rPr>
          <w:i/>
          <w:iCs/>
          <w:color w:val="000000"/>
          <w:sz w:val="20"/>
          <w:szCs w:val="22"/>
          <w:lang w:val="fr-FR"/>
        </w:rPr>
        <w:t xml:space="preserve">(Enquête sur les conditions de vie, 1998)  </w:t>
      </w:r>
    </w:p>
    <w:tbl>
      <w:tblPr>
        <w:tblW w:w="9299"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928"/>
        <w:gridCol w:w="1757"/>
        <w:gridCol w:w="2184"/>
        <w:gridCol w:w="2091"/>
        <w:gridCol w:w="2339"/>
      </w:tblGrid>
      <w:tr w:rsidR="00000000">
        <w:tblPrEx>
          <w:tblCellMar>
            <w:top w:w="0" w:type="dxa"/>
            <w:bottom w:w="0" w:type="dxa"/>
          </w:tblCellMar>
        </w:tblPrEx>
        <w:trPr>
          <w:jc w:val="center"/>
        </w:trPr>
        <w:tc>
          <w:tcPr>
            <w:tcW w:w="2340" w:type="dxa"/>
            <w:gridSpan w:val="2"/>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Secteur géographique</w:t>
            </w:r>
          </w:p>
        </w:tc>
        <w:tc>
          <w:tcPr>
            <w:tcW w:w="1902"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Malnutrition chronique</w:t>
            </w:r>
            <w:r>
              <w:rPr>
                <w:b/>
                <w:bCs/>
                <w:i/>
                <w:iCs/>
                <w:color w:val="000000"/>
                <w:sz w:val="20"/>
                <w:szCs w:val="22"/>
                <w:lang w:val="fr-FR"/>
              </w:rPr>
              <w:br/>
              <w:t>Taille-âge &lt; - 2 ET %</w:t>
            </w:r>
          </w:p>
        </w:tc>
        <w:tc>
          <w:tcPr>
            <w:tcW w:w="1821"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Malnutrition globale</w:t>
            </w:r>
            <w:r>
              <w:rPr>
                <w:b/>
                <w:bCs/>
                <w:i/>
                <w:iCs/>
                <w:color w:val="000000"/>
                <w:sz w:val="20"/>
                <w:szCs w:val="22"/>
                <w:lang w:val="fr-FR"/>
              </w:rPr>
              <w:br/>
              <w:t>Poids-âge &lt; - 2 ET %</w:t>
            </w:r>
          </w:p>
        </w:tc>
        <w:tc>
          <w:tcPr>
            <w:tcW w:w="2037"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Malnutrition aiguë</w:t>
            </w:r>
            <w:r>
              <w:rPr>
                <w:b/>
                <w:bCs/>
                <w:i/>
                <w:iCs/>
                <w:color w:val="000000"/>
                <w:sz w:val="20"/>
                <w:szCs w:val="22"/>
                <w:lang w:val="fr-FR"/>
              </w:rPr>
              <w:br/>
              <w:t>Poids-taille &lt; - 2 ET %</w:t>
            </w:r>
          </w:p>
        </w:tc>
      </w:tr>
      <w:tr w:rsidR="00000000">
        <w:tblPrEx>
          <w:tblCellMar>
            <w:top w:w="0" w:type="dxa"/>
            <w:bottom w:w="0" w:type="dxa"/>
          </w:tblCellMar>
        </w:tblPrEx>
        <w:trPr>
          <w:jc w:val="center"/>
        </w:trPr>
        <w:tc>
          <w:tcPr>
            <w:tcW w:w="809" w:type="dxa"/>
            <w:tcBorders>
              <w:top w:val="single" w:sz="4" w:space="0" w:color="auto"/>
            </w:tcBorders>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Costa </w:t>
            </w:r>
          </w:p>
        </w:tc>
        <w:tc>
          <w:tcPr>
            <w:tcW w:w="1531" w:type="dxa"/>
            <w:tcBorders>
              <w:top w:val="single" w:sz="4" w:space="0" w:color="auto"/>
            </w:tcBorders>
          </w:tcPr>
          <w:p w:rsidR="00000000" w:rsidRDefault="00000000">
            <w:pPr>
              <w:autoSpaceDE w:val="0"/>
              <w:autoSpaceDN w:val="0"/>
              <w:adjustRightInd w:val="0"/>
              <w:spacing w:before="60" w:after="60"/>
              <w:ind w:left="113"/>
              <w:rPr>
                <w:color w:val="000000"/>
                <w:sz w:val="20"/>
                <w:szCs w:val="22"/>
                <w:lang w:val="fr-FR"/>
              </w:rPr>
            </w:pPr>
            <w:r>
              <w:rPr>
                <w:color w:val="000000"/>
                <w:sz w:val="20"/>
                <w:szCs w:val="22"/>
                <w:lang w:val="fr-FR"/>
              </w:rPr>
              <w:t xml:space="preserve">Zones urbaines </w:t>
            </w:r>
          </w:p>
        </w:tc>
        <w:tc>
          <w:tcPr>
            <w:tcW w:w="1902" w:type="dxa"/>
            <w:tcBorders>
              <w:top w:val="single" w:sz="4" w:space="0" w:color="auto"/>
            </w:tcBorders>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22,3 </w:t>
            </w:r>
          </w:p>
        </w:tc>
        <w:tc>
          <w:tcPr>
            <w:tcW w:w="1821" w:type="dxa"/>
            <w:tcBorders>
              <w:top w:val="single" w:sz="4" w:space="0" w:color="auto"/>
            </w:tcBorders>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12,8 </w:t>
            </w:r>
          </w:p>
        </w:tc>
        <w:tc>
          <w:tcPr>
            <w:tcW w:w="2037" w:type="dxa"/>
            <w:tcBorders>
              <w:top w:val="single" w:sz="4" w:space="0" w:color="auto"/>
            </w:tcBorders>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2,3  </w:t>
            </w:r>
          </w:p>
        </w:tc>
      </w:tr>
      <w:tr w:rsidR="00000000">
        <w:tblPrEx>
          <w:tblCellMar>
            <w:top w:w="0" w:type="dxa"/>
            <w:bottom w:w="0" w:type="dxa"/>
          </w:tblCellMar>
        </w:tblPrEx>
        <w:trPr>
          <w:jc w:val="center"/>
        </w:trPr>
        <w:tc>
          <w:tcPr>
            <w:tcW w:w="809" w:type="dxa"/>
          </w:tcPr>
          <w:p w:rsidR="00000000" w:rsidRDefault="00000000">
            <w:pPr>
              <w:autoSpaceDE w:val="0"/>
              <w:autoSpaceDN w:val="0"/>
              <w:adjustRightInd w:val="0"/>
              <w:spacing w:before="60" w:after="60"/>
              <w:rPr>
                <w:color w:val="000000"/>
                <w:sz w:val="20"/>
                <w:szCs w:val="22"/>
                <w:lang w:val="fr-FR"/>
              </w:rPr>
            </w:pPr>
          </w:p>
        </w:tc>
        <w:tc>
          <w:tcPr>
            <w:tcW w:w="1531" w:type="dxa"/>
          </w:tcPr>
          <w:p w:rsidR="00000000" w:rsidRDefault="00000000">
            <w:pPr>
              <w:autoSpaceDE w:val="0"/>
              <w:autoSpaceDN w:val="0"/>
              <w:adjustRightInd w:val="0"/>
              <w:spacing w:before="60" w:after="60"/>
              <w:ind w:left="113"/>
              <w:rPr>
                <w:color w:val="000000"/>
                <w:sz w:val="20"/>
                <w:szCs w:val="22"/>
                <w:lang w:val="fr-FR"/>
              </w:rPr>
            </w:pPr>
            <w:r>
              <w:rPr>
                <w:color w:val="000000"/>
                <w:sz w:val="20"/>
                <w:szCs w:val="22"/>
                <w:lang w:val="fr-FR"/>
              </w:rPr>
              <w:t xml:space="preserve">Zones rurales </w:t>
            </w:r>
          </w:p>
        </w:tc>
        <w:tc>
          <w:tcPr>
            <w:tcW w:w="1902"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23,2 </w:t>
            </w:r>
          </w:p>
        </w:tc>
        <w:tc>
          <w:tcPr>
            <w:tcW w:w="1821"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20,0 </w:t>
            </w:r>
          </w:p>
        </w:tc>
        <w:tc>
          <w:tcPr>
            <w:tcW w:w="2037"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3,8  </w:t>
            </w:r>
          </w:p>
        </w:tc>
      </w:tr>
      <w:tr w:rsidR="00000000">
        <w:tblPrEx>
          <w:tblCellMar>
            <w:top w:w="0" w:type="dxa"/>
            <w:bottom w:w="0" w:type="dxa"/>
          </w:tblCellMar>
        </w:tblPrEx>
        <w:trPr>
          <w:jc w:val="center"/>
        </w:trPr>
        <w:tc>
          <w:tcPr>
            <w:tcW w:w="809" w:type="dxa"/>
          </w:tcPr>
          <w:p w:rsidR="00000000" w:rsidRDefault="00000000">
            <w:pPr>
              <w:autoSpaceDE w:val="0"/>
              <w:autoSpaceDN w:val="0"/>
              <w:adjustRightInd w:val="0"/>
              <w:spacing w:before="60" w:after="60"/>
              <w:rPr>
                <w:color w:val="000000"/>
                <w:sz w:val="20"/>
                <w:szCs w:val="22"/>
                <w:lang w:val="fr-FR"/>
              </w:rPr>
            </w:pPr>
          </w:p>
        </w:tc>
        <w:tc>
          <w:tcPr>
            <w:tcW w:w="1531" w:type="dxa"/>
          </w:tcPr>
          <w:p w:rsidR="00000000" w:rsidRDefault="00000000">
            <w:pPr>
              <w:tabs>
                <w:tab w:val="left" w:pos="341"/>
              </w:tabs>
              <w:autoSpaceDE w:val="0"/>
              <w:autoSpaceDN w:val="0"/>
              <w:adjustRightInd w:val="0"/>
              <w:spacing w:before="60" w:after="60"/>
              <w:ind w:left="113"/>
              <w:rPr>
                <w:color w:val="000000"/>
                <w:sz w:val="20"/>
                <w:szCs w:val="22"/>
                <w:lang w:val="fr-FR"/>
              </w:rPr>
            </w:pPr>
            <w:r>
              <w:rPr>
                <w:color w:val="000000"/>
                <w:sz w:val="20"/>
                <w:szCs w:val="22"/>
                <w:lang w:val="fr-FR"/>
              </w:rPr>
              <w:tab/>
              <w:t xml:space="preserve">Total </w:t>
            </w:r>
          </w:p>
        </w:tc>
        <w:tc>
          <w:tcPr>
            <w:tcW w:w="1902"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22,5 </w:t>
            </w:r>
          </w:p>
        </w:tc>
        <w:tc>
          <w:tcPr>
            <w:tcW w:w="1821"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14,9 </w:t>
            </w:r>
          </w:p>
        </w:tc>
        <w:tc>
          <w:tcPr>
            <w:tcW w:w="2037"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2,7  </w:t>
            </w:r>
          </w:p>
        </w:tc>
      </w:tr>
      <w:tr w:rsidR="00000000">
        <w:tblPrEx>
          <w:tblCellMar>
            <w:top w:w="0" w:type="dxa"/>
            <w:bottom w:w="0" w:type="dxa"/>
          </w:tblCellMar>
        </w:tblPrEx>
        <w:trPr>
          <w:jc w:val="center"/>
        </w:trPr>
        <w:tc>
          <w:tcPr>
            <w:tcW w:w="809"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Sierra</w:t>
            </w:r>
          </w:p>
        </w:tc>
        <w:tc>
          <w:tcPr>
            <w:tcW w:w="1531" w:type="dxa"/>
          </w:tcPr>
          <w:p w:rsidR="00000000" w:rsidRDefault="00000000">
            <w:pPr>
              <w:autoSpaceDE w:val="0"/>
              <w:autoSpaceDN w:val="0"/>
              <w:adjustRightInd w:val="0"/>
              <w:spacing w:before="60" w:after="60"/>
              <w:ind w:left="113"/>
              <w:rPr>
                <w:color w:val="000000"/>
                <w:sz w:val="20"/>
                <w:szCs w:val="22"/>
                <w:lang w:val="fr-FR"/>
              </w:rPr>
            </w:pPr>
            <w:r>
              <w:rPr>
                <w:color w:val="000000"/>
                <w:sz w:val="20"/>
                <w:szCs w:val="22"/>
                <w:lang w:val="fr-FR"/>
              </w:rPr>
              <w:t>Zones urbaines</w:t>
            </w:r>
          </w:p>
        </w:tc>
        <w:tc>
          <w:tcPr>
            <w:tcW w:w="1902"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22,1 </w:t>
            </w:r>
          </w:p>
        </w:tc>
        <w:tc>
          <w:tcPr>
            <w:tcW w:w="1821"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9,2 </w:t>
            </w:r>
          </w:p>
        </w:tc>
        <w:tc>
          <w:tcPr>
            <w:tcW w:w="2037"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0,9  </w:t>
            </w:r>
          </w:p>
        </w:tc>
      </w:tr>
      <w:tr w:rsidR="00000000">
        <w:tblPrEx>
          <w:tblCellMar>
            <w:top w:w="0" w:type="dxa"/>
            <w:bottom w:w="0" w:type="dxa"/>
          </w:tblCellMar>
        </w:tblPrEx>
        <w:trPr>
          <w:jc w:val="center"/>
        </w:trPr>
        <w:tc>
          <w:tcPr>
            <w:tcW w:w="809" w:type="dxa"/>
          </w:tcPr>
          <w:p w:rsidR="00000000" w:rsidRDefault="00000000">
            <w:pPr>
              <w:autoSpaceDE w:val="0"/>
              <w:autoSpaceDN w:val="0"/>
              <w:adjustRightInd w:val="0"/>
              <w:spacing w:before="60" w:after="60"/>
              <w:rPr>
                <w:color w:val="000000"/>
                <w:sz w:val="20"/>
                <w:szCs w:val="22"/>
                <w:lang w:val="fr-FR"/>
              </w:rPr>
            </w:pPr>
          </w:p>
        </w:tc>
        <w:tc>
          <w:tcPr>
            <w:tcW w:w="1531" w:type="dxa"/>
          </w:tcPr>
          <w:p w:rsidR="00000000" w:rsidRDefault="00000000">
            <w:pPr>
              <w:autoSpaceDE w:val="0"/>
              <w:autoSpaceDN w:val="0"/>
              <w:adjustRightInd w:val="0"/>
              <w:spacing w:before="60" w:after="60"/>
              <w:ind w:left="113"/>
              <w:rPr>
                <w:color w:val="000000"/>
                <w:sz w:val="20"/>
                <w:szCs w:val="22"/>
                <w:lang w:val="fr-FR"/>
              </w:rPr>
            </w:pPr>
            <w:r>
              <w:rPr>
                <w:color w:val="000000"/>
                <w:sz w:val="20"/>
                <w:szCs w:val="22"/>
                <w:lang w:val="fr-FR"/>
              </w:rPr>
              <w:t>Zones rurales</w:t>
            </w:r>
          </w:p>
        </w:tc>
        <w:tc>
          <w:tcPr>
            <w:tcW w:w="1902"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41,0 </w:t>
            </w:r>
          </w:p>
        </w:tc>
        <w:tc>
          <w:tcPr>
            <w:tcW w:w="1821"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18,8 </w:t>
            </w:r>
          </w:p>
        </w:tc>
        <w:tc>
          <w:tcPr>
            <w:tcW w:w="2037"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2,8  </w:t>
            </w:r>
          </w:p>
        </w:tc>
      </w:tr>
      <w:tr w:rsidR="00000000">
        <w:tblPrEx>
          <w:tblCellMar>
            <w:top w:w="0" w:type="dxa"/>
            <w:bottom w:w="0" w:type="dxa"/>
          </w:tblCellMar>
        </w:tblPrEx>
        <w:trPr>
          <w:jc w:val="center"/>
        </w:trPr>
        <w:tc>
          <w:tcPr>
            <w:tcW w:w="809" w:type="dxa"/>
          </w:tcPr>
          <w:p w:rsidR="00000000" w:rsidRDefault="00000000">
            <w:pPr>
              <w:autoSpaceDE w:val="0"/>
              <w:autoSpaceDN w:val="0"/>
              <w:adjustRightInd w:val="0"/>
              <w:spacing w:before="60" w:after="60"/>
              <w:rPr>
                <w:color w:val="000000"/>
                <w:sz w:val="20"/>
                <w:szCs w:val="22"/>
                <w:lang w:val="fr-FR"/>
              </w:rPr>
            </w:pPr>
          </w:p>
        </w:tc>
        <w:tc>
          <w:tcPr>
            <w:tcW w:w="1531" w:type="dxa"/>
          </w:tcPr>
          <w:p w:rsidR="00000000" w:rsidRDefault="00000000">
            <w:pPr>
              <w:tabs>
                <w:tab w:val="left" w:pos="341"/>
              </w:tabs>
              <w:autoSpaceDE w:val="0"/>
              <w:autoSpaceDN w:val="0"/>
              <w:adjustRightInd w:val="0"/>
              <w:spacing w:before="60" w:after="60"/>
              <w:ind w:left="113"/>
              <w:rPr>
                <w:color w:val="000000"/>
                <w:sz w:val="20"/>
                <w:szCs w:val="22"/>
                <w:lang w:val="fr-FR"/>
              </w:rPr>
            </w:pPr>
            <w:r>
              <w:rPr>
                <w:color w:val="000000"/>
                <w:sz w:val="20"/>
                <w:szCs w:val="22"/>
                <w:lang w:val="fr-FR"/>
              </w:rPr>
              <w:tab/>
              <w:t xml:space="preserve">Total </w:t>
            </w:r>
          </w:p>
        </w:tc>
        <w:tc>
          <w:tcPr>
            <w:tcW w:w="1902"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32,9 </w:t>
            </w:r>
          </w:p>
        </w:tc>
        <w:tc>
          <w:tcPr>
            <w:tcW w:w="1821"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14,7 </w:t>
            </w:r>
          </w:p>
        </w:tc>
        <w:tc>
          <w:tcPr>
            <w:tcW w:w="2037"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2,0  </w:t>
            </w:r>
          </w:p>
        </w:tc>
      </w:tr>
      <w:tr w:rsidR="00000000">
        <w:tblPrEx>
          <w:tblCellMar>
            <w:top w:w="0" w:type="dxa"/>
            <w:bottom w:w="0" w:type="dxa"/>
          </w:tblCellMar>
        </w:tblPrEx>
        <w:trPr>
          <w:jc w:val="center"/>
        </w:trPr>
        <w:tc>
          <w:tcPr>
            <w:tcW w:w="809"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Oriente</w:t>
            </w:r>
          </w:p>
        </w:tc>
        <w:tc>
          <w:tcPr>
            <w:tcW w:w="1531" w:type="dxa"/>
          </w:tcPr>
          <w:p w:rsidR="00000000" w:rsidRDefault="00000000">
            <w:pPr>
              <w:autoSpaceDE w:val="0"/>
              <w:autoSpaceDN w:val="0"/>
              <w:adjustRightInd w:val="0"/>
              <w:spacing w:before="60" w:after="60"/>
              <w:ind w:left="113"/>
              <w:rPr>
                <w:color w:val="000000"/>
                <w:sz w:val="20"/>
                <w:szCs w:val="22"/>
                <w:lang w:val="fr-FR"/>
              </w:rPr>
            </w:pPr>
            <w:r>
              <w:rPr>
                <w:color w:val="000000"/>
                <w:sz w:val="20"/>
                <w:szCs w:val="22"/>
                <w:lang w:val="fr-FR"/>
              </w:rPr>
              <w:t>Zones urbaines</w:t>
            </w:r>
          </w:p>
        </w:tc>
        <w:tc>
          <w:tcPr>
            <w:tcW w:w="1902"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19,1 </w:t>
            </w:r>
          </w:p>
        </w:tc>
        <w:tc>
          <w:tcPr>
            <w:tcW w:w="1821"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8,3 </w:t>
            </w:r>
          </w:p>
        </w:tc>
        <w:tc>
          <w:tcPr>
            <w:tcW w:w="2037"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0,0  </w:t>
            </w:r>
          </w:p>
        </w:tc>
      </w:tr>
      <w:tr w:rsidR="00000000">
        <w:tblPrEx>
          <w:tblCellMar>
            <w:top w:w="0" w:type="dxa"/>
            <w:bottom w:w="0" w:type="dxa"/>
          </w:tblCellMar>
        </w:tblPrEx>
        <w:trPr>
          <w:jc w:val="center"/>
        </w:trPr>
        <w:tc>
          <w:tcPr>
            <w:tcW w:w="809" w:type="dxa"/>
          </w:tcPr>
          <w:p w:rsidR="00000000" w:rsidRDefault="00000000">
            <w:pPr>
              <w:autoSpaceDE w:val="0"/>
              <w:autoSpaceDN w:val="0"/>
              <w:adjustRightInd w:val="0"/>
              <w:spacing w:before="60" w:after="60"/>
              <w:rPr>
                <w:color w:val="000000"/>
                <w:sz w:val="20"/>
                <w:szCs w:val="22"/>
                <w:lang w:val="fr-FR"/>
              </w:rPr>
            </w:pPr>
          </w:p>
        </w:tc>
        <w:tc>
          <w:tcPr>
            <w:tcW w:w="1531" w:type="dxa"/>
          </w:tcPr>
          <w:p w:rsidR="00000000" w:rsidRDefault="00000000">
            <w:pPr>
              <w:autoSpaceDE w:val="0"/>
              <w:autoSpaceDN w:val="0"/>
              <w:adjustRightInd w:val="0"/>
              <w:spacing w:before="60" w:after="60"/>
              <w:ind w:left="113"/>
              <w:rPr>
                <w:color w:val="000000"/>
                <w:sz w:val="20"/>
                <w:szCs w:val="22"/>
                <w:lang w:val="fr-FR"/>
              </w:rPr>
            </w:pPr>
            <w:r>
              <w:rPr>
                <w:color w:val="000000"/>
                <w:sz w:val="20"/>
                <w:szCs w:val="22"/>
                <w:lang w:val="fr-FR"/>
              </w:rPr>
              <w:t>Zones rurales</w:t>
            </w:r>
          </w:p>
        </w:tc>
        <w:tc>
          <w:tcPr>
            <w:tcW w:w="1902"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27,2 </w:t>
            </w:r>
          </w:p>
        </w:tc>
        <w:tc>
          <w:tcPr>
            <w:tcW w:w="1821"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10,0 </w:t>
            </w:r>
          </w:p>
        </w:tc>
        <w:tc>
          <w:tcPr>
            <w:tcW w:w="2037"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0,0  </w:t>
            </w:r>
          </w:p>
        </w:tc>
      </w:tr>
      <w:tr w:rsidR="00000000">
        <w:tblPrEx>
          <w:tblCellMar>
            <w:top w:w="0" w:type="dxa"/>
            <w:bottom w:w="0" w:type="dxa"/>
          </w:tblCellMar>
        </w:tblPrEx>
        <w:trPr>
          <w:jc w:val="center"/>
        </w:trPr>
        <w:tc>
          <w:tcPr>
            <w:tcW w:w="809" w:type="dxa"/>
          </w:tcPr>
          <w:p w:rsidR="00000000" w:rsidRDefault="00000000">
            <w:pPr>
              <w:autoSpaceDE w:val="0"/>
              <w:autoSpaceDN w:val="0"/>
              <w:adjustRightInd w:val="0"/>
              <w:spacing w:before="60" w:after="60"/>
              <w:rPr>
                <w:color w:val="000000"/>
                <w:sz w:val="20"/>
                <w:szCs w:val="22"/>
                <w:lang w:val="fr-FR"/>
              </w:rPr>
            </w:pPr>
          </w:p>
        </w:tc>
        <w:tc>
          <w:tcPr>
            <w:tcW w:w="1531" w:type="dxa"/>
          </w:tcPr>
          <w:p w:rsidR="00000000" w:rsidRDefault="00000000">
            <w:pPr>
              <w:tabs>
                <w:tab w:val="left" w:pos="341"/>
              </w:tabs>
              <w:autoSpaceDE w:val="0"/>
              <w:autoSpaceDN w:val="0"/>
              <w:adjustRightInd w:val="0"/>
              <w:spacing w:before="60" w:after="60"/>
              <w:ind w:left="113"/>
              <w:rPr>
                <w:color w:val="000000"/>
                <w:sz w:val="20"/>
                <w:szCs w:val="22"/>
                <w:lang w:val="fr-FR"/>
              </w:rPr>
            </w:pPr>
            <w:r>
              <w:rPr>
                <w:color w:val="000000"/>
                <w:sz w:val="20"/>
                <w:szCs w:val="22"/>
                <w:lang w:val="fr-FR"/>
              </w:rPr>
              <w:tab/>
              <w:t xml:space="preserve">Total </w:t>
            </w:r>
          </w:p>
        </w:tc>
        <w:tc>
          <w:tcPr>
            <w:tcW w:w="1902"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25,7 </w:t>
            </w:r>
          </w:p>
        </w:tc>
        <w:tc>
          <w:tcPr>
            <w:tcW w:w="1821"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9,7 </w:t>
            </w:r>
          </w:p>
        </w:tc>
        <w:tc>
          <w:tcPr>
            <w:tcW w:w="2037"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0,0  </w:t>
            </w:r>
          </w:p>
        </w:tc>
      </w:tr>
      <w:tr w:rsidR="00000000">
        <w:tblPrEx>
          <w:tblCellMar>
            <w:top w:w="0" w:type="dxa"/>
            <w:bottom w:w="0" w:type="dxa"/>
          </w:tblCellMar>
        </w:tblPrEx>
        <w:trPr>
          <w:jc w:val="center"/>
        </w:trPr>
        <w:tc>
          <w:tcPr>
            <w:tcW w:w="809"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Total </w:t>
            </w:r>
          </w:p>
        </w:tc>
        <w:tc>
          <w:tcPr>
            <w:tcW w:w="1531" w:type="dxa"/>
          </w:tcPr>
          <w:p w:rsidR="00000000" w:rsidRDefault="00000000">
            <w:pPr>
              <w:autoSpaceDE w:val="0"/>
              <w:autoSpaceDN w:val="0"/>
              <w:adjustRightInd w:val="0"/>
              <w:spacing w:before="60" w:after="60"/>
              <w:ind w:left="113"/>
              <w:rPr>
                <w:color w:val="000000"/>
                <w:sz w:val="20"/>
                <w:szCs w:val="22"/>
                <w:lang w:val="fr-FR"/>
              </w:rPr>
            </w:pPr>
            <w:r>
              <w:rPr>
                <w:color w:val="000000"/>
                <w:sz w:val="20"/>
                <w:szCs w:val="22"/>
                <w:lang w:val="fr-FR"/>
              </w:rPr>
              <w:t>Zones urbaines</w:t>
            </w:r>
          </w:p>
        </w:tc>
        <w:tc>
          <w:tcPr>
            <w:tcW w:w="1902"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22,2 </w:t>
            </w:r>
          </w:p>
        </w:tc>
        <w:tc>
          <w:tcPr>
            <w:tcW w:w="1821"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11,7 </w:t>
            </w:r>
          </w:p>
        </w:tc>
        <w:tc>
          <w:tcPr>
            <w:tcW w:w="2037"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1,9  </w:t>
            </w:r>
          </w:p>
        </w:tc>
      </w:tr>
      <w:tr w:rsidR="00000000">
        <w:tblPrEx>
          <w:tblCellMar>
            <w:top w:w="0" w:type="dxa"/>
            <w:bottom w:w="0" w:type="dxa"/>
          </w:tblCellMar>
        </w:tblPrEx>
        <w:trPr>
          <w:jc w:val="center"/>
        </w:trPr>
        <w:tc>
          <w:tcPr>
            <w:tcW w:w="809" w:type="dxa"/>
          </w:tcPr>
          <w:p w:rsidR="00000000" w:rsidRDefault="00000000">
            <w:pPr>
              <w:autoSpaceDE w:val="0"/>
              <w:autoSpaceDN w:val="0"/>
              <w:adjustRightInd w:val="0"/>
              <w:spacing w:before="60" w:after="60"/>
              <w:rPr>
                <w:color w:val="000000"/>
                <w:sz w:val="20"/>
                <w:szCs w:val="22"/>
                <w:lang w:val="fr-FR"/>
              </w:rPr>
            </w:pPr>
          </w:p>
        </w:tc>
        <w:tc>
          <w:tcPr>
            <w:tcW w:w="1531" w:type="dxa"/>
          </w:tcPr>
          <w:p w:rsidR="00000000" w:rsidRDefault="00000000">
            <w:pPr>
              <w:autoSpaceDE w:val="0"/>
              <w:autoSpaceDN w:val="0"/>
              <w:adjustRightInd w:val="0"/>
              <w:spacing w:before="60" w:after="60"/>
              <w:ind w:left="113"/>
              <w:rPr>
                <w:color w:val="000000"/>
                <w:sz w:val="20"/>
                <w:szCs w:val="22"/>
                <w:lang w:val="fr-FR"/>
              </w:rPr>
            </w:pPr>
            <w:r>
              <w:rPr>
                <w:color w:val="000000"/>
                <w:sz w:val="20"/>
                <w:szCs w:val="22"/>
                <w:lang w:val="fr-FR"/>
              </w:rPr>
              <w:t>Zones rurales</w:t>
            </w:r>
          </w:p>
        </w:tc>
        <w:tc>
          <w:tcPr>
            <w:tcW w:w="1902"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33,0 </w:t>
            </w:r>
          </w:p>
        </w:tc>
        <w:tc>
          <w:tcPr>
            <w:tcW w:w="1821"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18,6 </w:t>
            </w:r>
          </w:p>
        </w:tc>
        <w:tc>
          <w:tcPr>
            <w:tcW w:w="2037"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3,0  </w:t>
            </w:r>
          </w:p>
        </w:tc>
      </w:tr>
      <w:tr w:rsidR="00000000">
        <w:tblPrEx>
          <w:tblCellMar>
            <w:top w:w="0" w:type="dxa"/>
            <w:bottom w:w="0" w:type="dxa"/>
          </w:tblCellMar>
        </w:tblPrEx>
        <w:trPr>
          <w:jc w:val="center"/>
        </w:trPr>
        <w:tc>
          <w:tcPr>
            <w:tcW w:w="809" w:type="dxa"/>
          </w:tcPr>
          <w:p w:rsidR="00000000" w:rsidRDefault="00000000">
            <w:pPr>
              <w:autoSpaceDE w:val="0"/>
              <w:autoSpaceDN w:val="0"/>
              <w:adjustRightInd w:val="0"/>
              <w:spacing w:before="60" w:after="60"/>
              <w:rPr>
                <w:color w:val="000000"/>
                <w:sz w:val="20"/>
                <w:szCs w:val="22"/>
                <w:lang w:val="fr-FR"/>
              </w:rPr>
            </w:pPr>
          </w:p>
        </w:tc>
        <w:tc>
          <w:tcPr>
            <w:tcW w:w="1531" w:type="dxa"/>
          </w:tcPr>
          <w:p w:rsidR="00000000" w:rsidRDefault="00000000">
            <w:pPr>
              <w:tabs>
                <w:tab w:val="left" w:pos="341"/>
              </w:tabs>
              <w:autoSpaceDE w:val="0"/>
              <w:autoSpaceDN w:val="0"/>
              <w:adjustRightInd w:val="0"/>
              <w:spacing w:before="60" w:after="60"/>
              <w:ind w:left="113"/>
              <w:rPr>
                <w:color w:val="000000"/>
                <w:sz w:val="20"/>
                <w:szCs w:val="22"/>
                <w:lang w:val="fr-FR"/>
              </w:rPr>
            </w:pPr>
            <w:r>
              <w:rPr>
                <w:color w:val="000000"/>
                <w:sz w:val="20"/>
                <w:szCs w:val="22"/>
                <w:lang w:val="fr-FR"/>
              </w:rPr>
              <w:tab/>
              <w:t xml:space="preserve">Total </w:t>
            </w:r>
          </w:p>
        </w:tc>
        <w:tc>
          <w:tcPr>
            <w:tcW w:w="1902"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26,7 </w:t>
            </w:r>
          </w:p>
        </w:tc>
        <w:tc>
          <w:tcPr>
            <w:tcW w:w="1821"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14,6 </w:t>
            </w:r>
          </w:p>
        </w:tc>
        <w:tc>
          <w:tcPr>
            <w:tcW w:w="2037" w:type="dxa"/>
          </w:tcPr>
          <w:p w:rsidR="00000000" w:rsidRDefault="00000000">
            <w:pPr>
              <w:tabs>
                <w:tab w:val="decimal" w:pos="893"/>
              </w:tabs>
              <w:autoSpaceDE w:val="0"/>
              <w:autoSpaceDN w:val="0"/>
              <w:adjustRightInd w:val="0"/>
              <w:spacing w:before="60" w:after="60"/>
              <w:rPr>
                <w:color w:val="000000"/>
                <w:sz w:val="20"/>
                <w:szCs w:val="22"/>
                <w:lang w:val="fr-FR"/>
              </w:rPr>
            </w:pPr>
            <w:r>
              <w:rPr>
                <w:color w:val="000000"/>
                <w:sz w:val="20"/>
                <w:szCs w:val="22"/>
                <w:lang w:val="fr-FR"/>
              </w:rPr>
              <w:t xml:space="preserve">2,3  </w:t>
            </w:r>
          </w:p>
        </w:tc>
      </w:tr>
    </w:tbl>
    <w:p w:rsidR="00000000" w:rsidRDefault="00000000">
      <w:pPr>
        <w:spacing w:before="80" w:after="360"/>
        <w:ind w:left="567"/>
        <w:rPr>
          <w:color w:val="000000"/>
          <w:sz w:val="20"/>
          <w:szCs w:val="22"/>
          <w:lang w:val="fr-FR"/>
        </w:rPr>
      </w:pPr>
      <w:r>
        <w:rPr>
          <w:i/>
          <w:iCs/>
          <w:color w:val="000000"/>
          <w:sz w:val="20"/>
          <w:szCs w:val="22"/>
          <w:lang w:val="fr-FR"/>
        </w:rPr>
        <w:t>Source :</w:t>
      </w:r>
      <w:r>
        <w:rPr>
          <w:color w:val="000000"/>
          <w:sz w:val="20"/>
          <w:szCs w:val="22"/>
          <w:lang w:val="fr-FR"/>
        </w:rPr>
        <w:t xml:space="preserve"> Système intégré d'indicateurs sociaux de l'Équateur (SIISE ), Secrétariat d'État au</w:t>
      </w:r>
      <w:r>
        <w:rPr>
          <w:color w:val="000000"/>
          <w:sz w:val="20"/>
          <w:szCs w:val="22"/>
          <w:lang w:val="fr-FR"/>
        </w:rPr>
        <w:br/>
        <w:t>développement humain, 1999</w:t>
      </w:r>
      <w:r>
        <w:rPr>
          <w:rStyle w:val="FootnoteReference"/>
          <w:b/>
          <w:color w:val="000000"/>
          <w:sz w:val="20"/>
          <w:szCs w:val="22"/>
          <w:lang w:val="fr-FR"/>
        </w:rPr>
        <w:footnoteReference w:id="43"/>
      </w:r>
      <w:r>
        <w:rPr>
          <w:color w:val="000000"/>
          <w:sz w:val="20"/>
          <w:szCs w:val="22"/>
          <w:lang w:val="fr-FR"/>
        </w:rPr>
        <w:t>.</w:t>
      </w:r>
    </w:p>
    <w:p w:rsidR="00000000" w:rsidRDefault="00000000">
      <w:pPr>
        <w:spacing w:after="240"/>
        <w:rPr>
          <w:lang w:val="fr-FR"/>
        </w:rPr>
      </w:pPr>
      <w:r>
        <w:rPr>
          <w:lang w:val="fr-FR"/>
        </w:rPr>
        <w:t>303.</w:t>
      </w:r>
      <w:r>
        <w:rPr>
          <w:lang w:val="fr-FR"/>
        </w:rPr>
        <w:tab/>
        <w:t>On note dans le tableau ci-dessus que la prévalence de la malnutrition mesurée par la taille est la plus élevée.  On peut noter que la majorité des cas de malnutrition sont le résultat d'une sous-alimentation chronique associée à d'autres facteurs héréditaires et à des conditions d'hygiène inadéquates, situation beaucoup plus répandue parmi les groupes socioéconomiques marginaux et dans les zones géographiques marginales où vivent les populations autochtone et noire.</w:t>
      </w:r>
    </w:p>
    <w:p w:rsidR="00000000" w:rsidRDefault="00000000">
      <w:pPr>
        <w:spacing w:after="240"/>
        <w:rPr>
          <w:lang w:val="fr-FR"/>
        </w:rPr>
      </w:pPr>
      <w:r>
        <w:rPr>
          <w:lang w:val="fr-FR"/>
        </w:rPr>
        <w:t>304.</w:t>
      </w:r>
      <w:r>
        <w:rPr>
          <w:lang w:val="fr-FR"/>
        </w:rPr>
        <w:tab/>
        <w:t>Étant donné que les conditions de vie ne se sont pas améliorées, et qu’on a même assisté à une paupérisation de la population, ainsi qu’il ressort des indicateurs examinés précédemment, la diminution des taux de malnutrition au cours des dernières années est due pour l’essentiel à la mise en oeuvre de stratégies faisant appel, notamment, à la promotion de l'allaitement maternel et à des programmes élargis d'immunisation exécutés par le Ministère de la santé.  Avec l'adoption de la Loi portant modification de la Loi relative à la maternité gratuite, qui détermine le cadre juridique et financier garantissant l'accès de la population la plus pauvre aux services de santé, on accorde une attention préventive aux nouveau-nés et aux enfants de moins de cinq ans et on assure la gestion décentralisée des fonds affectés par l'intermédiaire des comités de gestion locale et des comités d'usagers qui permettent la participation des organisations de femmes au processus de planification des services.</w:t>
      </w:r>
    </w:p>
    <w:p w:rsidR="00000000" w:rsidRDefault="00000000">
      <w:pPr>
        <w:spacing w:after="240"/>
        <w:rPr>
          <w:lang w:val="fr-FR"/>
        </w:rPr>
      </w:pPr>
      <w:r>
        <w:rPr>
          <w:i/>
          <w:lang w:val="fr-FR"/>
        </w:rPr>
        <w:t>Situation des groupes vulnérables</w:t>
      </w:r>
    </w:p>
    <w:p w:rsidR="00000000" w:rsidRDefault="00000000">
      <w:pPr>
        <w:spacing w:after="240"/>
        <w:rPr>
          <w:lang w:val="fr-FR"/>
        </w:rPr>
      </w:pPr>
      <w:r>
        <w:rPr>
          <w:lang w:val="fr-FR"/>
        </w:rPr>
        <w:t>305.</w:t>
      </w:r>
      <w:r>
        <w:rPr>
          <w:lang w:val="fr-FR"/>
        </w:rPr>
        <w:tab/>
        <w:t>Le Ministère de l'agriculture et de l'élevage travaillé depuis les années 1980 à des programmes axés sur l'amélioration de la condition de la femme.  Il a à présent intensifié ses politiques, programmes et actions pour tenir compte du rôle actuel de la femme, non seulement pour sa fonction de soutien à la production agricole familiale, mais aussi en tant que responsable directe de cette activité en l'absence de l'homme et en raison de la nécessité d'accroître les revenus de la famille.</w:t>
      </w:r>
    </w:p>
    <w:p w:rsidR="00000000" w:rsidRDefault="00000000">
      <w:pPr>
        <w:spacing w:after="240"/>
        <w:rPr>
          <w:lang w:val="fr-FR"/>
        </w:rPr>
      </w:pPr>
      <w:r>
        <w:rPr>
          <w:lang w:val="fr-FR"/>
        </w:rPr>
        <w:t>306.</w:t>
      </w:r>
      <w:r>
        <w:rPr>
          <w:lang w:val="fr-FR"/>
        </w:rPr>
        <w:tab/>
        <w:t>Un autre groupe d'une très grande importance dans le développement du secteur rural est la jeunesse paysanne.  Ces deux groupes (femmes et jeunes des campagnes) sont les bénéficiaires directs des projets de développement lancés par le Ministère, dans l'intérêt bien compris de la famille, de la communauté et du secteur rural.  La Division nationale de la femme, de la jeunesse et de la famille paysannes, créée par l’Accord ministériel N° 180 (</w:t>
      </w:r>
      <w:r>
        <w:rPr>
          <w:i/>
          <w:lang w:val="fr-FR"/>
        </w:rPr>
        <w:t>Journal officiel</w:t>
      </w:r>
      <w:r>
        <w:rPr>
          <w:lang w:val="fr-FR"/>
        </w:rPr>
        <w:t xml:space="preserve"> N° 958 du 3 juin 1996), est responsable de l'exécution de ce programme.</w:t>
      </w:r>
    </w:p>
    <w:p w:rsidR="00000000" w:rsidRDefault="00000000">
      <w:pPr>
        <w:spacing w:after="240"/>
        <w:rPr>
          <w:lang w:val="fr-FR"/>
        </w:rPr>
      </w:pPr>
      <w:r>
        <w:rPr>
          <w:lang w:val="fr-FR"/>
        </w:rPr>
        <w:t>307.</w:t>
      </w:r>
      <w:r>
        <w:rPr>
          <w:lang w:val="fr-FR"/>
        </w:rPr>
        <w:tab/>
        <w:t>La mission de cette Division est de promouvoir des actions concrètes destinées à optimiser les ressources humaines, technologiques, financières et matérielles qui permettront un changement de l'environnement social et économique du secteur rural, par la mise au point de politiques, plans, programmes et projets tenant compte de la promotion de l'égalité des sexes, et respectant et valorisant les coutumes et manifestations culturelles ethniques.</w:t>
      </w:r>
    </w:p>
    <w:p w:rsidR="00000000" w:rsidRDefault="00000000">
      <w:pPr>
        <w:spacing w:after="240"/>
        <w:rPr>
          <w:lang w:val="fr-FR"/>
        </w:rPr>
      </w:pPr>
      <w:r>
        <w:rPr>
          <w:lang w:val="fr-FR"/>
        </w:rPr>
        <w:t>308.</w:t>
      </w:r>
      <w:r>
        <w:rPr>
          <w:lang w:val="fr-FR"/>
        </w:rPr>
        <w:tab/>
        <w:t>La Division se fixe pour objectif d'intégrer dans tous les plans, programmes et projets les préoccupations en matière de promotion de la femme, en mettant au point des méthodes de formation et de transfert de technologie dans une perspective sexospécifique et en élaborant des processus de formation pour la mise en oeuvre de projets productifs.  Elle assure le suivi et le contrôle des projets en cours d'exécution; fournit une aide et des conseils aux organisations sur la gestion administrative et financière et sur le financement des projets; elle coordonne au niveau intra-institutionnel et interinstitutionnel les actions en faveur de la femme, de la jeunesse et de la famille paysanne.</w:t>
      </w:r>
    </w:p>
    <w:p w:rsidR="00000000" w:rsidRDefault="00000000">
      <w:pPr>
        <w:spacing w:after="240"/>
        <w:rPr>
          <w:iCs/>
          <w:lang w:val="fr-FR"/>
        </w:rPr>
      </w:pPr>
      <w:r>
        <w:rPr>
          <w:i/>
          <w:iCs/>
          <w:lang w:val="fr-FR"/>
        </w:rPr>
        <w:br w:type="page"/>
        <w:t>Nouvelles politiques d'application</w:t>
      </w:r>
    </w:p>
    <w:p w:rsidR="00000000" w:rsidRDefault="00000000">
      <w:pPr>
        <w:spacing w:after="240"/>
        <w:rPr>
          <w:iCs/>
          <w:lang w:val="fr-FR"/>
        </w:rPr>
      </w:pPr>
      <w:r>
        <w:rPr>
          <w:iCs/>
          <w:lang w:val="fr-FR"/>
        </w:rPr>
        <w:t>309.</w:t>
      </w:r>
      <w:r>
        <w:rPr>
          <w:iCs/>
          <w:lang w:val="fr-FR"/>
        </w:rPr>
        <w:tab/>
        <w:t>Les restrictions imposées par les politiques d'ajustement que les gouvernements ont appliqué pour rétablir l'équilibre budgétaire ont affecté les catégories de la population à faible revenu.  Au cours des dernières années, les changements démographiques se sont accentués dans le pays, avec notamment un exode rural qui a provoqué une énorme et brutale expansion des zones urbaines marginales, les ceintures de pauvreté, principalement à Quito et à Guayaquil.  Cette migration entraîne des modifications substantielles du mode de vie, notamment des habitudes alimentaires, avec l’augmentation de la consommation de produits qui ne satisfont pas les besoins nutritifs de base, mais qui, du fait de leur faible coût, sont plus accessibles.  Les autres facteurs qui influent sur la disponibilité et la consommation d'aliments sont le niveau d'instruction de la mère, les habitudes et pratiques alimentaires et la qualité et la périodicité de l'approvisionnement en denrées alimentaires.</w:t>
      </w:r>
    </w:p>
    <w:p w:rsidR="00000000" w:rsidRDefault="00000000">
      <w:pPr>
        <w:spacing w:after="240"/>
        <w:rPr>
          <w:iCs/>
          <w:lang w:val="fr-FR"/>
        </w:rPr>
      </w:pPr>
      <w:r>
        <w:rPr>
          <w:b/>
          <w:iCs/>
          <w:lang w:val="fr-FR"/>
        </w:rPr>
        <w:t>Sécurité alimentaire</w:t>
      </w:r>
    </w:p>
    <w:p w:rsidR="00000000" w:rsidRDefault="00000000">
      <w:pPr>
        <w:spacing w:after="240"/>
        <w:rPr>
          <w:iCs/>
          <w:lang w:val="fr-FR"/>
        </w:rPr>
      </w:pPr>
      <w:r>
        <w:rPr>
          <w:iCs/>
          <w:lang w:val="fr-FR"/>
        </w:rPr>
        <w:t>310.</w:t>
      </w:r>
      <w:r>
        <w:rPr>
          <w:iCs/>
          <w:lang w:val="fr-FR"/>
        </w:rPr>
        <w:tab/>
        <w:t>La population pauvre du pays est dans une situation vulnérable du point de vue de la sécurité alimentaire.  Le droit à une alimentation adéquate est un droit fondamental auquel les pouvoirs publics, aux divers niveaux, accordent une attention prioritaire et qu'ils s'efforcent de faire respecter par le recours à diverses mesures.</w:t>
      </w:r>
    </w:p>
    <w:p w:rsidR="00000000" w:rsidRDefault="00000000">
      <w:pPr>
        <w:spacing w:after="240"/>
        <w:rPr>
          <w:iCs/>
          <w:lang w:val="fr-FR"/>
        </w:rPr>
      </w:pPr>
      <w:r>
        <w:rPr>
          <w:iCs/>
          <w:lang w:val="fr-FR"/>
        </w:rPr>
        <w:t>311.</w:t>
      </w:r>
      <w:r>
        <w:rPr>
          <w:iCs/>
          <w:lang w:val="fr-FR"/>
        </w:rPr>
        <w:tab/>
        <w:t>Le Décret exécutif N° 1039 (</w:t>
      </w:r>
      <w:r>
        <w:rPr>
          <w:i/>
          <w:iCs/>
          <w:lang w:val="fr-FR"/>
        </w:rPr>
        <w:t>Journal officiel</w:t>
      </w:r>
      <w:r>
        <w:rPr>
          <w:iCs/>
          <w:lang w:val="fr-FR"/>
        </w:rPr>
        <w:t xml:space="preserve"> N° 234 du 13 janvier 1998) proclame que la sécurité alimentaire de la population équatorienne, et en conséquence les programmes spéciaux dans ce domaine, relèvent de la politique de l'État, avec la création à cet effet du Comité exécutif national de la sécurité alimentaire, qui arrête les directives et politiques à appliquer pour assurer, de façon effective et équitable, la sécurité alimentaire de la population.</w:t>
      </w:r>
    </w:p>
    <w:p w:rsidR="00000000" w:rsidRDefault="00000000">
      <w:pPr>
        <w:spacing w:after="240"/>
        <w:rPr>
          <w:iCs/>
          <w:lang w:val="fr-FR"/>
        </w:rPr>
      </w:pPr>
      <w:r>
        <w:rPr>
          <w:iCs/>
          <w:lang w:val="fr-FR"/>
        </w:rPr>
        <w:t>312.</w:t>
      </w:r>
      <w:r>
        <w:rPr>
          <w:iCs/>
          <w:lang w:val="fr-FR"/>
        </w:rPr>
        <w:tab/>
        <w:t>Le Comité exécutif national pour la sécurité alimentaire est présidé par le Ministère de l'agriculture et de l'élevage; y sont représentés les ministères de la santé, de la protection sociale, de l'éducation, des relations extérieures et de l'environnement, ainsi que d'autres organismes tels que le Bureau de la planification de la Présidence de la République, le Conseil de sécurité nationale, le Conseil national des ressources en eau, le CODENPE, et des organisations non gouvernementales telles que CEQUIPUS, la Fondation de la communication et du développement, RIAD, ainsi que, à titre consultatif, des organismes internationaux comme la FAO, le PNUD et le Programme alimentaire mondial.</w:t>
      </w:r>
    </w:p>
    <w:p w:rsidR="00000000" w:rsidRDefault="00000000">
      <w:pPr>
        <w:spacing w:after="240"/>
        <w:rPr>
          <w:iCs/>
          <w:lang w:val="fr-FR"/>
        </w:rPr>
      </w:pPr>
      <w:r>
        <w:rPr>
          <w:iCs/>
          <w:lang w:val="fr-FR"/>
        </w:rPr>
        <w:t>313.</w:t>
      </w:r>
      <w:r>
        <w:rPr>
          <w:iCs/>
          <w:lang w:val="fr-FR"/>
        </w:rPr>
        <w:tab/>
        <w:t>Le Comité a entrepris, sous les auspices de la FAO, l’exécution du Programme spécial de sécurité alimentaire de l'Équateur (PESAE).</w:t>
      </w:r>
    </w:p>
    <w:p w:rsidR="00000000" w:rsidRDefault="00000000">
      <w:pPr>
        <w:spacing w:after="240"/>
        <w:rPr>
          <w:iCs/>
          <w:lang w:val="fr-FR"/>
        </w:rPr>
      </w:pPr>
      <w:r>
        <w:rPr>
          <w:iCs/>
          <w:lang w:val="fr-FR"/>
        </w:rPr>
        <w:t>314.</w:t>
      </w:r>
      <w:r>
        <w:rPr>
          <w:iCs/>
          <w:lang w:val="fr-FR"/>
        </w:rPr>
        <w:tab/>
        <w:t>Le Programme spécial de sécurité alimentaire de l'Équateur vise à renforcer et à orienter les efforts des institutions publiques et privées, ainsi que des organisations paysannes et des organismes internationaux, consacrés aux aspects sociaux et techniques de la sécurité alimentaire, dans un cadre politique, programmatique et opérationnel adapté à la réalité du pays.</w:t>
      </w:r>
    </w:p>
    <w:p w:rsidR="00000000" w:rsidRDefault="00000000">
      <w:pPr>
        <w:spacing w:after="240"/>
        <w:rPr>
          <w:iCs/>
          <w:lang w:val="fr-FR"/>
        </w:rPr>
      </w:pPr>
      <w:r>
        <w:rPr>
          <w:iCs/>
          <w:lang w:val="fr-FR"/>
        </w:rPr>
        <w:t>315.</w:t>
      </w:r>
      <w:r>
        <w:rPr>
          <w:iCs/>
          <w:lang w:val="fr-FR"/>
        </w:rPr>
        <w:tab/>
        <w:t>Deux projets pilote généraux ou "projets-cadres" sont actuellement exécutés, l'un dans la province de Imbabura (secteur d’Ambuquí), et l'autre dans la province de Manabi, (secteur de Valle del Río Portoviejo).  À ce projet participent des institutions du secteur public, qui apportent leur expérience et leurs ressources dans le domaine de la production agricole.</w:t>
      </w:r>
    </w:p>
    <w:p w:rsidR="00000000" w:rsidRDefault="00000000">
      <w:pPr>
        <w:spacing w:after="240"/>
        <w:rPr>
          <w:iCs/>
          <w:lang w:val="fr-FR"/>
        </w:rPr>
      </w:pPr>
      <w:r>
        <w:rPr>
          <w:iCs/>
          <w:lang w:val="fr-FR"/>
        </w:rPr>
        <w:t>316.</w:t>
      </w:r>
      <w:r>
        <w:rPr>
          <w:iCs/>
          <w:lang w:val="fr-FR"/>
        </w:rPr>
        <w:tab/>
        <w:t>Les programmes en cours d'exécution font office de banc d’essai ou de laboratoire pour l'application de technologies à l'accroissement et à la diversification des cultures traditionnelles et à l'amélioration des méthodes de travail communautaire en vue de parvenir à la sécurité alimentaire qui permettra une meilleure utilisation des ressources en eau et une meilleure gestion environnementale dans les vergers et potagers communaux, l’agri-sylviculture et la pisciculture, l’objectif étant d’accroître les revenus et d’améliorer les conditions de vie.</w:t>
      </w:r>
    </w:p>
    <w:p w:rsidR="00000000" w:rsidRDefault="00000000">
      <w:pPr>
        <w:spacing w:after="240"/>
        <w:rPr>
          <w:iCs/>
          <w:lang w:val="fr-FR"/>
        </w:rPr>
      </w:pPr>
      <w:r>
        <w:rPr>
          <w:iCs/>
          <w:lang w:val="fr-FR"/>
        </w:rPr>
        <w:t>317.</w:t>
      </w:r>
      <w:r>
        <w:rPr>
          <w:iCs/>
          <w:lang w:val="fr-FR"/>
        </w:rPr>
        <w:tab/>
        <w:t>En raison des problèmes phytopathologiques affectant les cultures dans le pays, le Gouvernement a créé l’Institut national d'études agronomiques (INIAP), organisme officiel permanent chargé des activités agricoles.  Le Congrès national, par une loi de 1992, a transformé l’INIAP en entité de droit public décentralisée, dotée de la personnalité juridique et de l'autonomie administrative, économique, financières et techniques, et disposant d'un patrimoine propre et d’un budget spécial.</w:t>
      </w:r>
    </w:p>
    <w:p w:rsidR="00000000" w:rsidRDefault="00000000">
      <w:pPr>
        <w:spacing w:after="240"/>
        <w:rPr>
          <w:iCs/>
          <w:lang w:val="fr-FR"/>
        </w:rPr>
      </w:pPr>
      <w:r>
        <w:rPr>
          <w:iCs/>
          <w:lang w:val="fr-FR"/>
        </w:rPr>
        <w:t>318.</w:t>
      </w:r>
      <w:r>
        <w:rPr>
          <w:iCs/>
          <w:lang w:val="fr-FR"/>
        </w:rPr>
        <w:tab/>
        <w:t>L’INIAP est la principale institution du pays qui a pour fonction de se consacrer à la recherche agricole, en collaboration avec des universités.  Il consacre la majeure porte partie de ses ressources à promouvoir les connaissances, les technologies et les services en fonction des besoins des petits et moyens producteurs, pour les aider à accroître leur production, leur productivité et la qualité de leurs produits afin de répondre à la demande croissante de produits alimentaires, et en tant que moyen d'améliorer les conditions de vie de la population, en favorisant l'équité, et par là la diminution des taux de pauvreté.</w:t>
      </w:r>
    </w:p>
    <w:p w:rsidR="00000000" w:rsidRDefault="00000000">
      <w:pPr>
        <w:spacing w:after="240"/>
        <w:rPr>
          <w:iCs/>
          <w:lang w:val="fr-FR"/>
        </w:rPr>
      </w:pPr>
      <w:r>
        <w:rPr>
          <w:iCs/>
          <w:lang w:val="fr-FR"/>
        </w:rPr>
        <w:t>319.</w:t>
      </w:r>
      <w:r>
        <w:rPr>
          <w:iCs/>
          <w:lang w:val="fr-FR"/>
        </w:rPr>
        <w:tab/>
        <w:t>Pour ce faire, l'Institut doit élaborer les stratégies et mécanismes qui permettent d’assurer une participation effective de ses bénéficiaires, usagers et clients au processus de définition des priorités et, de cette façon, de légitimer son action et d'obtenir et conserver leur appui.</w:t>
      </w:r>
    </w:p>
    <w:p w:rsidR="00000000" w:rsidRDefault="00000000">
      <w:pPr>
        <w:spacing w:after="240"/>
        <w:rPr>
          <w:iCs/>
          <w:lang w:val="fr-FR"/>
        </w:rPr>
      </w:pPr>
      <w:r>
        <w:rPr>
          <w:iCs/>
          <w:lang w:val="fr-FR"/>
        </w:rPr>
        <w:t>320.</w:t>
      </w:r>
      <w:r>
        <w:rPr>
          <w:iCs/>
          <w:lang w:val="fr-FR"/>
        </w:rPr>
        <w:tab/>
        <w:t>L'INIAP a pour mission de "fournir des techniques et services agricoles" pour répondre aux besoins suivants :</w:t>
      </w:r>
    </w:p>
    <w:p w:rsidR="00000000" w:rsidRDefault="00000000">
      <w:pPr>
        <w:numPr>
          <w:ilvl w:val="0"/>
          <w:numId w:val="57"/>
        </w:numPr>
        <w:spacing w:after="240"/>
        <w:rPr>
          <w:iCs/>
          <w:lang w:val="fr-FR"/>
        </w:rPr>
      </w:pPr>
      <w:r>
        <w:rPr>
          <w:iCs/>
          <w:lang w:val="fr-FR"/>
        </w:rPr>
        <w:t>Étudier, développer et appliquer les connaissances scientifiques et technologiques propres à assurer une exploitation, utilisation et conservation rationnelles des ressources naturelles du secteur agricole;</w:t>
      </w:r>
    </w:p>
    <w:p w:rsidR="00000000" w:rsidRDefault="00000000">
      <w:pPr>
        <w:numPr>
          <w:ilvl w:val="0"/>
          <w:numId w:val="57"/>
        </w:numPr>
        <w:spacing w:after="240"/>
        <w:rPr>
          <w:iCs/>
          <w:lang w:val="fr-FR"/>
        </w:rPr>
      </w:pPr>
      <w:r>
        <w:rPr>
          <w:iCs/>
          <w:lang w:val="fr-FR"/>
        </w:rPr>
        <w:t>Contribuer à l'accroissement soutenu de la production et de la productivité agricoles et à l'amélioration qualitative des produits de l'agriculture par la mise au point, l'adaptation, la validation et le transfert de technologies.</w:t>
      </w:r>
    </w:p>
    <w:p w:rsidR="00000000" w:rsidRDefault="00000000">
      <w:pPr>
        <w:spacing w:after="240"/>
        <w:rPr>
          <w:iCs/>
          <w:lang w:val="fr-FR"/>
        </w:rPr>
      </w:pPr>
      <w:r>
        <w:rPr>
          <w:iCs/>
          <w:lang w:val="fr-FR"/>
        </w:rPr>
        <w:t>321.</w:t>
      </w:r>
      <w:r>
        <w:rPr>
          <w:iCs/>
          <w:lang w:val="fr-FR"/>
        </w:rPr>
        <w:tab/>
        <w:t>L’INIAP possède sept stations expérimentales et huit fermes situés dans différentes régions du pays.</w:t>
      </w:r>
    </w:p>
    <w:p w:rsidR="00000000" w:rsidRDefault="00000000">
      <w:pPr>
        <w:spacing w:after="240"/>
        <w:rPr>
          <w:iCs/>
          <w:lang w:val="fr-FR"/>
        </w:rPr>
      </w:pPr>
      <w:r>
        <w:rPr>
          <w:iCs/>
          <w:lang w:val="fr-FR"/>
        </w:rPr>
        <w:t>322.</w:t>
      </w:r>
      <w:r>
        <w:rPr>
          <w:iCs/>
          <w:lang w:val="fr-FR"/>
        </w:rPr>
        <w:tab/>
        <w:t>Il est actif dans quatre domaines : la recherche, le transfert de technologie et la formation, la production et la commercialisation de semences, la fourniture de services techniques d'appui.</w:t>
      </w:r>
    </w:p>
    <w:p w:rsidR="00000000" w:rsidRDefault="00000000">
      <w:pPr>
        <w:spacing w:after="240"/>
        <w:rPr>
          <w:iCs/>
          <w:lang w:val="fr-FR"/>
        </w:rPr>
      </w:pPr>
      <w:r>
        <w:rPr>
          <w:iCs/>
          <w:lang w:val="fr-FR"/>
        </w:rPr>
        <w:t>323.</w:t>
      </w:r>
      <w:r>
        <w:rPr>
          <w:iCs/>
          <w:lang w:val="fr-FR"/>
        </w:rPr>
        <w:tab/>
        <w:t>Les travaux de l'INIAP dans le domaine de la recherche scientifique ont permis de développer, de valider et de transférer des connaissances et technologies qui ont contribué à l'accroissement de la production et de la productivité.  Les résultats de ces travaux se sont traduits par la mise au point de plus de 160 variétés améliorées ― caractérisées par un haut rendement, une forte résistance ou tolérance aux nuisibles et maladies et une grande adaptabilité aux diverses zones agroécologiques du pays ― pour diverses cultures : riz, sésame, coton, avoine, cacao, café, caupi, orge, haricots, fèves, ricin, lentilles, maïs, arachide, mangue, palmier à huile, pomme de terre, fourrage, poivre, quinoa, triticale et diverses espèces de fruits.</w:t>
      </w:r>
    </w:p>
    <w:p w:rsidR="00000000" w:rsidRDefault="00000000">
      <w:pPr>
        <w:spacing w:after="240"/>
        <w:rPr>
          <w:iCs/>
          <w:lang w:val="fr-FR"/>
        </w:rPr>
      </w:pPr>
      <w:r>
        <w:rPr>
          <w:iCs/>
          <w:lang w:val="fr-FR"/>
        </w:rPr>
        <w:t>324.</w:t>
      </w:r>
      <w:r>
        <w:rPr>
          <w:iCs/>
          <w:lang w:val="fr-FR"/>
        </w:rPr>
        <w:tab/>
        <w:t>Parallèlement à l’élaboration de nouvelles variétés, de nouvelles techniques ont été mises au point en ce qui concerne : les pratiques culturales, la lutte contre les nuisibles, les maladies et les mauvaises herbes; l'application rationnelle des engrais; les zones, époques et densités d'ensemencement et la gestion de l'après-récolte.</w:t>
      </w:r>
    </w:p>
    <w:p w:rsidR="00000000" w:rsidRDefault="00000000">
      <w:pPr>
        <w:spacing w:after="240"/>
        <w:rPr>
          <w:iCs/>
          <w:lang w:val="fr-FR"/>
        </w:rPr>
      </w:pPr>
      <w:r>
        <w:rPr>
          <w:iCs/>
          <w:lang w:val="fr-FR"/>
        </w:rPr>
        <w:t>325.</w:t>
      </w:r>
      <w:r>
        <w:rPr>
          <w:iCs/>
          <w:lang w:val="fr-FR"/>
        </w:rPr>
        <w:tab/>
        <w:t>Dans le secteur de l'élevage, l'INIAP a mis au point des techniques de gestion de la nutrition des bovins et du petit bétail pour trois régions du pays.  Il a aussi consacré d'innombrables travaux à l'introduction et à l’adaptation de variétés de graminées et de légumineuses en vue d'accroître la capacité de production des diverses zones d'élevage de l'Équateur</w:t>
      </w:r>
      <w:r>
        <w:rPr>
          <w:rStyle w:val="FootnoteReference"/>
          <w:b/>
          <w:iCs/>
          <w:lang w:val="fr-FR"/>
        </w:rPr>
        <w:footnoteReference w:id="44"/>
      </w:r>
      <w:r>
        <w:rPr>
          <w:iCs/>
          <w:lang w:val="fr-FR"/>
        </w:rPr>
        <w:t>.</w:t>
      </w:r>
    </w:p>
    <w:p w:rsidR="00000000" w:rsidRDefault="00000000">
      <w:pPr>
        <w:spacing w:after="240"/>
        <w:rPr>
          <w:iCs/>
          <w:lang w:val="fr-FR"/>
        </w:rPr>
      </w:pPr>
      <w:r>
        <w:rPr>
          <w:i/>
          <w:iCs/>
          <w:lang w:val="fr-FR"/>
        </w:rPr>
        <w:t>Diffusion du programme de nutrition</w:t>
      </w:r>
    </w:p>
    <w:p w:rsidR="00000000" w:rsidRDefault="00000000">
      <w:pPr>
        <w:spacing w:after="240"/>
        <w:rPr>
          <w:iCs/>
          <w:lang w:val="fr-FR"/>
        </w:rPr>
      </w:pPr>
      <w:r>
        <w:rPr>
          <w:iCs/>
          <w:lang w:val="fr-FR"/>
        </w:rPr>
        <w:t>326.</w:t>
      </w:r>
      <w:r>
        <w:rPr>
          <w:iCs/>
          <w:lang w:val="fr-FR"/>
        </w:rPr>
        <w:tab/>
        <w:t>Le Ministère de la santé, dans le cadre de son Plan national pour la santé, et le Programme national pour l'alimentation et la nutrition, mettent en œuvre une stratégie d'action conjointe (le PANN 2000) qui comprend diverses composantes.  L’une de ces composante est le projet "Un repas pour chaque enfant", relatif à l'apport de compléments alimentaires pour les enfants de moins de deux ans, les femmes enceintes et les mères allaitantes.  L'objet de ce projet est de prévenir les retards de croissance et les dommages de la malnutrition liés aux carences en calories, protéines et micronutriments (vitamines A, fer, zinc) parmi les enfants de moins de deux ans et d'améliorer l’état nutritionnel des femmes enceintes et allaitantes par un changement des pratiques et habitudes culturelles en matière d'allaitement maternel et d'alimentation des jeunes enfants.</w:t>
      </w:r>
    </w:p>
    <w:p w:rsidR="00000000" w:rsidRDefault="00000000">
      <w:pPr>
        <w:spacing w:after="240"/>
        <w:rPr>
          <w:iCs/>
          <w:lang w:val="fr-FR"/>
        </w:rPr>
      </w:pPr>
      <w:r>
        <w:rPr>
          <w:iCs/>
          <w:lang w:val="fr-FR"/>
        </w:rPr>
        <w:t>327.</w:t>
      </w:r>
      <w:r>
        <w:rPr>
          <w:iCs/>
          <w:lang w:val="fr-FR"/>
        </w:rPr>
        <w:tab/>
        <w:t>La population cible du programme comprend 652 189 bénéficiaires.  Le programme devait toucher 40 % de la population cible (246 000 personnes) en l'an 2000, 70 % (456 000 personnes) en 2001 et la totalité de la population cible (652 000) à partir de 2002.  Sa mise en œuvre a été planifiée dans les 230 districts les plus pauvres du pays, qui représentent le premier quintile de pauvreté, soit environ un million d'habitants.  Au cours de cette phase, on investira des ressources provenant de projets du Ministère de la santé et du Ministère de l'agriculture et du Programme alimentaire mondial, ainsi que des ressources provenant de l’Initiative Micronutriments de l’Organisation panaméricaine de la santé/Organisation mondiale de la santé (OPS/OMS).</w:t>
      </w:r>
    </w:p>
    <w:p w:rsidR="00000000" w:rsidRDefault="00000000">
      <w:pPr>
        <w:spacing w:after="240"/>
        <w:rPr>
          <w:iCs/>
          <w:lang w:val="fr-FR"/>
        </w:rPr>
      </w:pPr>
    </w:p>
    <w:tbl>
      <w:tblPr>
        <w:tblW w:w="8505"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786"/>
        <w:gridCol w:w="1906"/>
        <w:gridCol w:w="1906"/>
        <w:gridCol w:w="1907"/>
      </w:tblGrid>
      <w:tr w:rsidR="00000000">
        <w:tblPrEx>
          <w:tblCellMar>
            <w:top w:w="0" w:type="dxa"/>
            <w:bottom w:w="0" w:type="dxa"/>
          </w:tblCellMar>
        </w:tblPrEx>
        <w:trPr>
          <w:jc w:val="center"/>
        </w:trPr>
        <w:tc>
          <w:tcPr>
            <w:tcW w:w="2786"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p>
        </w:tc>
        <w:tc>
          <w:tcPr>
            <w:tcW w:w="1906"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Total</w:t>
            </w:r>
          </w:p>
        </w:tc>
        <w:tc>
          <w:tcPr>
            <w:tcW w:w="1906"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Secteur urbain</w:t>
            </w:r>
          </w:p>
        </w:tc>
        <w:tc>
          <w:tcPr>
            <w:tcW w:w="1907"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Secteur rural</w:t>
            </w:r>
          </w:p>
        </w:tc>
      </w:tr>
      <w:tr w:rsidR="00000000">
        <w:tblPrEx>
          <w:tblCellMar>
            <w:top w:w="0" w:type="dxa"/>
            <w:bottom w:w="0" w:type="dxa"/>
          </w:tblCellMar>
        </w:tblPrEx>
        <w:trPr>
          <w:jc w:val="center"/>
        </w:trPr>
        <w:tc>
          <w:tcPr>
            <w:tcW w:w="2786" w:type="dxa"/>
            <w:tcBorders>
              <w:top w:val="single" w:sz="4" w:space="0" w:color="auto"/>
            </w:tcBorders>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Enfant de 0 à 24 mois </w:t>
            </w:r>
          </w:p>
        </w:tc>
        <w:tc>
          <w:tcPr>
            <w:tcW w:w="1906" w:type="dxa"/>
            <w:tcBorders>
              <w:top w:val="single" w:sz="4" w:space="0" w:color="auto"/>
            </w:tcBorders>
          </w:tcPr>
          <w:p w:rsidR="00000000" w:rsidRDefault="00000000">
            <w:pPr>
              <w:autoSpaceDE w:val="0"/>
              <w:autoSpaceDN w:val="0"/>
              <w:adjustRightInd w:val="0"/>
              <w:spacing w:before="60" w:after="60"/>
              <w:ind w:right="576"/>
              <w:jc w:val="right"/>
              <w:rPr>
                <w:color w:val="000000"/>
                <w:sz w:val="20"/>
                <w:szCs w:val="22"/>
                <w:lang w:val="fr-FR"/>
              </w:rPr>
            </w:pPr>
            <w:r>
              <w:rPr>
                <w:color w:val="000000"/>
                <w:sz w:val="20"/>
                <w:szCs w:val="22"/>
                <w:lang w:val="fr-FR"/>
              </w:rPr>
              <w:t xml:space="preserve">242 000 </w:t>
            </w:r>
          </w:p>
        </w:tc>
        <w:tc>
          <w:tcPr>
            <w:tcW w:w="1906" w:type="dxa"/>
            <w:tcBorders>
              <w:top w:val="single" w:sz="4" w:space="0" w:color="auto"/>
            </w:tcBorders>
          </w:tcPr>
          <w:p w:rsidR="00000000" w:rsidRDefault="00000000">
            <w:pPr>
              <w:autoSpaceDE w:val="0"/>
              <w:autoSpaceDN w:val="0"/>
              <w:adjustRightInd w:val="0"/>
              <w:spacing w:before="60" w:after="60"/>
              <w:ind w:right="576"/>
              <w:jc w:val="right"/>
              <w:rPr>
                <w:color w:val="000000"/>
                <w:sz w:val="20"/>
                <w:szCs w:val="22"/>
                <w:lang w:val="fr-FR"/>
              </w:rPr>
            </w:pPr>
            <w:r>
              <w:rPr>
                <w:color w:val="000000"/>
                <w:sz w:val="20"/>
                <w:szCs w:val="22"/>
                <w:lang w:val="fr-FR"/>
              </w:rPr>
              <w:t xml:space="preserve">112 000 </w:t>
            </w:r>
          </w:p>
        </w:tc>
        <w:tc>
          <w:tcPr>
            <w:tcW w:w="1907" w:type="dxa"/>
            <w:tcBorders>
              <w:top w:val="single" w:sz="4" w:space="0" w:color="auto"/>
            </w:tcBorders>
          </w:tcPr>
          <w:p w:rsidR="00000000" w:rsidRDefault="00000000">
            <w:pPr>
              <w:autoSpaceDE w:val="0"/>
              <w:autoSpaceDN w:val="0"/>
              <w:adjustRightInd w:val="0"/>
              <w:spacing w:before="60" w:after="60"/>
              <w:ind w:right="576"/>
              <w:jc w:val="right"/>
              <w:rPr>
                <w:color w:val="000000"/>
                <w:sz w:val="20"/>
                <w:szCs w:val="22"/>
                <w:lang w:val="fr-FR"/>
              </w:rPr>
            </w:pPr>
            <w:r>
              <w:rPr>
                <w:color w:val="000000"/>
                <w:sz w:val="20"/>
                <w:szCs w:val="22"/>
                <w:lang w:val="fr-FR"/>
              </w:rPr>
              <w:t xml:space="preserve">130 000  </w:t>
            </w:r>
          </w:p>
        </w:tc>
      </w:tr>
      <w:tr w:rsidR="00000000">
        <w:tblPrEx>
          <w:tblCellMar>
            <w:top w:w="0" w:type="dxa"/>
            <w:bottom w:w="0" w:type="dxa"/>
          </w:tblCellMar>
        </w:tblPrEx>
        <w:trPr>
          <w:jc w:val="center"/>
        </w:trPr>
        <w:tc>
          <w:tcPr>
            <w:tcW w:w="2786"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Femmes enceintes </w:t>
            </w:r>
          </w:p>
        </w:tc>
        <w:tc>
          <w:tcPr>
            <w:tcW w:w="1906" w:type="dxa"/>
          </w:tcPr>
          <w:p w:rsidR="00000000" w:rsidRDefault="00000000">
            <w:pPr>
              <w:autoSpaceDE w:val="0"/>
              <w:autoSpaceDN w:val="0"/>
              <w:adjustRightInd w:val="0"/>
              <w:spacing w:before="60" w:after="60"/>
              <w:ind w:right="576"/>
              <w:jc w:val="right"/>
              <w:rPr>
                <w:color w:val="000000"/>
                <w:sz w:val="20"/>
                <w:szCs w:val="22"/>
                <w:lang w:val="fr-FR"/>
              </w:rPr>
            </w:pPr>
            <w:r>
              <w:rPr>
                <w:color w:val="000000"/>
                <w:sz w:val="20"/>
                <w:szCs w:val="22"/>
                <w:lang w:val="fr-FR"/>
              </w:rPr>
              <w:t xml:space="preserve">205 000 </w:t>
            </w:r>
          </w:p>
        </w:tc>
        <w:tc>
          <w:tcPr>
            <w:tcW w:w="1906" w:type="dxa"/>
          </w:tcPr>
          <w:p w:rsidR="00000000" w:rsidRDefault="00000000">
            <w:pPr>
              <w:autoSpaceDE w:val="0"/>
              <w:autoSpaceDN w:val="0"/>
              <w:adjustRightInd w:val="0"/>
              <w:spacing w:before="60" w:after="60"/>
              <w:ind w:right="576"/>
              <w:jc w:val="right"/>
              <w:rPr>
                <w:color w:val="000000"/>
                <w:sz w:val="20"/>
                <w:szCs w:val="22"/>
                <w:lang w:val="fr-FR"/>
              </w:rPr>
            </w:pPr>
            <w:r>
              <w:rPr>
                <w:color w:val="000000"/>
                <w:sz w:val="20"/>
                <w:szCs w:val="22"/>
                <w:lang w:val="fr-FR"/>
              </w:rPr>
              <w:t xml:space="preserve">95 000 </w:t>
            </w:r>
          </w:p>
        </w:tc>
        <w:tc>
          <w:tcPr>
            <w:tcW w:w="1907" w:type="dxa"/>
          </w:tcPr>
          <w:p w:rsidR="00000000" w:rsidRDefault="00000000">
            <w:pPr>
              <w:autoSpaceDE w:val="0"/>
              <w:autoSpaceDN w:val="0"/>
              <w:adjustRightInd w:val="0"/>
              <w:spacing w:before="60" w:after="60"/>
              <w:ind w:right="576"/>
              <w:jc w:val="right"/>
              <w:rPr>
                <w:color w:val="000000"/>
                <w:sz w:val="20"/>
                <w:szCs w:val="22"/>
                <w:lang w:val="fr-FR"/>
              </w:rPr>
            </w:pPr>
            <w:r>
              <w:rPr>
                <w:color w:val="000000"/>
                <w:sz w:val="20"/>
                <w:szCs w:val="22"/>
                <w:lang w:val="fr-FR"/>
              </w:rPr>
              <w:t xml:space="preserve">110 000  </w:t>
            </w:r>
          </w:p>
        </w:tc>
      </w:tr>
      <w:tr w:rsidR="00000000">
        <w:tblPrEx>
          <w:tblCellMar>
            <w:top w:w="0" w:type="dxa"/>
            <w:bottom w:w="0" w:type="dxa"/>
          </w:tblCellMar>
        </w:tblPrEx>
        <w:trPr>
          <w:jc w:val="center"/>
        </w:trPr>
        <w:tc>
          <w:tcPr>
            <w:tcW w:w="2786"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Femmes allaitantes </w:t>
            </w:r>
          </w:p>
        </w:tc>
        <w:tc>
          <w:tcPr>
            <w:tcW w:w="1906" w:type="dxa"/>
          </w:tcPr>
          <w:p w:rsidR="00000000" w:rsidRDefault="00000000">
            <w:pPr>
              <w:autoSpaceDE w:val="0"/>
              <w:autoSpaceDN w:val="0"/>
              <w:adjustRightInd w:val="0"/>
              <w:spacing w:before="60" w:after="60"/>
              <w:ind w:right="576"/>
              <w:jc w:val="right"/>
              <w:rPr>
                <w:color w:val="000000"/>
                <w:sz w:val="20"/>
                <w:szCs w:val="22"/>
                <w:lang w:val="fr-FR"/>
              </w:rPr>
            </w:pPr>
            <w:r>
              <w:rPr>
                <w:color w:val="000000"/>
                <w:sz w:val="20"/>
                <w:szCs w:val="22"/>
                <w:lang w:val="fr-FR"/>
              </w:rPr>
              <w:t xml:space="preserve">205 000 </w:t>
            </w:r>
          </w:p>
        </w:tc>
        <w:tc>
          <w:tcPr>
            <w:tcW w:w="1906" w:type="dxa"/>
          </w:tcPr>
          <w:p w:rsidR="00000000" w:rsidRDefault="00000000">
            <w:pPr>
              <w:autoSpaceDE w:val="0"/>
              <w:autoSpaceDN w:val="0"/>
              <w:adjustRightInd w:val="0"/>
              <w:spacing w:before="60" w:after="60"/>
              <w:ind w:right="576"/>
              <w:jc w:val="right"/>
              <w:rPr>
                <w:color w:val="000000"/>
                <w:sz w:val="20"/>
                <w:szCs w:val="22"/>
                <w:lang w:val="fr-FR"/>
              </w:rPr>
            </w:pPr>
            <w:r>
              <w:rPr>
                <w:color w:val="000000"/>
                <w:sz w:val="20"/>
                <w:szCs w:val="22"/>
                <w:lang w:val="fr-FR"/>
              </w:rPr>
              <w:t xml:space="preserve">95 000 </w:t>
            </w:r>
          </w:p>
        </w:tc>
        <w:tc>
          <w:tcPr>
            <w:tcW w:w="1907" w:type="dxa"/>
          </w:tcPr>
          <w:p w:rsidR="00000000" w:rsidRDefault="00000000">
            <w:pPr>
              <w:autoSpaceDE w:val="0"/>
              <w:autoSpaceDN w:val="0"/>
              <w:adjustRightInd w:val="0"/>
              <w:spacing w:before="60" w:after="60"/>
              <w:ind w:right="576"/>
              <w:jc w:val="right"/>
              <w:rPr>
                <w:color w:val="000000"/>
                <w:sz w:val="20"/>
                <w:szCs w:val="22"/>
                <w:lang w:val="fr-FR"/>
              </w:rPr>
            </w:pPr>
            <w:r>
              <w:rPr>
                <w:color w:val="000000"/>
                <w:sz w:val="20"/>
                <w:szCs w:val="22"/>
                <w:lang w:val="fr-FR"/>
              </w:rPr>
              <w:t xml:space="preserve">110 000  </w:t>
            </w:r>
          </w:p>
        </w:tc>
      </w:tr>
      <w:tr w:rsidR="00000000">
        <w:tblPrEx>
          <w:tblCellMar>
            <w:top w:w="0" w:type="dxa"/>
            <w:bottom w:w="0" w:type="dxa"/>
          </w:tblCellMar>
        </w:tblPrEx>
        <w:trPr>
          <w:jc w:val="center"/>
        </w:trPr>
        <w:tc>
          <w:tcPr>
            <w:tcW w:w="2786"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  Total </w:t>
            </w:r>
          </w:p>
        </w:tc>
        <w:tc>
          <w:tcPr>
            <w:tcW w:w="1906" w:type="dxa"/>
          </w:tcPr>
          <w:p w:rsidR="00000000" w:rsidRDefault="00000000">
            <w:pPr>
              <w:autoSpaceDE w:val="0"/>
              <w:autoSpaceDN w:val="0"/>
              <w:adjustRightInd w:val="0"/>
              <w:spacing w:before="60" w:after="60"/>
              <w:ind w:right="576"/>
              <w:jc w:val="right"/>
              <w:rPr>
                <w:color w:val="000000"/>
                <w:sz w:val="20"/>
                <w:szCs w:val="22"/>
                <w:lang w:val="fr-FR"/>
              </w:rPr>
            </w:pPr>
            <w:r>
              <w:rPr>
                <w:color w:val="000000"/>
                <w:sz w:val="20"/>
                <w:szCs w:val="22"/>
                <w:lang w:val="fr-FR"/>
              </w:rPr>
              <w:t xml:space="preserve">652 000 </w:t>
            </w:r>
          </w:p>
        </w:tc>
        <w:tc>
          <w:tcPr>
            <w:tcW w:w="1906" w:type="dxa"/>
          </w:tcPr>
          <w:p w:rsidR="00000000" w:rsidRDefault="00000000">
            <w:pPr>
              <w:autoSpaceDE w:val="0"/>
              <w:autoSpaceDN w:val="0"/>
              <w:adjustRightInd w:val="0"/>
              <w:spacing w:before="60" w:after="60"/>
              <w:ind w:right="576"/>
              <w:jc w:val="right"/>
              <w:rPr>
                <w:color w:val="000000"/>
                <w:sz w:val="20"/>
                <w:szCs w:val="22"/>
                <w:lang w:val="fr-FR"/>
              </w:rPr>
            </w:pPr>
            <w:r>
              <w:rPr>
                <w:color w:val="000000"/>
                <w:sz w:val="20"/>
                <w:szCs w:val="22"/>
                <w:lang w:val="fr-FR"/>
              </w:rPr>
              <w:t xml:space="preserve">302 000 </w:t>
            </w:r>
          </w:p>
        </w:tc>
        <w:tc>
          <w:tcPr>
            <w:tcW w:w="1907" w:type="dxa"/>
          </w:tcPr>
          <w:p w:rsidR="00000000" w:rsidRDefault="00000000">
            <w:pPr>
              <w:autoSpaceDE w:val="0"/>
              <w:autoSpaceDN w:val="0"/>
              <w:adjustRightInd w:val="0"/>
              <w:spacing w:before="60" w:after="60"/>
              <w:ind w:right="576"/>
              <w:jc w:val="right"/>
              <w:rPr>
                <w:color w:val="000000"/>
                <w:sz w:val="20"/>
                <w:szCs w:val="22"/>
                <w:lang w:val="fr-FR"/>
              </w:rPr>
            </w:pPr>
            <w:r>
              <w:rPr>
                <w:color w:val="000000"/>
                <w:sz w:val="20"/>
                <w:szCs w:val="22"/>
                <w:lang w:val="fr-FR"/>
              </w:rPr>
              <w:t xml:space="preserve">350 000  </w:t>
            </w:r>
          </w:p>
        </w:tc>
      </w:tr>
    </w:tbl>
    <w:p w:rsidR="00000000" w:rsidRDefault="00000000">
      <w:pPr>
        <w:spacing w:after="240"/>
        <w:rPr>
          <w:iCs/>
          <w:lang w:val="fr-FR"/>
        </w:rPr>
      </w:pPr>
    </w:p>
    <w:p w:rsidR="00000000" w:rsidRDefault="00000000">
      <w:pPr>
        <w:spacing w:after="240"/>
        <w:rPr>
          <w:iCs/>
          <w:lang w:val="fr-FR"/>
        </w:rPr>
      </w:pPr>
      <w:r>
        <w:rPr>
          <w:iCs/>
          <w:lang w:val="fr-FR"/>
        </w:rPr>
        <w:t>328.</w:t>
      </w:r>
      <w:r>
        <w:rPr>
          <w:iCs/>
          <w:lang w:val="fr-FR"/>
        </w:rPr>
        <w:tab/>
        <w:t>Un programme national relatif au micronutriments, et faisant appel à l’enrichissement des aliments et aux compléments alimentaires pour faire face aux problèmes de carences spécifiques en vitamines et minéraux (fer, vitamine A, iode, fluor) a été élaboré pour faire face à la forte prévalence de déficiences en micronutriments dans la population équatorienne.  Ce programme a les objectifs ci-après:</w:t>
      </w:r>
    </w:p>
    <w:p w:rsidR="00000000" w:rsidRDefault="00000000">
      <w:pPr>
        <w:numPr>
          <w:ilvl w:val="0"/>
          <w:numId w:val="59"/>
        </w:numPr>
        <w:spacing w:after="240"/>
        <w:rPr>
          <w:iCs/>
          <w:lang w:val="fr-FR"/>
        </w:rPr>
      </w:pPr>
      <w:r>
        <w:rPr>
          <w:iCs/>
          <w:lang w:val="fr-FR"/>
        </w:rPr>
        <w:t>En richir les aliments de consommation de masse par des micronutriments dont la déficience peut nuire à la santé de la population, tels que l’iode, le fluor, le fer, la vitamine A;</w:t>
      </w:r>
    </w:p>
    <w:p w:rsidR="00000000" w:rsidRDefault="00000000">
      <w:pPr>
        <w:numPr>
          <w:ilvl w:val="0"/>
          <w:numId w:val="59"/>
        </w:numPr>
        <w:spacing w:after="240"/>
        <w:rPr>
          <w:iCs/>
          <w:lang w:val="fr-FR"/>
        </w:rPr>
      </w:pPr>
      <w:r>
        <w:rPr>
          <w:iCs/>
          <w:lang w:val="fr-FR"/>
        </w:rPr>
        <w:t>Aider la population à risque, au moyen de services de santé et d’actions telles que les campagnes de vaccination;</w:t>
      </w:r>
    </w:p>
    <w:p w:rsidR="00000000" w:rsidRDefault="00000000">
      <w:pPr>
        <w:numPr>
          <w:ilvl w:val="0"/>
          <w:numId w:val="59"/>
        </w:numPr>
        <w:spacing w:after="240"/>
        <w:rPr>
          <w:iCs/>
          <w:lang w:val="fr-FR"/>
        </w:rPr>
      </w:pPr>
      <w:r>
        <w:rPr>
          <w:iCs/>
          <w:lang w:val="fr-FR"/>
        </w:rPr>
        <w:t>Définir des stratégies de recherche, d'éducation et de communication qui permette de promouvoir la consommation raisonnable de micronutriments dans le régime alimentaire familial.</w:t>
      </w:r>
    </w:p>
    <w:p w:rsidR="00000000" w:rsidRDefault="00000000">
      <w:pPr>
        <w:spacing w:after="240"/>
        <w:rPr>
          <w:iCs/>
          <w:lang w:val="fr-FR"/>
        </w:rPr>
      </w:pPr>
      <w:r>
        <w:rPr>
          <w:iCs/>
          <w:lang w:val="fr-FR"/>
        </w:rPr>
        <w:t>329.</w:t>
      </w:r>
      <w:r>
        <w:rPr>
          <w:iCs/>
          <w:lang w:val="fr-FR"/>
        </w:rPr>
        <w:tab/>
        <w:t>Le Fonds de solidarité pour la mère et l’enfant est un mécanisme d’allocations directes en faveur des mères enceintes et des enfants de moins de deux ans.  L'objet de cette composante est d’encourager les contrôles de santé pendant la grossesse et la période post-partum, pour aider la population pauvre et lutter contre la mortalité et la malnutrition par le versement d'une allocation bimensuelle de cinq dollars à la mère enceinte, remis par l'intermédiaire des services de santé à chaque contrôle de grossesse, et d'une allocation de cinq dollars pour chaque contrôle de santé d'un enfant de moins de deux ans.  Ce système est destiné aux mères enceintes et enfants de moins de deux ans de l’ensemble du pays, sauf dans les districts urbains des quinze villes de plus de 100 000 habitants.</w:t>
      </w:r>
    </w:p>
    <w:p w:rsidR="00000000" w:rsidRDefault="00000000">
      <w:pPr>
        <w:spacing w:after="240"/>
        <w:rPr>
          <w:iCs/>
          <w:lang w:val="fr-FR"/>
        </w:rPr>
      </w:pPr>
      <w:r>
        <w:rPr>
          <w:iCs/>
          <w:lang w:val="fr-FR"/>
        </w:rPr>
        <w:t>330.</w:t>
      </w:r>
      <w:r>
        <w:rPr>
          <w:iCs/>
          <w:lang w:val="fr-FR"/>
        </w:rPr>
        <w:tab/>
        <w:t>Composante "développement local" : mécanisme de financement d'initiatives locales de micro-production et d'interventions coordonnées de programmes de soins infantiles avec les Ministères de la santé, de l'agriculture, du travail et de l'action sociale (ORI), de l'éducation et de la culture (PROCALMUC) et de l'INNFA.  Le Ministère de la santé, dans le cadre du Plan national de la santé, recours au développement local comme stratégie fondée sur la capacité opérationnelle, décentralisée et déconcentrée de cette institution et d'autres institutions qui, grâce à une coordination interinstitutionnelle appropriée, apporteront une réponse immédiate à la situation de pauvreté et d'insécurité alimentaire et sanitaire.</w:t>
      </w:r>
    </w:p>
    <w:p w:rsidR="00000000" w:rsidRDefault="00000000">
      <w:pPr>
        <w:spacing w:after="240"/>
        <w:rPr>
          <w:iCs/>
          <w:lang w:val="fr-FR"/>
        </w:rPr>
      </w:pPr>
      <w:r>
        <w:rPr>
          <w:iCs/>
          <w:lang w:val="fr-FR"/>
        </w:rPr>
        <w:t>331.</w:t>
      </w:r>
      <w:r>
        <w:rPr>
          <w:iCs/>
          <w:lang w:val="fr-FR"/>
        </w:rPr>
        <w:tab/>
        <w:t>Au titre de cette composante, il est prévu d'exécuter d'ici 2000 des projets participatifs de développement, d'alphabétisation des adultes et de formation pratique, en plus des modalités non conventionnelles de soins journaliers aux enfants dans les 230 districts considérés comme prioritaire et où seront mis en œuvre, en 2000, les initiatives en matière d'éducation et de compléments alimentaires de la composante "Un plat pour chaque enfant" du PANN en faveur des femmes enceintes, des mères allaitantes et des enfants âgés de 6 à 24 mois.</w:t>
      </w:r>
    </w:p>
    <w:p w:rsidR="00000000" w:rsidRDefault="00000000">
      <w:pPr>
        <w:spacing w:after="240"/>
        <w:rPr>
          <w:iCs/>
          <w:lang w:val="fr-FR"/>
        </w:rPr>
      </w:pPr>
      <w:r>
        <w:rPr>
          <w:iCs/>
          <w:lang w:val="fr-FR"/>
        </w:rPr>
        <w:br w:type="page"/>
        <w:t>332.</w:t>
      </w:r>
      <w:r>
        <w:rPr>
          <w:iCs/>
          <w:lang w:val="fr-FR"/>
        </w:rPr>
        <w:tab/>
        <w:t>Composante "Éducation alimentaire et nutritionnelle" : cette composante est fondée sur des actions de promotion et d’éducation dans les différents éléments et stratégies de communication de masse.  Elle concerne un large spectre de problèmes alimentaires et nutritionnels, et plus particulièrement :</w:t>
      </w:r>
    </w:p>
    <w:p w:rsidR="00000000" w:rsidRDefault="00000000">
      <w:pPr>
        <w:numPr>
          <w:ilvl w:val="0"/>
          <w:numId w:val="61"/>
        </w:numPr>
        <w:spacing w:after="120"/>
        <w:rPr>
          <w:iCs/>
          <w:lang w:val="fr-FR"/>
        </w:rPr>
      </w:pPr>
      <w:r>
        <w:rPr>
          <w:iCs/>
          <w:lang w:val="fr-FR"/>
        </w:rPr>
        <w:t>La prévalence élevée de la malnutrition et son accroissement du fait de la crise socio-économique que traverse le pays;</w:t>
      </w:r>
    </w:p>
    <w:p w:rsidR="00000000" w:rsidRDefault="00000000">
      <w:pPr>
        <w:numPr>
          <w:ilvl w:val="0"/>
          <w:numId w:val="61"/>
        </w:numPr>
        <w:spacing w:after="120"/>
        <w:rPr>
          <w:iCs/>
          <w:lang w:val="fr-FR"/>
        </w:rPr>
      </w:pPr>
      <w:r>
        <w:rPr>
          <w:iCs/>
          <w:lang w:val="fr-FR"/>
        </w:rPr>
        <w:t>L’évolution des tendances des maladies chroniques non transmissibles dans le profil épidémiologique; six de ces maladies figurent parmi les dix premières causes de mortalité (accidents cérébrovasculaires, infarctus du myocarde, diabète, cancer de l'estomac, hypertension artérielle);</w:t>
      </w:r>
    </w:p>
    <w:p w:rsidR="00000000" w:rsidRDefault="00000000">
      <w:pPr>
        <w:numPr>
          <w:ilvl w:val="0"/>
          <w:numId w:val="61"/>
        </w:numPr>
        <w:spacing w:after="240"/>
        <w:rPr>
          <w:iCs/>
          <w:lang w:val="fr-FR"/>
        </w:rPr>
      </w:pPr>
      <w:r>
        <w:rPr>
          <w:iCs/>
          <w:lang w:val="fr-FR"/>
        </w:rPr>
        <w:t>L'abandon de la culture nutritionnelle équatorienne parmi la population.</w:t>
      </w:r>
    </w:p>
    <w:p w:rsidR="00000000" w:rsidRDefault="00000000">
      <w:pPr>
        <w:spacing w:after="240"/>
        <w:rPr>
          <w:iCs/>
          <w:lang w:val="fr-FR"/>
        </w:rPr>
      </w:pPr>
      <w:r>
        <w:rPr>
          <w:iCs/>
          <w:lang w:val="fr-FR"/>
        </w:rPr>
        <w:t>333.</w:t>
      </w:r>
      <w:r>
        <w:rPr>
          <w:iCs/>
          <w:lang w:val="fr-FR"/>
        </w:rPr>
        <w:tab/>
        <w:t>Le but de cette composante est de promouvoir de bonnes habitudes alimentaires et nutritionnelles grâce aux composantes et programmes du PANN 2000 et à des stratégies spécifiques.</w:t>
      </w:r>
    </w:p>
    <w:p w:rsidR="00000000" w:rsidRDefault="00000000">
      <w:pPr>
        <w:spacing w:after="240"/>
        <w:rPr>
          <w:iCs/>
          <w:lang w:val="fr-FR"/>
        </w:rPr>
      </w:pPr>
      <w:r>
        <w:rPr>
          <w:b/>
          <w:iCs/>
          <w:lang w:val="fr-FR"/>
        </w:rPr>
        <w:t>Réformes en faveur de la sécurité alimentaire</w:t>
      </w:r>
    </w:p>
    <w:p w:rsidR="00000000" w:rsidRDefault="00000000">
      <w:pPr>
        <w:spacing w:after="240"/>
        <w:rPr>
          <w:iCs/>
          <w:lang w:val="fr-FR"/>
        </w:rPr>
      </w:pPr>
      <w:r>
        <w:rPr>
          <w:iCs/>
          <w:lang w:val="fr-FR"/>
        </w:rPr>
        <w:t>334.</w:t>
      </w:r>
      <w:r>
        <w:rPr>
          <w:iCs/>
          <w:lang w:val="fr-FR"/>
        </w:rPr>
        <w:tab/>
        <w:t>Des lois de réforme agraire ont été adoptées pour résoudre les problèmes du secteur rural en Équateur, qui a toujours été en retard par rapport aux autres secteurs de l'économie nationale, du fait, entre autres, de la structure inadéquate de la répartition de la richesse, du régime foncier et de l'utilisation des terres.</w:t>
      </w:r>
    </w:p>
    <w:p w:rsidR="00000000" w:rsidRDefault="00000000">
      <w:pPr>
        <w:spacing w:after="240"/>
        <w:rPr>
          <w:iCs/>
          <w:lang w:val="fr-FR"/>
        </w:rPr>
      </w:pPr>
      <w:r>
        <w:rPr>
          <w:iCs/>
          <w:lang w:val="fr-FR"/>
        </w:rPr>
        <w:t>335.</w:t>
      </w:r>
      <w:r>
        <w:rPr>
          <w:iCs/>
          <w:lang w:val="fr-FR"/>
        </w:rPr>
        <w:tab/>
        <w:t>C'est dans ce contexte qu'a été adoptée en 1964 la première Loi de réforme agraire qui visait à transformer la structure sociale et économique du secteur rural pour assurer le développement socio-économique de l'agriculture équatorienne par la modernisation des rapports de production avec élimination du travail précaire et introduction de nouveaux modes de production.</w:t>
      </w:r>
    </w:p>
    <w:p w:rsidR="00000000" w:rsidRDefault="00000000">
      <w:pPr>
        <w:spacing w:after="240"/>
        <w:rPr>
          <w:iCs/>
          <w:lang w:val="fr-FR"/>
        </w:rPr>
      </w:pPr>
      <w:r>
        <w:rPr>
          <w:iCs/>
          <w:lang w:val="fr-FR"/>
        </w:rPr>
        <w:t>336.</w:t>
      </w:r>
      <w:r>
        <w:rPr>
          <w:iCs/>
          <w:lang w:val="fr-FR"/>
        </w:rPr>
        <w:tab/>
        <w:t>Cette politique, comme on pouvait s'y attendre, allait à l’encontre des intérêts des grands propriétaires terriens (latifundistas), dont les pressions et les mesures d'évasion dans un contexte juridique valide ont pratiquement réduit à néant les efforts réalisés pour assurer une réforme appropriée de la propriété et de l'utilisation de la terre.</w:t>
      </w:r>
    </w:p>
    <w:p w:rsidR="00000000" w:rsidRDefault="00000000">
      <w:pPr>
        <w:spacing w:after="240"/>
        <w:rPr>
          <w:iCs/>
          <w:lang w:val="fr-FR"/>
        </w:rPr>
      </w:pPr>
      <w:r>
        <w:rPr>
          <w:iCs/>
          <w:lang w:val="fr-FR"/>
        </w:rPr>
        <w:t>337.</w:t>
      </w:r>
      <w:r>
        <w:rPr>
          <w:iCs/>
          <w:lang w:val="fr-FR"/>
        </w:rPr>
        <w:tab/>
        <w:t>En 1973 a été adoptée la deuxième Loi de réforme agraire fondée sur une conception plus ambitieuse du problème, considéré non seulement comme une simple redistribution des terres, mais, dans une perspective intégrée, comme "un processus de changement graduel et ordonné de la structure agraire dans ses aspects économiques, sociaux, culturels et politiques".  Aussi la loi inclut-elle des modifications dans différents aspects de l'ordre juridique, surtout en ce qui concerne le droit de propriété, la redistribution des terres, les motifs d'expropriation, les modalités d'établissement du prix des expropriations et d'autres procédures administratives.</w:t>
      </w:r>
    </w:p>
    <w:p w:rsidR="00000000" w:rsidRDefault="00000000">
      <w:pPr>
        <w:spacing w:after="240"/>
        <w:rPr>
          <w:iCs/>
          <w:lang w:val="fr-FR"/>
        </w:rPr>
      </w:pPr>
      <w:r>
        <w:rPr>
          <w:iCs/>
          <w:lang w:val="fr-FR"/>
        </w:rPr>
        <w:t>338.</w:t>
      </w:r>
      <w:r>
        <w:rPr>
          <w:iCs/>
          <w:lang w:val="fr-FR"/>
        </w:rPr>
        <w:tab/>
        <w:t>Depuis sa création il y a environ 30 ans, l'Institut équatorien de réforme agraire et de colonisation (IERAC) a été l'organe chargé de l'application de cette loi et qui a mis en pratique la politique de réforme agraire dans le cadre des Programmes de réforme agraire et de colonisation qui ont permis de distribuer 7 193 366,18 hectares à 211 058 familles jusqu'en 1992, soit une moyenne de 34,06 hectares par famille.</w:t>
      </w:r>
    </w:p>
    <w:p w:rsidR="00000000" w:rsidRDefault="00000000">
      <w:pPr>
        <w:autoSpaceDE w:val="0"/>
        <w:autoSpaceDN w:val="0"/>
        <w:adjustRightInd w:val="0"/>
        <w:jc w:val="center"/>
        <w:rPr>
          <w:b/>
          <w:bCs/>
          <w:color w:val="000000"/>
          <w:sz w:val="20"/>
          <w:szCs w:val="22"/>
          <w:lang w:val="fr-FR"/>
        </w:rPr>
      </w:pPr>
      <w:r>
        <w:rPr>
          <w:b/>
          <w:bCs/>
          <w:color w:val="000000"/>
          <w:sz w:val="20"/>
          <w:szCs w:val="22"/>
          <w:lang w:val="fr-FR"/>
        </w:rPr>
        <w:t>Terres attribuées pour la colonisation et la réforme agricole, par région de l'Équateur  (1926-1992)</w:t>
      </w:r>
    </w:p>
    <w:p w:rsidR="00000000" w:rsidRDefault="00000000">
      <w:pPr>
        <w:autoSpaceDE w:val="0"/>
        <w:autoSpaceDN w:val="0"/>
        <w:adjustRightInd w:val="0"/>
        <w:spacing w:after="120"/>
        <w:jc w:val="center"/>
        <w:rPr>
          <w:i/>
          <w:iCs/>
          <w:color w:val="000000"/>
          <w:sz w:val="20"/>
          <w:szCs w:val="22"/>
          <w:lang w:val="fr-FR"/>
        </w:rPr>
      </w:pPr>
      <w:r>
        <w:rPr>
          <w:i/>
          <w:iCs/>
          <w:color w:val="000000"/>
          <w:sz w:val="20"/>
          <w:szCs w:val="22"/>
          <w:lang w:val="fr-FR"/>
        </w:rPr>
        <w:t>(En hectares)</w:t>
      </w:r>
    </w:p>
    <w:tbl>
      <w:tblPr>
        <w:tblW w:w="8505" w:type="dxa"/>
        <w:jc w:val="center"/>
        <w:tblInd w:w="790"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066"/>
        <w:gridCol w:w="2146"/>
        <w:gridCol w:w="2146"/>
        <w:gridCol w:w="2147"/>
      </w:tblGrid>
      <w:tr w:rsidR="00000000">
        <w:tblPrEx>
          <w:tblCellMar>
            <w:top w:w="0" w:type="dxa"/>
            <w:bottom w:w="0" w:type="dxa"/>
          </w:tblCellMar>
        </w:tblPrEx>
        <w:trPr>
          <w:jc w:val="center"/>
        </w:trPr>
        <w:tc>
          <w:tcPr>
            <w:tcW w:w="2066"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Région</w:t>
            </w:r>
          </w:p>
        </w:tc>
        <w:tc>
          <w:tcPr>
            <w:tcW w:w="2146"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Colonisation</w:t>
            </w:r>
          </w:p>
        </w:tc>
        <w:tc>
          <w:tcPr>
            <w:tcW w:w="2146"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Réforme agricole</w:t>
            </w:r>
          </w:p>
        </w:tc>
        <w:tc>
          <w:tcPr>
            <w:tcW w:w="2147"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Total général</w:t>
            </w:r>
          </w:p>
        </w:tc>
      </w:tr>
      <w:tr w:rsidR="00000000">
        <w:tblPrEx>
          <w:tblCellMar>
            <w:top w:w="0" w:type="dxa"/>
            <w:bottom w:w="0" w:type="dxa"/>
          </w:tblCellMar>
        </w:tblPrEx>
        <w:trPr>
          <w:jc w:val="center"/>
        </w:trPr>
        <w:tc>
          <w:tcPr>
            <w:tcW w:w="2066" w:type="dxa"/>
            <w:tcBorders>
              <w:top w:val="single" w:sz="4" w:space="0" w:color="auto"/>
            </w:tcBorders>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Sierra </w:t>
            </w:r>
          </w:p>
        </w:tc>
        <w:tc>
          <w:tcPr>
            <w:tcW w:w="2146" w:type="dxa"/>
            <w:tcBorders>
              <w:top w:val="single" w:sz="4" w:space="0" w:color="auto"/>
            </w:tcBorders>
          </w:tcPr>
          <w:p w:rsidR="00000000" w:rsidRDefault="00000000">
            <w:pPr>
              <w:autoSpaceDE w:val="0"/>
              <w:autoSpaceDN w:val="0"/>
              <w:adjustRightInd w:val="0"/>
              <w:spacing w:before="60" w:after="60"/>
              <w:ind w:right="456"/>
              <w:jc w:val="right"/>
              <w:rPr>
                <w:color w:val="000000"/>
                <w:sz w:val="20"/>
                <w:szCs w:val="22"/>
                <w:lang w:val="fr-FR"/>
              </w:rPr>
            </w:pPr>
            <w:r>
              <w:rPr>
                <w:color w:val="000000"/>
                <w:sz w:val="20"/>
                <w:szCs w:val="22"/>
                <w:lang w:val="fr-FR"/>
              </w:rPr>
              <w:t xml:space="preserve">657 766,39 </w:t>
            </w:r>
          </w:p>
        </w:tc>
        <w:tc>
          <w:tcPr>
            <w:tcW w:w="2146" w:type="dxa"/>
            <w:tcBorders>
              <w:top w:val="single" w:sz="4" w:space="0" w:color="auto"/>
            </w:tcBorders>
          </w:tcPr>
          <w:p w:rsidR="00000000" w:rsidRDefault="00000000">
            <w:pPr>
              <w:autoSpaceDE w:val="0"/>
              <w:autoSpaceDN w:val="0"/>
              <w:adjustRightInd w:val="0"/>
              <w:spacing w:before="60" w:after="60"/>
              <w:ind w:right="456"/>
              <w:jc w:val="right"/>
              <w:rPr>
                <w:color w:val="000000"/>
                <w:sz w:val="20"/>
                <w:szCs w:val="22"/>
                <w:lang w:val="fr-FR"/>
              </w:rPr>
            </w:pPr>
            <w:r>
              <w:rPr>
                <w:color w:val="000000"/>
                <w:sz w:val="20"/>
                <w:szCs w:val="22"/>
                <w:lang w:val="fr-FR"/>
              </w:rPr>
              <w:t xml:space="preserve">625 618,21 </w:t>
            </w:r>
          </w:p>
        </w:tc>
        <w:tc>
          <w:tcPr>
            <w:tcW w:w="2147" w:type="dxa"/>
            <w:tcBorders>
              <w:top w:val="single" w:sz="4" w:space="0" w:color="auto"/>
            </w:tcBorders>
          </w:tcPr>
          <w:p w:rsidR="00000000" w:rsidRDefault="00000000">
            <w:pPr>
              <w:autoSpaceDE w:val="0"/>
              <w:autoSpaceDN w:val="0"/>
              <w:adjustRightInd w:val="0"/>
              <w:spacing w:before="60" w:after="60"/>
              <w:ind w:right="456"/>
              <w:jc w:val="right"/>
              <w:rPr>
                <w:color w:val="000000"/>
                <w:sz w:val="20"/>
                <w:szCs w:val="22"/>
                <w:lang w:val="fr-FR"/>
              </w:rPr>
            </w:pPr>
            <w:r>
              <w:rPr>
                <w:color w:val="000000"/>
                <w:sz w:val="20"/>
                <w:szCs w:val="22"/>
                <w:lang w:val="fr-FR"/>
              </w:rPr>
              <w:t xml:space="preserve">1 283 384,60  </w:t>
            </w:r>
          </w:p>
        </w:tc>
      </w:tr>
      <w:tr w:rsidR="00000000">
        <w:tblPrEx>
          <w:tblCellMar>
            <w:top w:w="0" w:type="dxa"/>
            <w:bottom w:w="0" w:type="dxa"/>
          </w:tblCellMar>
        </w:tblPrEx>
        <w:trPr>
          <w:jc w:val="center"/>
        </w:trPr>
        <w:tc>
          <w:tcPr>
            <w:tcW w:w="2066"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Costa </w:t>
            </w:r>
          </w:p>
        </w:tc>
        <w:tc>
          <w:tcPr>
            <w:tcW w:w="2146" w:type="dxa"/>
          </w:tcPr>
          <w:p w:rsidR="00000000" w:rsidRDefault="00000000">
            <w:pPr>
              <w:autoSpaceDE w:val="0"/>
              <w:autoSpaceDN w:val="0"/>
              <w:adjustRightInd w:val="0"/>
              <w:spacing w:before="60" w:after="60"/>
              <w:ind w:right="456"/>
              <w:jc w:val="right"/>
              <w:rPr>
                <w:color w:val="000000"/>
                <w:sz w:val="20"/>
                <w:szCs w:val="22"/>
                <w:lang w:val="fr-FR"/>
              </w:rPr>
            </w:pPr>
            <w:r>
              <w:rPr>
                <w:color w:val="000000"/>
                <w:sz w:val="20"/>
                <w:szCs w:val="22"/>
                <w:lang w:val="fr-FR"/>
              </w:rPr>
              <w:t xml:space="preserve">869 289,79 </w:t>
            </w:r>
          </w:p>
        </w:tc>
        <w:tc>
          <w:tcPr>
            <w:tcW w:w="2146" w:type="dxa"/>
          </w:tcPr>
          <w:p w:rsidR="00000000" w:rsidRDefault="00000000">
            <w:pPr>
              <w:autoSpaceDE w:val="0"/>
              <w:autoSpaceDN w:val="0"/>
              <w:adjustRightInd w:val="0"/>
              <w:spacing w:before="60" w:after="60"/>
              <w:ind w:right="456"/>
              <w:jc w:val="right"/>
              <w:rPr>
                <w:color w:val="000000"/>
                <w:sz w:val="20"/>
                <w:szCs w:val="22"/>
                <w:lang w:val="fr-FR"/>
              </w:rPr>
            </w:pPr>
            <w:r>
              <w:rPr>
                <w:color w:val="000000"/>
                <w:sz w:val="20"/>
                <w:szCs w:val="22"/>
                <w:lang w:val="fr-FR"/>
              </w:rPr>
              <w:t xml:space="preserve">505 566,55 </w:t>
            </w:r>
          </w:p>
        </w:tc>
        <w:tc>
          <w:tcPr>
            <w:tcW w:w="2147" w:type="dxa"/>
          </w:tcPr>
          <w:p w:rsidR="00000000" w:rsidRDefault="00000000">
            <w:pPr>
              <w:autoSpaceDE w:val="0"/>
              <w:autoSpaceDN w:val="0"/>
              <w:adjustRightInd w:val="0"/>
              <w:spacing w:before="60" w:after="60"/>
              <w:ind w:right="456"/>
              <w:jc w:val="right"/>
              <w:rPr>
                <w:color w:val="000000"/>
                <w:sz w:val="20"/>
                <w:szCs w:val="22"/>
                <w:lang w:val="fr-FR"/>
              </w:rPr>
            </w:pPr>
            <w:r>
              <w:rPr>
                <w:color w:val="000000"/>
                <w:sz w:val="20"/>
                <w:szCs w:val="22"/>
                <w:lang w:val="fr-FR"/>
              </w:rPr>
              <w:t xml:space="preserve">1 374 846,34  </w:t>
            </w:r>
          </w:p>
        </w:tc>
      </w:tr>
      <w:tr w:rsidR="00000000">
        <w:tblPrEx>
          <w:tblCellMar>
            <w:top w:w="0" w:type="dxa"/>
            <w:bottom w:w="0" w:type="dxa"/>
          </w:tblCellMar>
        </w:tblPrEx>
        <w:trPr>
          <w:jc w:val="center"/>
        </w:trPr>
        <w:tc>
          <w:tcPr>
            <w:tcW w:w="2066"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Oriente</w:t>
            </w:r>
          </w:p>
        </w:tc>
        <w:tc>
          <w:tcPr>
            <w:tcW w:w="2146" w:type="dxa"/>
          </w:tcPr>
          <w:p w:rsidR="00000000" w:rsidRDefault="00000000">
            <w:pPr>
              <w:autoSpaceDE w:val="0"/>
              <w:autoSpaceDN w:val="0"/>
              <w:adjustRightInd w:val="0"/>
              <w:spacing w:before="60" w:after="60"/>
              <w:ind w:right="456"/>
              <w:jc w:val="right"/>
              <w:rPr>
                <w:color w:val="000000"/>
                <w:sz w:val="20"/>
                <w:szCs w:val="22"/>
                <w:lang w:val="fr-FR"/>
              </w:rPr>
            </w:pPr>
            <w:r>
              <w:rPr>
                <w:color w:val="000000"/>
                <w:sz w:val="20"/>
                <w:szCs w:val="22"/>
                <w:lang w:val="fr-FR"/>
              </w:rPr>
              <w:t xml:space="preserve">1 812 481,50 </w:t>
            </w:r>
          </w:p>
        </w:tc>
        <w:tc>
          <w:tcPr>
            <w:tcW w:w="2146" w:type="dxa"/>
          </w:tcPr>
          <w:p w:rsidR="00000000" w:rsidRDefault="00000000">
            <w:pPr>
              <w:autoSpaceDE w:val="0"/>
              <w:autoSpaceDN w:val="0"/>
              <w:adjustRightInd w:val="0"/>
              <w:spacing w:before="60" w:after="60"/>
              <w:ind w:right="456"/>
              <w:jc w:val="right"/>
              <w:rPr>
                <w:color w:val="000000"/>
                <w:sz w:val="20"/>
                <w:szCs w:val="22"/>
                <w:lang w:val="fr-FR"/>
              </w:rPr>
            </w:pPr>
            <w:r>
              <w:rPr>
                <w:color w:val="000000"/>
                <w:sz w:val="20"/>
                <w:szCs w:val="22"/>
                <w:lang w:val="fr-FR"/>
              </w:rPr>
              <w:t xml:space="preserve">2 722 653,74 </w:t>
            </w:r>
          </w:p>
        </w:tc>
        <w:tc>
          <w:tcPr>
            <w:tcW w:w="2147" w:type="dxa"/>
          </w:tcPr>
          <w:p w:rsidR="00000000" w:rsidRDefault="00000000">
            <w:pPr>
              <w:autoSpaceDE w:val="0"/>
              <w:autoSpaceDN w:val="0"/>
              <w:adjustRightInd w:val="0"/>
              <w:spacing w:before="60" w:after="60"/>
              <w:ind w:right="456"/>
              <w:jc w:val="right"/>
              <w:rPr>
                <w:color w:val="000000"/>
                <w:sz w:val="20"/>
                <w:szCs w:val="22"/>
                <w:lang w:val="fr-FR"/>
              </w:rPr>
            </w:pPr>
            <w:r>
              <w:rPr>
                <w:color w:val="000000"/>
                <w:sz w:val="20"/>
                <w:szCs w:val="22"/>
                <w:lang w:val="fr-FR"/>
              </w:rPr>
              <w:t xml:space="preserve">4 535 135,24  </w:t>
            </w:r>
          </w:p>
        </w:tc>
      </w:tr>
      <w:tr w:rsidR="00000000">
        <w:tblPrEx>
          <w:tblCellMar>
            <w:top w:w="0" w:type="dxa"/>
            <w:bottom w:w="0" w:type="dxa"/>
          </w:tblCellMar>
        </w:tblPrEx>
        <w:trPr>
          <w:jc w:val="center"/>
        </w:trPr>
        <w:tc>
          <w:tcPr>
            <w:tcW w:w="2066"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Total </w:t>
            </w:r>
          </w:p>
        </w:tc>
        <w:tc>
          <w:tcPr>
            <w:tcW w:w="2146" w:type="dxa"/>
          </w:tcPr>
          <w:p w:rsidR="00000000" w:rsidRDefault="00000000">
            <w:pPr>
              <w:autoSpaceDE w:val="0"/>
              <w:autoSpaceDN w:val="0"/>
              <w:adjustRightInd w:val="0"/>
              <w:spacing w:before="60" w:after="60"/>
              <w:ind w:right="456"/>
              <w:jc w:val="right"/>
              <w:rPr>
                <w:color w:val="000000"/>
                <w:sz w:val="20"/>
                <w:szCs w:val="22"/>
                <w:lang w:val="fr-FR"/>
              </w:rPr>
            </w:pPr>
            <w:r>
              <w:rPr>
                <w:color w:val="000000"/>
                <w:sz w:val="20"/>
                <w:szCs w:val="22"/>
                <w:lang w:val="fr-FR"/>
              </w:rPr>
              <w:t xml:space="preserve">3 339 537,68 </w:t>
            </w:r>
          </w:p>
        </w:tc>
        <w:tc>
          <w:tcPr>
            <w:tcW w:w="2146" w:type="dxa"/>
          </w:tcPr>
          <w:p w:rsidR="00000000" w:rsidRDefault="00000000">
            <w:pPr>
              <w:autoSpaceDE w:val="0"/>
              <w:autoSpaceDN w:val="0"/>
              <w:adjustRightInd w:val="0"/>
              <w:spacing w:before="60" w:after="60"/>
              <w:ind w:right="456"/>
              <w:jc w:val="right"/>
              <w:rPr>
                <w:color w:val="000000"/>
                <w:sz w:val="20"/>
                <w:szCs w:val="22"/>
                <w:lang w:val="fr-FR"/>
              </w:rPr>
            </w:pPr>
            <w:r>
              <w:rPr>
                <w:color w:val="000000"/>
                <w:sz w:val="20"/>
                <w:szCs w:val="22"/>
                <w:lang w:val="fr-FR"/>
              </w:rPr>
              <w:t xml:space="preserve">3 853 828,50 </w:t>
            </w:r>
          </w:p>
        </w:tc>
        <w:tc>
          <w:tcPr>
            <w:tcW w:w="2147" w:type="dxa"/>
          </w:tcPr>
          <w:p w:rsidR="00000000" w:rsidRDefault="00000000">
            <w:pPr>
              <w:autoSpaceDE w:val="0"/>
              <w:autoSpaceDN w:val="0"/>
              <w:adjustRightInd w:val="0"/>
              <w:spacing w:before="60" w:after="60"/>
              <w:ind w:right="456"/>
              <w:jc w:val="right"/>
              <w:rPr>
                <w:color w:val="000000"/>
                <w:sz w:val="20"/>
                <w:szCs w:val="22"/>
                <w:lang w:val="fr-FR"/>
              </w:rPr>
            </w:pPr>
            <w:r>
              <w:rPr>
                <w:color w:val="000000"/>
                <w:sz w:val="20"/>
                <w:szCs w:val="22"/>
                <w:lang w:val="fr-FR"/>
              </w:rPr>
              <w:t xml:space="preserve">7 193 366,18  </w:t>
            </w:r>
          </w:p>
        </w:tc>
      </w:tr>
    </w:tbl>
    <w:p w:rsidR="00000000" w:rsidRDefault="00000000">
      <w:pPr>
        <w:spacing w:before="80" w:after="240"/>
        <w:ind w:left="567"/>
        <w:rPr>
          <w:color w:val="000000"/>
          <w:sz w:val="20"/>
          <w:szCs w:val="22"/>
          <w:lang w:val="fr-FR"/>
        </w:rPr>
      </w:pPr>
      <w:r>
        <w:rPr>
          <w:i/>
          <w:iCs/>
          <w:color w:val="000000"/>
          <w:sz w:val="20"/>
          <w:szCs w:val="22"/>
          <w:lang w:val="fr-FR"/>
        </w:rPr>
        <w:t>Source :</w:t>
      </w:r>
      <w:r>
        <w:rPr>
          <w:color w:val="000000"/>
          <w:sz w:val="20"/>
          <w:szCs w:val="22"/>
          <w:lang w:val="fr-FR"/>
        </w:rPr>
        <w:t xml:space="preserve"> INDA , Rapport général, 1998.</w:t>
      </w:r>
    </w:p>
    <w:p w:rsidR="00000000" w:rsidRDefault="00000000">
      <w:pPr>
        <w:spacing w:before="80" w:after="240"/>
        <w:ind w:left="567"/>
        <w:rPr>
          <w:color w:val="000000"/>
          <w:sz w:val="20"/>
          <w:szCs w:val="22"/>
          <w:lang w:val="fr-FR"/>
        </w:rPr>
      </w:pPr>
    </w:p>
    <w:p w:rsidR="00000000" w:rsidRDefault="00000000">
      <w:pPr>
        <w:spacing w:after="240"/>
        <w:rPr>
          <w:iCs/>
          <w:color w:val="000000"/>
          <w:lang w:val="fr-FR"/>
        </w:rPr>
      </w:pPr>
      <w:r>
        <w:rPr>
          <w:iCs/>
          <w:color w:val="000000"/>
          <w:lang w:val="fr-FR"/>
        </w:rPr>
        <w:t>339.</w:t>
      </w:r>
      <w:r>
        <w:rPr>
          <w:iCs/>
          <w:color w:val="000000"/>
          <w:lang w:val="fr-FR"/>
        </w:rPr>
        <w:tab/>
        <w:t>Toutefois, les résultats de la réforme agraire ont donné lieu à controverses.  D'après des études d'évaluation réalisées en 1977 par le Conseil national de développement (CONADE)</w:t>
      </w:r>
      <w:r>
        <w:rPr>
          <w:rStyle w:val="FootnoteReference"/>
          <w:b/>
          <w:iCs/>
          <w:color w:val="000000"/>
          <w:lang w:val="fr-FR"/>
        </w:rPr>
        <w:footnoteReference w:id="45"/>
      </w:r>
      <w:r>
        <w:rPr>
          <w:iCs/>
          <w:color w:val="000000"/>
          <w:lang w:val="fr-FR"/>
        </w:rPr>
        <w:t>, les résultats obtenus après un processus de trente ans sont estimés comme suit : 22,2 % des superficies sont occupées par des propriétés de 0,1 à 9 hectares, avec un pourcentage notable de propriété de moins de un hectare; 26,4 % de la superficie est constituée d'unités productives de 10 à 49 hectares, alors que 2,6 % de propriétés de 50 à 500 hectares représentent 51,3 % de la superficie des terres, ce qui témoigne du faible taux de transfert de la propriété foncière et de son coût très élevé.</w:t>
      </w:r>
    </w:p>
    <w:p w:rsidR="00000000" w:rsidRDefault="00000000">
      <w:pPr>
        <w:spacing w:after="240"/>
        <w:rPr>
          <w:iCs/>
          <w:color w:val="000000"/>
          <w:lang w:val="fr-FR"/>
        </w:rPr>
      </w:pPr>
      <w:r>
        <w:rPr>
          <w:iCs/>
          <w:color w:val="000000"/>
          <w:lang w:val="fr-FR"/>
        </w:rPr>
        <w:t>340.</w:t>
      </w:r>
      <w:r>
        <w:rPr>
          <w:iCs/>
          <w:color w:val="000000"/>
          <w:lang w:val="fr-FR"/>
        </w:rPr>
        <w:tab/>
        <w:t>Ainsi, malgré l'application de la loi, le pays n'a pas réussi à mettre fin à l'injustice et encore moins aux conflits sociaux dans l'agriculture.  Il n'a été possible que d'éliminer les formes précaires de production, mais les paysans, en majorité autochtones, qui ont obtenu de petites parcelles (minifundios) dans les zones marginales et celles où les conditions agroécologiques sont les plus défavorables (terrains broussailleux, terrains en pente et rochers escarpés dans les montagnes) ne disposaient pas en outre de la technologie, de la formation, des crédits, ou des chemins vicinaux qui leur auraient permis d'accroître leur production et leur productivité, et par conséquent de changer leurs conditions de vie et celles de leurs familles, ce qui ne pouvait qu'aggraver le problème de la marginalité et de la pauvreté de la population rurale.  Il convient de noter qu'environ 60 % des exploitants agricoles appartiennent à ce groupe.</w:t>
      </w:r>
    </w:p>
    <w:p w:rsidR="00000000" w:rsidRDefault="00000000">
      <w:pPr>
        <w:spacing w:after="240"/>
        <w:rPr>
          <w:iCs/>
          <w:color w:val="000000"/>
          <w:lang w:val="fr-FR"/>
        </w:rPr>
      </w:pPr>
      <w:r>
        <w:rPr>
          <w:iCs/>
          <w:color w:val="000000"/>
          <w:lang w:val="fr-FR"/>
        </w:rPr>
        <w:t>341.</w:t>
      </w:r>
      <w:r>
        <w:rPr>
          <w:iCs/>
          <w:color w:val="000000"/>
          <w:lang w:val="fr-FR"/>
        </w:rPr>
        <w:tab/>
        <w:t>La population noire du pays reste exclue et n'a pas bénéficié du processus de réforme agraire.  Un de ses principaux problèmes est la propriété des moyens de production.  L'absence d'accès à la propriété foncière a, au cours de la dernière décennie, été à l'origine d'un important mouvement migratoire vers les grandes villes, Quito et Guayaquil, où s'est constituée une série de quartiers urbains marginaux, dans lesquels la situation des habitants ne s'est guère améliorée par rapport à ce qu'elle était dans leur lieu d'origine, quand elle ne s’est pas aggravée.  Les niveaux de pauvreté et de malnutrition y sont élevés, et les pouvoirs publics n'ont rien fait pour renverser cette évolution.</w:t>
      </w:r>
    </w:p>
    <w:p w:rsidR="00000000" w:rsidRDefault="00000000">
      <w:pPr>
        <w:spacing w:after="240"/>
        <w:rPr>
          <w:iCs/>
          <w:color w:val="000000"/>
          <w:lang w:val="fr-FR"/>
        </w:rPr>
      </w:pPr>
      <w:r>
        <w:rPr>
          <w:iCs/>
          <w:color w:val="000000"/>
          <w:lang w:val="fr-FR"/>
        </w:rPr>
        <w:t>342.</w:t>
      </w:r>
      <w:r>
        <w:rPr>
          <w:iCs/>
          <w:color w:val="000000"/>
          <w:lang w:val="fr-FR"/>
        </w:rPr>
        <w:tab/>
        <w:t>Par ailleurs, la réforme agraire a aussi eu d'autres effets : le principal a été la transformation de terres agricoles en pâturages et forêts par les grands propriétaires terriens, en réaction de défense, car, selon la loi, les superficies consacrées aux pâturages et aux forêts ne sont pas visées par la redistribution des terres.</w:t>
      </w:r>
    </w:p>
    <w:p w:rsidR="00000000" w:rsidRDefault="00000000">
      <w:pPr>
        <w:spacing w:after="240"/>
        <w:rPr>
          <w:iCs/>
          <w:color w:val="000000"/>
          <w:lang w:val="fr-FR"/>
        </w:rPr>
      </w:pPr>
      <w:r>
        <w:rPr>
          <w:iCs/>
          <w:color w:val="000000"/>
          <w:lang w:val="fr-FR"/>
        </w:rPr>
        <w:t>343.</w:t>
      </w:r>
      <w:r>
        <w:rPr>
          <w:iCs/>
          <w:color w:val="000000"/>
          <w:lang w:val="fr-FR"/>
        </w:rPr>
        <w:tab/>
        <w:t>Un changement de politique en matière de développement agraire était une nécessité.  C'est pour répondre à cette nécessité qu'a été adoptée le 14 mars 1994 la Loi de développement agraire (publiée au</w:t>
      </w:r>
      <w:r>
        <w:rPr>
          <w:i/>
          <w:iCs/>
          <w:color w:val="000000"/>
          <w:lang w:val="fr-FR"/>
        </w:rPr>
        <w:t xml:space="preserve"> Journal officiel</w:t>
      </w:r>
      <w:r>
        <w:rPr>
          <w:iCs/>
          <w:color w:val="000000"/>
          <w:lang w:val="fr-FR"/>
        </w:rPr>
        <w:t xml:space="preserve"> N° 461, et connue sous le nom de Loi N° 54), en faveur de la modernisation secteur agricole.</w:t>
      </w:r>
    </w:p>
    <w:p w:rsidR="00000000" w:rsidRDefault="00000000">
      <w:pPr>
        <w:spacing w:after="240"/>
        <w:rPr>
          <w:iCs/>
          <w:color w:val="000000"/>
          <w:lang w:val="fr-FR"/>
        </w:rPr>
      </w:pPr>
      <w:r>
        <w:rPr>
          <w:iCs/>
          <w:color w:val="000000"/>
          <w:lang w:val="fr-FR"/>
        </w:rPr>
        <w:t>344.</w:t>
      </w:r>
      <w:r>
        <w:rPr>
          <w:iCs/>
          <w:color w:val="000000"/>
          <w:lang w:val="fr-FR"/>
        </w:rPr>
        <w:tab/>
        <w:t>Suite à l'adoption de la Loi de développement agraire, l’IERAC a disparu, et l'on a créé à sa place l’Institut de développement agraire (INDA), organisme public chargé d’administrer la politique agraire sous différents aspects : garantir la propriété de la terre, incorporer des terres de l’État au marché libre par adjudication, établir un cadastre et assurer la coordination interinstitutionnelle.</w:t>
      </w:r>
    </w:p>
    <w:p w:rsidR="00000000" w:rsidRDefault="00000000">
      <w:pPr>
        <w:spacing w:after="360"/>
        <w:rPr>
          <w:iCs/>
          <w:color w:val="000000"/>
          <w:lang w:val="fr-FR"/>
        </w:rPr>
      </w:pPr>
      <w:r>
        <w:rPr>
          <w:iCs/>
          <w:color w:val="000000"/>
          <w:lang w:val="fr-FR"/>
        </w:rPr>
        <w:t>345.</w:t>
      </w:r>
      <w:r>
        <w:rPr>
          <w:iCs/>
          <w:color w:val="000000"/>
          <w:lang w:val="fr-FR"/>
        </w:rPr>
        <w:tab/>
        <w:t>Au cours du processus de transition et pendant les premières années de fonctionnement de l’INDA, il n'a pas été possible aux petits agriculteurs équatoriens de disposer d'un titre de propriété qui leur offre une garantie quant à la possession de leurs terrains et qui leur permette d'accéder au crédit agricole pour améliorer et exploiter efficacement leurs terres.  Aussi l'INDA s'est-elle employée à engager une nouvelle étape dans laquelle sont appliquées, dans le cadre de programmes et projets efficaces, des politiques intégrées de promotion, de développement et de protection du secteur agraire, en utilisant de façon optimale ses ressources et en offrant à ses bénéficiaires des services de qualité, contribuant ainsi au développement socio-économique du pays, ainsi qu'il ressort du tableau ci-après.</w:t>
      </w:r>
    </w:p>
    <w:p w:rsidR="00000000" w:rsidRDefault="00000000">
      <w:pPr>
        <w:autoSpaceDE w:val="0"/>
        <w:autoSpaceDN w:val="0"/>
        <w:adjustRightInd w:val="0"/>
        <w:ind w:left="23" w:right="6"/>
        <w:jc w:val="center"/>
        <w:rPr>
          <w:color w:val="000000"/>
          <w:sz w:val="20"/>
          <w:szCs w:val="22"/>
          <w:lang w:val="fr-FR"/>
        </w:rPr>
      </w:pPr>
      <w:r>
        <w:rPr>
          <w:b/>
          <w:bCs/>
          <w:color w:val="000000"/>
          <w:sz w:val="20"/>
          <w:szCs w:val="22"/>
          <w:lang w:val="fr-FR"/>
        </w:rPr>
        <w:t xml:space="preserve">Total des titres de propriété attribués, superficie et bénéficiaires  </w:t>
      </w:r>
    </w:p>
    <w:p w:rsidR="00000000" w:rsidRDefault="00000000">
      <w:pPr>
        <w:autoSpaceDE w:val="0"/>
        <w:autoSpaceDN w:val="0"/>
        <w:adjustRightInd w:val="0"/>
        <w:spacing w:after="120"/>
        <w:ind w:left="23" w:right="6"/>
        <w:jc w:val="center"/>
        <w:rPr>
          <w:i/>
          <w:iCs/>
          <w:color w:val="000000"/>
          <w:sz w:val="20"/>
          <w:szCs w:val="22"/>
          <w:lang w:val="fr-FR"/>
        </w:rPr>
      </w:pPr>
      <w:r>
        <w:rPr>
          <w:i/>
          <w:iCs/>
          <w:color w:val="000000"/>
          <w:sz w:val="20"/>
          <w:szCs w:val="22"/>
          <w:lang w:val="fr-FR"/>
        </w:rPr>
        <w:t xml:space="preserve">(En hectares)  </w:t>
      </w:r>
    </w:p>
    <w:tbl>
      <w:tblPr>
        <w:tblW w:w="8505" w:type="dxa"/>
        <w:jc w:val="center"/>
        <w:tblInd w:w="1600"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528"/>
        <w:gridCol w:w="2184"/>
        <w:gridCol w:w="1954"/>
        <w:gridCol w:w="1839"/>
      </w:tblGrid>
      <w:tr w:rsidR="00000000">
        <w:tblPrEx>
          <w:tblCellMar>
            <w:top w:w="0" w:type="dxa"/>
            <w:bottom w:w="0" w:type="dxa"/>
          </w:tblCellMar>
        </w:tblPrEx>
        <w:trPr>
          <w:jc w:val="center"/>
        </w:trPr>
        <w:tc>
          <w:tcPr>
            <w:tcW w:w="198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p>
        </w:tc>
        <w:tc>
          <w:tcPr>
            <w:tcW w:w="171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Titres de propriété</w:t>
            </w:r>
          </w:p>
        </w:tc>
        <w:tc>
          <w:tcPr>
            <w:tcW w:w="153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Superficie</w:t>
            </w:r>
          </w:p>
        </w:tc>
        <w:tc>
          <w:tcPr>
            <w:tcW w:w="144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Bénéficiaires</w:t>
            </w:r>
          </w:p>
        </w:tc>
      </w:tr>
      <w:tr w:rsidR="00000000">
        <w:tblPrEx>
          <w:tblCellMar>
            <w:top w:w="0" w:type="dxa"/>
            <w:bottom w:w="0" w:type="dxa"/>
          </w:tblCellMar>
        </w:tblPrEx>
        <w:trPr>
          <w:jc w:val="center"/>
        </w:trPr>
        <w:tc>
          <w:tcPr>
            <w:tcW w:w="1980" w:type="dxa"/>
            <w:tcBorders>
              <w:top w:val="single" w:sz="4" w:space="0" w:color="auto"/>
            </w:tcBorders>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Sierra</w:t>
            </w:r>
          </w:p>
        </w:tc>
        <w:tc>
          <w:tcPr>
            <w:tcW w:w="1710" w:type="dxa"/>
            <w:tcBorders>
              <w:top w:val="single" w:sz="4" w:space="0" w:color="auto"/>
            </w:tcBorders>
          </w:tcPr>
          <w:p w:rsidR="00000000" w:rsidRDefault="00000000">
            <w:pPr>
              <w:autoSpaceDE w:val="0"/>
              <w:autoSpaceDN w:val="0"/>
              <w:adjustRightInd w:val="0"/>
              <w:spacing w:before="60" w:after="60"/>
              <w:ind w:right="776"/>
              <w:jc w:val="right"/>
              <w:rPr>
                <w:color w:val="000000"/>
                <w:sz w:val="20"/>
                <w:szCs w:val="22"/>
                <w:lang w:val="fr-FR"/>
              </w:rPr>
            </w:pPr>
            <w:r>
              <w:rPr>
                <w:color w:val="000000"/>
                <w:sz w:val="20"/>
                <w:szCs w:val="22"/>
                <w:lang w:val="fr-FR"/>
              </w:rPr>
              <w:t xml:space="preserve">1 631 </w:t>
            </w:r>
          </w:p>
        </w:tc>
        <w:tc>
          <w:tcPr>
            <w:tcW w:w="1530" w:type="dxa"/>
            <w:tcBorders>
              <w:top w:val="single" w:sz="4" w:space="0" w:color="auto"/>
            </w:tcBorders>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6 775,80</w:t>
            </w:r>
          </w:p>
        </w:tc>
        <w:tc>
          <w:tcPr>
            <w:tcW w:w="1440" w:type="dxa"/>
            <w:tcBorders>
              <w:top w:val="single" w:sz="4" w:space="0" w:color="auto"/>
            </w:tcBorders>
          </w:tcPr>
          <w:p w:rsidR="00000000" w:rsidRDefault="00000000">
            <w:pPr>
              <w:autoSpaceDE w:val="0"/>
              <w:autoSpaceDN w:val="0"/>
              <w:adjustRightInd w:val="0"/>
              <w:spacing w:before="60" w:after="60"/>
              <w:ind w:right="609"/>
              <w:jc w:val="right"/>
              <w:rPr>
                <w:color w:val="000000"/>
                <w:sz w:val="20"/>
                <w:szCs w:val="22"/>
                <w:lang w:val="fr-FR"/>
              </w:rPr>
            </w:pPr>
            <w:r>
              <w:rPr>
                <w:color w:val="000000"/>
                <w:sz w:val="20"/>
                <w:szCs w:val="22"/>
                <w:lang w:val="fr-FR"/>
              </w:rPr>
              <w:t xml:space="preserve">6 047  </w:t>
            </w:r>
          </w:p>
        </w:tc>
      </w:tr>
      <w:tr w:rsidR="00000000">
        <w:tblPrEx>
          <w:tblCellMar>
            <w:top w:w="0" w:type="dxa"/>
            <w:bottom w:w="0" w:type="dxa"/>
          </w:tblCellMar>
        </w:tblPrEx>
        <w:trPr>
          <w:jc w:val="center"/>
        </w:trPr>
        <w:tc>
          <w:tcPr>
            <w:tcW w:w="1980"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Costa </w:t>
            </w:r>
          </w:p>
        </w:tc>
        <w:tc>
          <w:tcPr>
            <w:tcW w:w="1710" w:type="dxa"/>
          </w:tcPr>
          <w:p w:rsidR="00000000" w:rsidRDefault="00000000">
            <w:pPr>
              <w:autoSpaceDE w:val="0"/>
              <w:autoSpaceDN w:val="0"/>
              <w:adjustRightInd w:val="0"/>
              <w:spacing w:before="60" w:after="60"/>
              <w:ind w:right="776"/>
              <w:jc w:val="right"/>
              <w:rPr>
                <w:color w:val="000000"/>
                <w:sz w:val="20"/>
                <w:szCs w:val="22"/>
                <w:lang w:val="fr-FR"/>
              </w:rPr>
            </w:pPr>
            <w:r>
              <w:rPr>
                <w:color w:val="000000"/>
                <w:sz w:val="20"/>
                <w:szCs w:val="22"/>
                <w:lang w:val="fr-FR"/>
              </w:rPr>
              <w:t xml:space="preserve">724 </w:t>
            </w:r>
          </w:p>
        </w:tc>
        <w:tc>
          <w:tcPr>
            <w:tcW w:w="1530" w:type="dxa"/>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16 984,80</w:t>
            </w:r>
          </w:p>
        </w:tc>
        <w:tc>
          <w:tcPr>
            <w:tcW w:w="1440" w:type="dxa"/>
          </w:tcPr>
          <w:p w:rsidR="00000000" w:rsidRDefault="00000000">
            <w:pPr>
              <w:autoSpaceDE w:val="0"/>
              <w:autoSpaceDN w:val="0"/>
              <w:adjustRightInd w:val="0"/>
              <w:spacing w:before="60" w:after="60"/>
              <w:ind w:right="609"/>
              <w:jc w:val="right"/>
              <w:rPr>
                <w:color w:val="000000"/>
                <w:sz w:val="20"/>
                <w:szCs w:val="22"/>
                <w:lang w:val="fr-FR"/>
              </w:rPr>
            </w:pPr>
            <w:r>
              <w:rPr>
                <w:color w:val="000000"/>
                <w:sz w:val="20"/>
                <w:szCs w:val="22"/>
                <w:lang w:val="fr-FR"/>
              </w:rPr>
              <w:t xml:space="preserve">2 798  </w:t>
            </w:r>
          </w:p>
        </w:tc>
      </w:tr>
      <w:tr w:rsidR="00000000">
        <w:tblPrEx>
          <w:tblCellMar>
            <w:top w:w="0" w:type="dxa"/>
            <w:bottom w:w="0" w:type="dxa"/>
          </w:tblCellMar>
        </w:tblPrEx>
        <w:trPr>
          <w:jc w:val="center"/>
        </w:trPr>
        <w:tc>
          <w:tcPr>
            <w:tcW w:w="1980"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Oriente</w:t>
            </w:r>
          </w:p>
        </w:tc>
        <w:tc>
          <w:tcPr>
            <w:tcW w:w="1710" w:type="dxa"/>
          </w:tcPr>
          <w:p w:rsidR="00000000" w:rsidRDefault="00000000">
            <w:pPr>
              <w:autoSpaceDE w:val="0"/>
              <w:autoSpaceDN w:val="0"/>
              <w:adjustRightInd w:val="0"/>
              <w:spacing w:before="60" w:after="60"/>
              <w:ind w:right="776"/>
              <w:jc w:val="right"/>
              <w:rPr>
                <w:color w:val="000000"/>
                <w:sz w:val="20"/>
                <w:szCs w:val="22"/>
                <w:lang w:val="fr-FR"/>
              </w:rPr>
            </w:pPr>
            <w:r>
              <w:rPr>
                <w:color w:val="000000"/>
                <w:sz w:val="20"/>
                <w:szCs w:val="22"/>
                <w:lang w:val="fr-FR"/>
              </w:rPr>
              <w:t xml:space="preserve">447 </w:t>
            </w:r>
          </w:p>
        </w:tc>
        <w:tc>
          <w:tcPr>
            <w:tcW w:w="1530" w:type="dxa"/>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5 804,40</w:t>
            </w:r>
          </w:p>
        </w:tc>
        <w:tc>
          <w:tcPr>
            <w:tcW w:w="1440" w:type="dxa"/>
          </w:tcPr>
          <w:p w:rsidR="00000000" w:rsidRDefault="00000000">
            <w:pPr>
              <w:autoSpaceDE w:val="0"/>
              <w:autoSpaceDN w:val="0"/>
              <w:adjustRightInd w:val="0"/>
              <w:spacing w:before="60" w:after="60"/>
              <w:ind w:right="609"/>
              <w:jc w:val="right"/>
              <w:rPr>
                <w:color w:val="000000"/>
                <w:sz w:val="20"/>
                <w:szCs w:val="22"/>
                <w:lang w:val="fr-FR"/>
              </w:rPr>
            </w:pPr>
            <w:r>
              <w:rPr>
                <w:color w:val="000000"/>
                <w:sz w:val="20"/>
                <w:szCs w:val="22"/>
                <w:lang w:val="fr-FR"/>
              </w:rPr>
              <w:t xml:space="preserve">1 706  </w:t>
            </w:r>
          </w:p>
        </w:tc>
      </w:tr>
      <w:tr w:rsidR="00000000">
        <w:tblPrEx>
          <w:tblCellMar>
            <w:top w:w="0" w:type="dxa"/>
            <w:bottom w:w="0" w:type="dxa"/>
          </w:tblCellMar>
        </w:tblPrEx>
        <w:trPr>
          <w:jc w:val="center"/>
        </w:trPr>
        <w:tc>
          <w:tcPr>
            <w:tcW w:w="1980"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  Total </w:t>
            </w:r>
          </w:p>
        </w:tc>
        <w:tc>
          <w:tcPr>
            <w:tcW w:w="1710" w:type="dxa"/>
          </w:tcPr>
          <w:p w:rsidR="00000000" w:rsidRDefault="00000000">
            <w:pPr>
              <w:autoSpaceDE w:val="0"/>
              <w:autoSpaceDN w:val="0"/>
              <w:adjustRightInd w:val="0"/>
              <w:spacing w:before="60" w:after="60"/>
              <w:ind w:right="776"/>
              <w:jc w:val="right"/>
              <w:rPr>
                <w:color w:val="000000"/>
                <w:sz w:val="20"/>
                <w:szCs w:val="22"/>
                <w:lang w:val="fr-FR"/>
              </w:rPr>
            </w:pPr>
            <w:r>
              <w:rPr>
                <w:color w:val="000000"/>
                <w:sz w:val="20"/>
                <w:szCs w:val="22"/>
                <w:lang w:val="fr-FR"/>
              </w:rPr>
              <w:t xml:space="preserve">2 802 </w:t>
            </w:r>
          </w:p>
        </w:tc>
        <w:tc>
          <w:tcPr>
            <w:tcW w:w="1530" w:type="dxa"/>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29 566,00</w:t>
            </w:r>
          </w:p>
        </w:tc>
        <w:tc>
          <w:tcPr>
            <w:tcW w:w="1440" w:type="dxa"/>
          </w:tcPr>
          <w:p w:rsidR="00000000" w:rsidRDefault="00000000">
            <w:pPr>
              <w:autoSpaceDE w:val="0"/>
              <w:autoSpaceDN w:val="0"/>
              <w:adjustRightInd w:val="0"/>
              <w:spacing w:before="60" w:after="60"/>
              <w:ind w:right="609"/>
              <w:jc w:val="right"/>
              <w:rPr>
                <w:color w:val="000000"/>
                <w:sz w:val="20"/>
                <w:szCs w:val="22"/>
                <w:lang w:val="fr-FR"/>
              </w:rPr>
            </w:pPr>
            <w:r>
              <w:rPr>
                <w:color w:val="000000"/>
                <w:sz w:val="20"/>
                <w:szCs w:val="22"/>
                <w:lang w:val="fr-FR"/>
              </w:rPr>
              <w:t xml:space="preserve">10 511  </w:t>
            </w:r>
          </w:p>
        </w:tc>
      </w:tr>
      <w:tr w:rsidR="00000000">
        <w:tblPrEx>
          <w:tblCellMar>
            <w:top w:w="0" w:type="dxa"/>
            <w:bottom w:w="0" w:type="dxa"/>
          </w:tblCellMar>
        </w:tblPrEx>
        <w:trPr>
          <w:jc w:val="center"/>
        </w:trPr>
        <w:tc>
          <w:tcPr>
            <w:tcW w:w="1980"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Projets </w:t>
            </w:r>
          </w:p>
        </w:tc>
        <w:tc>
          <w:tcPr>
            <w:tcW w:w="1710" w:type="dxa"/>
          </w:tcPr>
          <w:p w:rsidR="00000000" w:rsidRDefault="00000000">
            <w:pPr>
              <w:autoSpaceDE w:val="0"/>
              <w:autoSpaceDN w:val="0"/>
              <w:adjustRightInd w:val="0"/>
              <w:spacing w:before="60" w:after="60"/>
              <w:ind w:right="776"/>
              <w:jc w:val="right"/>
              <w:rPr>
                <w:color w:val="000000"/>
                <w:sz w:val="20"/>
                <w:szCs w:val="22"/>
                <w:lang w:val="fr-FR"/>
              </w:rPr>
            </w:pPr>
            <w:r>
              <w:rPr>
                <w:color w:val="000000"/>
                <w:sz w:val="20"/>
                <w:szCs w:val="22"/>
                <w:lang w:val="fr-FR"/>
              </w:rPr>
              <w:t xml:space="preserve">908 </w:t>
            </w:r>
          </w:p>
        </w:tc>
        <w:tc>
          <w:tcPr>
            <w:tcW w:w="1530" w:type="dxa"/>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19 144,00</w:t>
            </w:r>
          </w:p>
        </w:tc>
        <w:tc>
          <w:tcPr>
            <w:tcW w:w="1440" w:type="dxa"/>
          </w:tcPr>
          <w:p w:rsidR="00000000" w:rsidRDefault="00000000">
            <w:pPr>
              <w:autoSpaceDE w:val="0"/>
              <w:autoSpaceDN w:val="0"/>
              <w:adjustRightInd w:val="0"/>
              <w:spacing w:before="60" w:after="60"/>
              <w:ind w:right="609"/>
              <w:jc w:val="right"/>
              <w:rPr>
                <w:color w:val="000000"/>
                <w:sz w:val="20"/>
                <w:szCs w:val="22"/>
                <w:lang w:val="fr-FR"/>
              </w:rPr>
            </w:pPr>
            <w:r>
              <w:rPr>
                <w:color w:val="000000"/>
                <w:sz w:val="20"/>
                <w:szCs w:val="22"/>
                <w:lang w:val="fr-FR"/>
              </w:rPr>
              <w:t xml:space="preserve">2 627  </w:t>
            </w:r>
          </w:p>
        </w:tc>
      </w:tr>
      <w:tr w:rsidR="00000000">
        <w:tblPrEx>
          <w:tblCellMar>
            <w:top w:w="0" w:type="dxa"/>
            <w:bottom w:w="0" w:type="dxa"/>
          </w:tblCellMar>
        </w:tblPrEx>
        <w:trPr>
          <w:jc w:val="center"/>
        </w:trPr>
        <w:tc>
          <w:tcPr>
            <w:tcW w:w="1980"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  Total national </w:t>
            </w:r>
          </w:p>
        </w:tc>
        <w:tc>
          <w:tcPr>
            <w:tcW w:w="1710" w:type="dxa"/>
          </w:tcPr>
          <w:p w:rsidR="00000000" w:rsidRDefault="00000000">
            <w:pPr>
              <w:autoSpaceDE w:val="0"/>
              <w:autoSpaceDN w:val="0"/>
              <w:adjustRightInd w:val="0"/>
              <w:spacing w:before="60" w:after="60"/>
              <w:ind w:right="776"/>
              <w:jc w:val="right"/>
              <w:rPr>
                <w:color w:val="000000"/>
                <w:sz w:val="20"/>
                <w:szCs w:val="22"/>
                <w:lang w:val="fr-FR"/>
              </w:rPr>
            </w:pPr>
            <w:r>
              <w:rPr>
                <w:color w:val="000000"/>
                <w:sz w:val="20"/>
                <w:szCs w:val="22"/>
                <w:lang w:val="fr-FR"/>
              </w:rPr>
              <w:t xml:space="preserve">3 710 </w:t>
            </w:r>
          </w:p>
        </w:tc>
        <w:tc>
          <w:tcPr>
            <w:tcW w:w="1530" w:type="dxa"/>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48 709,00</w:t>
            </w:r>
          </w:p>
        </w:tc>
        <w:tc>
          <w:tcPr>
            <w:tcW w:w="1440" w:type="dxa"/>
          </w:tcPr>
          <w:p w:rsidR="00000000" w:rsidRDefault="00000000">
            <w:pPr>
              <w:autoSpaceDE w:val="0"/>
              <w:autoSpaceDN w:val="0"/>
              <w:adjustRightInd w:val="0"/>
              <w:spacing w:before="60" w:after="60"/>
              <w:ind w:right="609"/>
              <w:jc w:val="right"/>
              <w:rPr>
                <w:color w:val="000000"/>
                <w:sz w:val="20"/>
                <w:szCs w:val="22"/>
                <w:lang w:val="fr-FR"/>
              </w:rPr>
            </w:pPr>
            <w:r>
              <w:rPr>
                <w:color w:val="000000"/>
                <w:sz w:val="20"/>
                <w:szCs w:val="22"/>
                <w:lang w:val="fr-FR"/>
              </w:rPr>
              <w:t xml:space="preserve">13 178  </w:t>
            </w:r>
          </w:p>
        </w:tc>
      </w:tr>
    </w:tbl>
    <w:p w:rsidR="00000000" w:rsidRDefault="00000000">
      <w:pPr>
        <w:autoSpaceDE w:val="0"/>
        <w:autoSpaceDN w:val="0"/>
        <w:adjustRightInd w:val="0"/>
        <w:spacing w:before="80" w:after="360"/>
        <w:ind w:left="567" w:right="11"/>
        <w:rPr>
          <w:color w:val="000000"/>
          <w:sz w:val="20"/>
          <w:szCs w:val="22"/>
          <w:lang w:val="fr-FR"/>
        </w:rPr>
      </w:pPr>
      <w:r>
        <w:rPr>
          <w:i/>
          <w:iCs/>
          <w:color w:val="000000"/>
          <w:sz w:val="20"/>
          <w:szCs w:val="22"/>
          <w:lang w:val="fr-FR"/>
        </w:rPr>
        <w:t>Source :</w:t>
      </w:r>
      <w:r>
        <w:rPr>
          <w:color w:val="000000"/>
          <w:sz w:val="20"/>
          <w:szCs w:val="22"/>
          <w:lang w:val="fr-FR"/>
        </w:rPr>
        <w:t xml:space="preserve"> INDA, </w:t>
      </w:r>
      <w:r>
        <w:rPr>
          <w:i/>
          <w:iCs/>
          <w:color w:val="000000"/>
          <w:sz w:val="20"/>
          <w:szCs w:val="22"/>
          <w:lang w:val="fr-FR"/>
        </w:rPr>
        <w:t>Rapport Général</w:t>
      </w:r>
      <w:r>
        <w:rPr>
          <w:color w:val="000000"/>
          <w:sz w:val="20"/>
          <w:szCs w:val="22"/>
          <w:lang w:val="fr-FR"/>
        </w:rPr>
        <w:t xml:space="preserve">, 1998.  </w:t>
      </w:r>
    </w:p>
    <w:p w:rsidR="00000000" w:rsidRDefault="00000000">
      <w:pPr>
        <w:spacing w:after="240"/>
        <w:rPr>
          <w:iCs/>
          <w:color w:val="000000"/>
          <w:lang w:val="fr-FR"/>
        </w:rPr>
      </w:pPr>
      <w:r>
        <w:rPr>
          <w:iCs/>
          <w:color w:val="000000"/>
          <w:lang w:val="fr-FR"/>
        </w:rPr>
        <w:t>346.</w:t>
      </w:r>
      <w:r>
        <w:rPr>
          <w:iCs/>
          <w:color w:val="000000"/>
          <w:lang w:val="fr-FR"/>
        </w:rPr>
        <w:tab/>
        <w:t>La Loi de développement agraire modifiée (</w:t>
      </w:r>
      <w:r>
        <w:rPr>
          <w:i/>
          <w:iCs/>
          <w:color w:val="000000"/>
          <w:lang w:val="fr-FR"/>
        </w:rPr>
        <w:t>Journal officiel</w:t>
      </w:r>
      <w:r>
        <w:rPr>
          <w:iCs/>
          <w:color w:val="000000"/>
          <w:lang w:val="fr-FR"/>
        </w:rPr>
        <w:t xml:space="preserve"> N° 55 du 30 avril 1997) dispose que le Ministre de l'agriculture et de l'élevage, en accord avec les organisations paysannes, autochtones, de paysans de la côte (les montubios), d’afro-équatoriens, d'agriculteurs et d'entreprises agricoles, met en oeuvre un Programme national de formation et de transfert de technologie comprenant le renforcement et l’innovation des connaissances et techniques ancestrales.  Elle met en particulier l'accent sur la formation, considérée comme un des aspects les plus importants dans ce domaine.</w:t>
      </w:r>
    </w:p>
    <w:p w:rsidR="00000000" w:rsidRDefault="00000000">
      <w:pPr>
        <w:spacing w:after="240"/>
        <w:rPr>
          <w:iCs/>
          <w:color w:val="000000"/>
          <w:lang w:val="fr-FR"/>
        </w:rPr>
      </w:pPr>
      <w:r>
        <w:rPr>
          <w:iCs/>
          <w:color w:val="000000"/>
          <w:lang w:val="fr-FR"/>
        </w:rPr>
        <w:t>347.</w:t>
      </w:r>
      <w:r>
        <w:rPr>
          <w:iCs/>
          <w:color w:val="000000"/>
          <w:lang w:val="fr-FR"/>
        </w:rPr>
        <w:tab/>
        <w:t>Le Ministère, par Décret exécutif N° 417 du 6 juillet 1997, met en place l’organisation de la formation paysanne, telle qu’elle est définie dans la Loi de développement agraire, confiant à l'Institut national de formation paysanne (INCCA), après restructuration, la direction et la coordination de la formation paysanne dans le pays.</w:t>
      </w:r>
    </w:p>
    <w:p w:rsidR="00000000" w:rsidRDefault="00000000">
      <w:pPr>
        <w:spacing w:after="240"/>
        <w:rPr>
          <w:iCs/>
          <w:color w:val="000000"/>
          <w:lang w:val="fr-FR"/>
        </w:rPr>
      </w:pPr>
      <w:r>
        <w:rPr>
          <w:iCs/>
          <w:color w:val="000000"/>
          <w:lang w:val="fr-FR"/>
        </w:rPr>
        <w:t>348.</w:t>
      </w:r>
      <w:r>
        <w:rPr>
          <w:iCs/>
          <w:color w:val="000000"/>
          <w:lang w:val="fr-FR"/>
        </w:rPr>
        <w:tab/>
        <w:t xml:space="preserve">Aux fins de la réalisation des objectifs susmentionnés, le Fonds de dotation, constitué à partir de la vente d'actifs improductifs du Ministère, a été créé.  Son règlement a été publié aux </w:t>
      </w:r>
      <w:r>
        <w:rPr>
          <w:i/>
          <w:iCs/>
          <w:color w:val="000000"/>
          <w:lang w:val="fr-FR"/>
        </w:rPr>
        <w:t>Journaux officiels</w:t>
      </w:r>
      <w:r>
        <w:rPr>
          <w:iCs/>
          <w:color w:val="000000"/>
          <w:lang w:val="fr-FR"/>
        </w:rPr>
        <w:t xml:space="preserve"> N° 94 et N° 185 du 23 décembre 1996 et 31 octobre 1997, respectivement.</w:t>
      </w:r>
    </w:p>
    <w:p w:rsidR="00000000" w:rsidRDefault="00000000">
      <w:pPr>
        <w:spacing w:after="240"/>
        <w:rPr>
          <w:iCs/>
          <w:color w:val="000000"/>
          <w:lang w:val="fr-FR"/>
        </w:rPr>
      </w:pPr>
      <w:r>
        <w:rPr>
          <w:iCs/>
          <w:color w:val="000000"/>
          <w:lang w:val="fr-FR"/>
        </w:rPr>
        <w:t>349.</w:t>
      </w:r>
      <w:r>
        <w:rPr>
          <w:iCs/>
          <w:color w:val="000000"/>
          <w:lang w:val="fr-FR"/>
        </w:rPr>
        <w:tab/>
        <w:t>L’élaboration du Programme national de formation paysanne (PNCCA) a été l’aboutissement d'un processus participatif auquel ont pris part les diverses parties intéressées à partir de 1992, et qui a comporté une étude de la demande et de l'offre de formation dans le pays réalisée sous les auspices du Ministère.</w:t>
      </w:r>
    </w:p>
    <w:p w:rsidR="00000000" w:rsidRDefault="00000000">
      <w:pPr>
        <w:spacing w:after="240"/>
        <w:rPr>
          <w:iCs/>
          <w:color w:val="000000"/>
          <w:lang w:val="fr-FR"/>
        </w:rPr>
      </w:pPr>
      <w:r>
        <w:rPr>
          <w:iCs/>
          <w:color w:val="000000"/>
          <w:lang w:val="fr-FR"/>
        </w:rPr>
        <w:t>350.</w:t>
      </w:r>
      <w:r>
        <w:rPr>
          <w:iCs/>
          <w:color w:val="000000"/>
          <w:lang w:val="fr-FR"/>
        </w:rPr>
        <w:tab/>
        <w:t>Le Ministère a, par l'intermédiaire de l’INCCA, réassumé la responsabilité de l'exécution du PNCCA comme point de départ du Système national de formation paysanne.  Pour ce faire, il a convoqué les usagers et agents de la formation en vue de parvenir à un consensus sur les aspects stratégiques de la conception et du fonctionnement de ce système à un séminaire-atelier au cours duquel ont été identifiés, entre autres, les besoins et les thèmes de formation des producteurs et de leurs organisations.</w:t>
      </w:r>
    </w:p>
    <w:p w:rsidR="00000000" w:rsidRDefault="00000000">
      <w:pPr>
        <w:spacing w:after="240"/>
        <w:rPr>
          <w:iCs/>
          <w:color w:val="000000"/>
          <w:lang w:val="fr-FR"/>
        </w:rPr>
      </w:pPr>
      <w:r>
        <w:rPr>
          <w:iCs/>
          <w:color w:val="000000"/>
          <w:lang w:val="fr-FR"/>
        </w:rPr>
        <w:t>351.</w:t>
      </w:r>
      <w:r>
        <w:rPr>
          <w:iCs/>
          <w:color w:val="000000"/>
          <w:lang w:val="fr-FR"/>
        </w:rPr>
        <w:tab/>
        <w:t>À l'issue de ce processus, le Ministère et l’INCCA ont présenté le PNCCA pour 1999, qui constitue l'instrument de travail approuvé d'un commun accord par les usagers, les formateurs et l'État équatorien</w:t>
      </w:r>
      <w:r>
        <w:rPr>
          <w:rStyle w:val="FootnoteReference"/>
          <w:b/>
          <w:iCs/>
          <w:color w:val="000000"/>
          <w:lang w:val="fr-FR"/>
        </w:rPr>
        <w:footnoteReference w:id="46"/>
      </w:r>
      <w:r>
        <w:rPr>
          <w:iCs/>
          <w:color w:val="000000"/>
          <w:lang w:val="fr-FR"/>
        </w:rPr>
        <w:t>.</w:t>
      </w:r>
    </w:p>
    <w:p w:rsidR="00000000" w:rsidRDefault="00000000">
      <w:pPr>
        <w:spacing w:after="240"/>
        <w:rPr>
          <w:iCs/>
          <w:color w:val="000000"/>
          <w:lang w:val="fr-FR"/>
        </w:rPr>
      </w:pPr>
      <w:r>
        <w:rPr>
          <w:b/>
          <w:iCs/>
          <w:color w:val="000000"/>
          <w:lang w:val="fr-FR"/>
        </w:rPr>
        <w:t>Le droit à un logement adéquat</w:t>
      </w:r>
    </w:p>
    <w:p w:rsidR="00000000" w:rsidRDefault="00000000">
      <w:pPr>
        <w:spacing w:after="240"/>
        <w:rPr>
          <w:iCs/>
          <w:color w:val="000000"/>
          <w:lang w:val="fr-FR"/>
        </w:rPr>
      </w:pPr>
      <w:r>
        <w:rPr>
          <w:iCs/>
          <w:color w:val="000000"/>
          <w:lang w:val="fr-FR"/>
        </w:rPr>
        <w:t>352.</w:t>
      </w:r>
      <w:r>
        <w:rPr>
          <w:iCs/>
          <w:color w:val="000000"/>
          <w:lang w:val="fr-FR"/>
        </w:rPr>
        <w:tab/>
        <w:t>L’information relative au logement analysée dans le présent rapport est fondée sur les derniers recensements réalisés.  Le prochain recensement est prévu en 2001.</w:t>
      </w:r>
    </w:p>
    <w:p w:rsidR="00000000" w:rsidRDefault="00000000">
      <w:pPr>
        <w:spacing w:after="240"/>
        <w:rPr>
          <w:iCs/>
          <w:color w:val="000000"/>
          <w:lang w:val="fr-FR"/>
        </w:rPr>
      </w:pPr>
      <w:r>
        <w:rPr>
          <w:iCs/>
          <w:color w:val="000000"/>
          <w:lang w:val="fr-FR"/>
        </w:rPr>
        <w:t>353.</w:t>
      </w:r>
      <w:r>
        <w:rPr>
          <w:iCs/>
          <w:color w:val="000000"/>
          <w:lang w:val="fr-FR"/>
        </w:rPr>
        <w:tab/>
        <w:t>La très grande majorité des logements est concentrée dans les régions de la Sierra et de la Costa, ces deux régions regroupant environ 96 % du nombre total des habitations en Équateur, tant En 1982 qu’en 1990.  Pour déterminer le déficit en logements du pays, on a analysé l'accroissement du nombre d’habitations pour la période 1982-1990.</w:t>
      </w:r>
    </w:p>
    <w:p w:rsidR="00000000" w:rsidRDefault="00000000">
      <w:pPr>
        <w:spacing w:after="360"/>
        <w:rPr>
          <w:iCs/>
          <w:color w:val="000000"/>
          <w:lang w:val="fr-FR"/>
        </w:rPr>
      </w:pPr>
      <w:r>
        <w:rPr>
          <w:iCs/>
          <w:color w:val="000000"/>
          <w:lang w:val="fr-FR"/>
        </w:rPr>
        <w:t>354.</w:t>
      </w:r>
      <w:r>
        <w:rPr>
          <w:iCs/>
          <w:color w:val="000000"/>
          <w:lang w:val="fr-FR"/>
        </w:rPr>
        <w:tab/>
        <w:t>Au plan national, le nombre de logements a augmenté de 27,4 %.  En ce qui concerne l'accroissement par région, c’est dans la région insulaire et dans la zone non délimitée qu’il a été le plus fort (72 % et 74 %, respectivement); vient ensuite la région de l’Oriente (47 %), suivie par la Costa et la Sierra (31 % et 22 %, respectivement).</w:t>
      </w:r>
    </w:p>
    <w:p w:rsidR="00000000" w:rsidRDefault="00000000">
      <w:pPr>
        <w:autoSpaceDE w:val="0"/>
        <w:autoSpaceDN w:val="0"/>
        <w:adjustRightInd w:val="0"/>
        <w:ind w:right="11"/>
        <w:jc w:val="center"/>
        <w:rPr>
          <w:color w:val="000000"/>
          <w:sz w:val="20"/>
          <w:szCs w:val="22"/>
          <w:lang w:val="fr-FR"/>
        </w:rPr>
      </w:pPr>
      <w:r>
        <w:rPr>
          <w:b/>
          <w:bCs/>
          <w:color w:val="000000"/>
          <w:sz w:val="20"/>
          <w:szCs w:val="22"/>
          <w:lang w:val="fr-FR"/>
        </w:rPr>
        <w:br w:type="page"/>
        <w:t xml:space="preserve">Logements Particuliers  </w:t>
      </w:r>
    </w:p>
    <w:p w:rsidR="00000000" w:rsidRDefault="00000000">
      <w:pPr>
        <w:autoSpaceDE w:val="0"/>
        <w:autoSpaceDN w:val="0"/>
        <w:adjustRightInd w:val="0"/>
        <w:spacing w:after="120"/>
        <w:ind w:right="11"/>
        <w:jc w:val="center"/>
        <w:rPr>
          <w:i/>
          <w:iCs/>
          <w:color w:val="000000"/>
          <w:sz w:val="20"/>
          <w:szCs w:val="22"/>
          <w:lang w:val="fr-FR"/>
        </w:rPr>
      </w:pPr>
      <w:r>
        <w:rPr>
          <w:i/>
          <w:iCs/>
          <w:color w:val="000000"/>
          <w:sz w:val="20"/>
          <w:szCs w:val="22"/>
          <w:lang w:val="fr-FR"/>
        </w:rPr>
        <w:t xml:space="preserve">(Recensements de 1982 et 1990)  </w:t>
      </w:r>
    </w:p>
    <w:tbl>
      <w:tblPr>
        <w:tblW w:w="8505" w:type="dxa"/>
        <w:jc w:val="center"/>
        <w:tblInd w:w="1371"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426"/>
        <w:gridCol w:w="1710"/>
        <w:gridCol w:w="1710"/>
        <w:gridCol w:w="2659"/>
      </w:tblGrid>
      <w:tr w:rsidR="00000000">
        <w:tblPrEx>
          <w:tblCellMar>
            <w:top w:w="0" w:type="dxa"/>
            <w:bottom w:w="0" w:type="dxa"/>
          </w:tblCellMar>
        </w:tblPrEx>
        <w:trPr>
          <w:jc w:val="center"/>
        </w:trPr>
        <w:tc>
          <w:tcPr>
            <w:tcW w:w="2426"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Région</w:t>
            </w:r>
          </w:p>
        </w:tc>
        <w:tc>
          <w:tcPr>
            <w:tcW w:w="171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1982</w:t>
            </w:r>
          </w:p>
        </w:tc>
        <w:tc>
          <w:tcPr>
            <w:tcW w:w="171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1990</w:t>
            </w:r>
          </w:p>
        </w:tc>
        <w:tc>
          <w:tcPr>
            <w:tcW w:w="2659"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Variation (en pourcentage)</w:t>
            </w:r>
          </w:p>
        </w:tc>
      </w:tr>
      <w:tr w:rsidR="00000000">
        <w:tblPrEx>
          <w:tblCellMar>
            <w:top w:w="0" w:type="dxa"/>
            <w:bottom w:w="0" w:type="dxa"/>
          </w:tblCellMar>
        </w:tblPrEx>
        <w:trPr>
          <w:jc w:val="center"/>
        </w:trPr>
        <w:tc>
          <w:tcPr>
            <w:tcW w:w="2426" w:type="dxa"/>
            <w:tcBorders>
              <w:top w:val="single" w:sz="4" w:space="0" w:color="auto"/>
            </w:tcBorders>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Sierra</w:t>
            </w:r>
          </w:p>
        </w:tc>
        <w:tc>
          <w:tcPr>
            <w:tcW w:w="1710" w:type="dxa"/>
            <w:tcBorders>
              <w:top w:val="single" w:sz="4" w:space="0" w:color="auto"/>
            </w:tcBorders>
          </w:tcPr>
          <w:p w:rsidR="00000000" w:rsidRDefault="00000000">
            <w:pPr>
              <w:autoSpaceDE w:val="0"/>
              <w:autoSpaceDN w:val="0"/>
              <w:adjustRightInd w:val="0"/>
              <w:spacing w:before="60" w:after="60"/>
              <w:ind w:right="376"/>
              <w:jc w:val="right"/>
              <w:rPr>
                <w:color w:val="000000"/>
                <w:sz w:val="20"/>
                <w:szCs w:val="22"/>
                <w:lang w:val="fr-FR"/>
              </w:rPr>
            </w:pPr>
            <w:r>
              <w:rPr>
                <w:color w:val="000000"/>
                <w:sz w:val="20"/>
                <w:szCs w:val="22"/>
                <w:lang w:val="fr-FR"/>
              </w:rPr>
              <w:t xml:space="preserve">799 287 </w:t>
            </w:r>
          </w:p>
        </w:tc>
        <w:tc>
          <w:tcPr>
            <w:tcW w:w="1710" w:type="dxa"/>
            <w:tcBorders>
              <w:top w:val="single" w:sz="4" w:space="0" w:color="auto"/>
            </w:tcBorders>
          </w:tcPr>
          <w:p w:rsidR="00000000" w:rsidRDefault="00000000">
            <w:pPr>
              <w:autoSpaceDE w:val="0"/>
              <w:autoSpaceDN w:val="0"/>
              <w:adjustRightInd w:val="0"/>
              <w:spacing w:before="60" w:after="60"/>
              <w:ind w:right="376"/>
              <w:jc w:val="right"/>
              <w:rPr>
                <w:color w:val="000000"/>
                <w:sz w:val="20"/>
                <w:szCs w:val="22"/>
                <w:lang w:val="fr-FR"/>
              </w:rPr>
            </w:pPr>
            <w:r>
              <w:rPr>
                <w:color w:val="000000"/>
                <w:sz w:val="20"/>
                <w:szCs w:val="22"/>
                <w:lang w:val="fr-FR"/>
              </w:rPr>
              <w:t xml:space="preserve">976 112 </w:t>
            </w:r>
          </w:p>
        </w:tc>
        <w:tc>
          <w:tcPr>
            <w:tcW w:w="2659" w:type="dxa"/>
            <w:tcBorders>
              <w:top w:val="single" w:sz="4" w:space="0" w:color="auto"/>
            </w:tcBorders>
          </w:tcPr>
          <w:p w:rsidR="00000000" w:rsidRDefault="00000000">
            <w:pPr>
              <w:tabs>
                <w:tab w:val="decimal" w:pos="1190"/>
              </w:tabs>
              <w:autoSpaceDE w:val="0"/>
              <w:autoSpaceDN w:val="0"/>
              <w:adjustRightInd w:val="0"/>
              <w:spacing w:before="60" w:after="60"/>
              <w:rPr>
                <w:color w:val="000000"/>
                <w:sz w:val="20"/>
                <w:szCs w:val="22"/>
                <w:lang w:val="fr-FR"/>
              </w:rPr>
            </w:pPr>
            <w:r>
              <w:rPr>
                <w:color w:val="000000"/>
                <w:sz w:val="20"/>
                <w:szCs w:val="22"/>
                <w:lang w:val="fr-FR"/>
              </w:rPr>
              <w:t xml:space="preserve">22,0  </w:t>
            </w:r>
          </w:p>
        </w:tc>
      </w:tr>
      <w:tr w:rsidR="00000000">
        <w:tblPrEx>
          <w:tblCellMar>
            <w:top w:w="0" w:type="dxa"/>
            <w:bottom w:w="0" w:type="dxa"/>
          </w:tblCellMar>
        </w:tblPrEx>
        <w:trPr>
          <w:jc w:val="center"/>
        </w:trPr>
        <w:tc>
          <w:tcPr>
            <w:tcW w:w="2426"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Costa</w:t>
            </w:r>
          </w:p>
        </w:tc>
        <w:tc>
          <w:tcPr>
            <w:tcW w:w="1710" w:type="dxa"/>
          </w:tcPr>
          <w:p w:rsidR="00000000" w:rsidRDefault="00000000">
            <w:pPr>
              <w:autoSpaceDE w:val="0"/>
              <w:autoSpaceDN w:val="0"/>
              <w:adjustRightInd w:val="0"/>
              <w:spacing w:before="60" w:after="60"/>
              <w:ind w:right="376"/>
              <w:jc w:val="right"/>
              <w:rPr>
                <w:color w:val="000000"/>
                <w:sz w:val="20"/>
                <w:szCs w:val="22"/>
                <w:lang w:val="fr-FR"/>
              </w:rPr>
            </w:pPr>
            <w:r>
              <w:rPr>
                <w:color w:val="000000"/>
                <w:sz w:val="20"/>
                <w:szCs w:val="22"/>
                <w:lang w:val="fr-FR"/>
              </w:rPr>
              <w:t xml:space="preserve">719 693 </w:t>
            </w:r>
          </w:p>
        </w:tc>
        <w:tc>
          <w:tcPr>
            <w:tcW w:w="1710" w:type="dxa"/>
          </w:tcPr>
          <w:p w:rsidR="00000000" w:rsidRDefault="00000000">
            <w:pPr>
              <w:autoSpaceDE w:val="0"/>
              <w:autoSpaceDN w:val="0"/>
              <w:adjustRightInd w:val="0"/>
              <w:spacing w:before="60" w:after="60"/>
              <w:ind w:right="376"/>
              <w:jc w:val="right"/>
              <w:rPr>
                <w:color w:val="000000"/>
                <w:sz w:val="20"/>
                <w:szCs w:val="22"/>
                <w:lang w:val="fr-FR"/>
              </w:rPr>
            </w:pPr>
            <w:r>
              <w:rPr>
                <w:color w:val="000000"/>
                <w:sz w:val="20"/>
                <w:szCs w:val="22"/>
                <w:lang w:val="fr-FR"/>
              </w:rPr>
              <w:t xml:space="preserve">945 573 </w:t>
            </w:r>
          </w:p>
        </w:tc>
        <w:tc>
          <w:tcPr>
            <w:tcW w:w="2659" w:type="dxa"/>
          </w:tcPr>
          <w:p w:rsidR="00000000" w:rsidRDefault="00000000">
            <w:pPr>
              <w:tabs>
                <w:tab w:val="decimal" w:pos="1190"/>
              </w:tabs>
              <w:autoSpaceDE w:val="0"/>
              <w:autoSpaceDN w:val="0"/>
              <w:adjustRightInd w:val="0"/>
              <w:spacing w:before="60" w:after="60"/>
              <w:rPr>
                <w:color w:val="000000"/>
                <w:sz w:val="20"/>
                <w:szCs w:val="22"/>
                <w:lang w:val="fr-FR"/>
              </w:rPr>
            </w:pPr>
            <w:r>
              <w:rPr>
                <w:color w:val="000000"/>
                <w:sz w:val="20"/>
                <w:szCs w:val="22"/>
                <w:lang w:val="fr-FR"/>
              </w:rPr>
              <w:t xml:space="preserve">31,0  </w:t>
            </w:r>
          </w:p>
        </w:tc>
      </w:tr>
      <w:tr w:rsidR="00000000">
        <w:tblPrEx>
          <w:tblCellMar>
            <w:top w:w="0" w:type="dxa"/>
            <w:bottom w:w="0" w:type="dxa"/>
          </w:tblCellMar>
        </w:tblPrEx>
        <w:trPr>
          <w:jc w:val="center"/>
        </w:trPr>
        <w:tc>
          <w:tcPr>
            <w:tcW w:w="2426"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Oriente</w:t>
            </w:r>
          </w:p>
        </w:tc>
        <w:tc>
          <w:tcPr>
            <w:tcW w:w="1710" w:type="dxa"/>
          </w:tcPr>
          <w:p w:rsidR="00000000" w:rsidRDefault="00000000">
            <w:pPr>
              <w:autoSpaceDE w:val="0"/>
              <w:autoSpaceDN w:val="0"/>
              <w:adjustRightInd w:val="0"/>
              <w:spacing w:before="60" w:after="60"/>
              <w:ind w:right="376"/>
              <w:jc w:val="right"/>
              <w:rPr>
                <w:color w:val="000000"/>
                <w:sz w:val="20"/>
                <w:szCs w:val="22"/>
                <w:lang w:val="fr-FR"/>
              </w:rPr>
            </w:pPr>
            <w:r>
              <w:rPr>
                <w:color w:val="000000"/>
                <w:sz w:val="20"/>
                <w:szCs w:val="22"/>
                <w:lang w:val="fr-FR"/>
              </w:rPr>
              <w:t xml:space="preserve">48 651 </w:t>
            </w:r>
          </w:p>
        </w:tc>
        <w:tc>
          <w:tcPr>
            <w:tcW w:w="1710" w:type="dxa"/>
          </w:tcPr>
          <w:p w:rsidR="00000000" w:rsidRDefault="00000000">
            <w:pPr>
              <w:autoSpaceDE w:val="0"/>
              <w:autoSpaceDN w:val="0"/>
              <w:adjustRightInd w:val="0"/>
              <w:spacing w:before="60" w:after="60"/>
              <w:ind w:right="376"/>
              <w:jc w:val="right"/>
              <w:rPr>
                <w:color w:val="000000"/>
                <w:sz w:val="20"/>
                <w:szCs w:val="22"/>
                <w:lang w:val="fr-FR"/>
              </w:rPr>
            </w:pPr>
            <w:r>
              <w:rPr>
                <w:color w:val="000000"/>
                <w:sz w:val="20"/>
                <w:szCs w:val="22"/>
                <w:lang w:val="fr-FR"/>
              </w:rPr>
              <w:t xml:space="preserve">71 640 </w:t>
            </w:r>
          </w:p>
        </w:tc>
        <w:tc>
          <w:tcPr>
            <w:tcW w:w="2659" w:type="dxa"/>
          </w:tcPr>
          <w:p w:rsidR="00000000" w:rsidRDefault="00000000">
            <w:pPr>
              <w:tabs>
                <w:tab w:val="decimal" w:pos="1190"/>
              </w:tabs>
              <w:autoSpaceDE w:val="0"/>
              <w:autoSpaceDN w:val="0"/>
              <w:adjustRightInd w:val="0"/>
              <w:spacing w:before="60" w:after="60"/>
              <w:rPr>
                <w:color w:val="000000"/>
                <w:sz w:val="20"/>
                <w:szCs w:val="22"/>
                <w:lang w:val="fr-FR"/>
              </w:rPr>
            </w:pPr>
            <w:r>
              <w:rPr>
                <w:color w:val="000000"/>
                <w:sz w:val="20"/>
                <w:szCs w:val="22"/>
                <w:lang w:val="fr-FR"/>
              </w:rPr>
              <w:t xml:space="preserve">47,0  </w:t>
            </w:r>
          </w:p>
        </w:tc>
      </w:tr>
      <w:tr w:rsidR="00000000">
        <w:tblPrEx>
          <w:tblCellMar>
            <w:top w:w="0" w:type="dxa"/>
            <w:bottom w:w="0" w:type="dxa"/>
          </w:tblCellMar>
        </w:tblPrEx>
        <w:trPr>
          <w:jc w:val="center"/>
        </w:trPr>
        <w:tc>
          <w:tcPr>
            <w:tcW w:w="2426"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Galápagos </w:t>
            </w:r>
          </w:p>
        </w:tc>
        <w:tc>
          <w:tcPr>
            <w:tcW w:w="1710" w:type="dxa"/>
          </w:tcPr>
          <w:p w:rsidR="00000000" w:rsidRDefault="00000000">
            <w:pPr>
              <w:autoSpaceDE w:val="0"/>
              <w:autoSpaceDN w:val="0"/>
              <w:adjustRightInd w:val="0"/>
              <w:spacing w:before="60" w:after="60"/>
              <w:ind w:right="376"/>
              <w:jc w:val="right"/>
              <w:rPr>
                <w:color w:val="000000"/>
                <w:sz w:val="20"/>
                <w:szCs w:val="22"/>
                <w:lang w:val="fr-FR"/>
              </w:rPr>
            </w:pPr>
            <w:r>
              <w:rPr>
                <w:color w:val="000000"/>
                <w:sz w:val="20"/>
                <w:szCs w:val="22"/>
                <w:lang w:val="fr-FR"/>
              </w:rPr>
              <w:t xml:space="preserve">1 265 </w:t>
            </w:r>
          </w:p>
        </w:tc>
        <w:tc>
          <w:tcPr>
            <w:tcW w:w="1710" w:type="dxa"/>
          </w:tcPr>
          <w:p w:rsidR="00000000" w:rsidRDefault="00000000">
            <w:pPr>
              <w:autoSpaceDE w:val="0"/>
              <w:autoSpaceDN w:val="0"/>
              <w:adjustRightInd w:val="0"/>
              <w:spacing w:before="60" w:after="60"/>
              <w:ind w:right="376"/>
              <w:jc w:val="right"/>
              <w:rPr>
                <w:color w:val="000000"/>
                <w:sz w:val="20"/>
                <w:szCs w:val="22"/>
                <w:lang w:val="fr-FR"/>
              </w:rPr>
            </w:pPr>
            <w:r>
              <w:rPr>
                <w:color w:val="000000"/>
                <w:sz w:val="20"/>
                <w:szCs w:val="22"/>
                <w:lang w:val="fr-FR"/>
              </w:rPr>
              <w:t xml:space="preserve">2 170 </w:t>
            </w:r>
          </w:p>
        </w:tc>
        <w:tc>
          <w:tcPr>
            <w:tcW w:w="2659" w:type="dxa"/>
          </w:tcPr>
          <w:p w:rsidR="00000000" w:rsidRDefault="00000000">
            <w:pPr>
              <w:tabs>
                <w:tab w:val="decimal" w:pos="1190"/>
              </w:tabs>
              <w:autoSpaceDE w:val="0"/>
              <w:autoSpaceDN w:val="0"/>
              <w:adjustRightInd w:val="0"/>
              <w:spacing w:before="60" w:after="60"/>
              <w:rPr>
                <w:color w:val="000000"/>
                <w:sz w:val="20"/>
                <w:szCs w:val="22"/>
                <w:lang w:val="fr-FR"/>
              </w:rPr>
            </w:pPr>
            <w:r>
              <w:rPr>
                <w:color w:val="000000"/>
                <w:sz w:val="20"/>
                <w:szCs w:val="22"/>
                <w:lang w:val="fr-FR"/>
              </w:rPr>
              <w:t xml:space="preserve">72,0  </w:t>
            </w:r>
          </w:p>
        </w:tc>
      </w:tr>
      <w:tr w:rsidR="00000000">
        <w:tblPrEx>
          <w:tblCellMar>
            <w:top w:w="0" w:type="dxa"/>
            <w:bottom w:w="0" w:type="dxa"/>
          </w:tblCellMar>
        </w:tblPrEx>
        <w:trPr>
          <w:jc w:val="center"/>
        </w:trPr>
        <w:tc>
          <w:tcPr>
            <w:tcW w:w="2426"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Zone non délimitée </w:t>
            </w:r>
          </w:p>
        </w:tc>
        <w:tc>
          <w:tcPr>
            <w:tcW w:w="1710" w:type="dxa"/>
          </w:tcPr>
          <w:p w:rsidR="00000000" w:rsidRDefault="00000000">
            <w:pPr>
              <w:autoSpaceDE w:val="0"/>
              <w:autoSpaceDN w:val="0"/>
              <w:adjustRightInd w:val="0"/>
              <w:spacing w:before="60" w:after="60"/>
              <w:ind w:right="376"/>
              <w:jc w:val="right"/>
              <w:rPr>
                <w:color w:val="000000"/>
                <w:sz w:val="20"/>
                <w:szCs w:val="22"/>
                <w:lang w:val="fr-FR"/>
              </w:rPr>
            </w:pPr>
            <w:r>
              <w:rPr>
                <w:color w:val="000000"/>
                <w:sz w:val="20"/>
                <w:szCs w:val="22"/>
                <w:lang w:val="fr-FR"/>
              </w:rPr>
              <w:t xml:space="preserve">7 545 </w:t>
            </w:r>
          </w:p>
        </w:tc>
        <w:tc>
          <w:tcPr>
            <w:tcW w:w="1710" w:type="dxa"/>
          </w:tcPr>
          <w:p w:rsidR="00000000" w:rsidRDefault="00000000">
            <w:pPr>
              <w:autoSpaceDE w:val="0"/>
              <w:autoSpaceDN w:val="0"/>
              <w:adjustRightInd w:val="0"/>
              <w:spacing w:before="60" w:after="60"/>
              <w:ind w:right="376"/>
              <w:jc w:val="right"/>
              <w:rPr>
                <w:color w:val="000000"/>
                <w:sz w:val="20"/>
                <w:szCs w:val="22"/>
                <w:lang w:val="fr-FR"/>
              </w:rPr>
            </w:pPr>
            <w:r>
              <w:rPr>
                <w:color w:val="000000"/>
                <w:sz w:val="20"/>
                <w:szCs w:val="22"/>
                <w:lang w:val="fr-FR"/>
              </w:rPr>
              <w:t xml:space="preserve">13 160 </w:t>
            </w:r>
          </w:p>
        </w:tc>
        <w:tc>
          <w:tcPr>
            <w:tcW w:w="2659" w:type="dxa"/>
          </w:tcPr>
          <w:p w:rsidR="00000000" w:rsidRDefault="00000000">
            <w:pPr>
              <w:tabs>
                <w:tab w:val="decimal" w:pos="1190"/>
              </w:tabs>
              <w:autoSpaceDE w:val="0"/>
              <w:autoSpaceDN w:val="0"/>
              <w:adjustRightInd w:val="0"/>
              <w:spacing w:before="60" w:after="60"/>
              <w:rPr>
                <w:color w:val="000000"/>
                <w:sz w:val="20"/>
                <w:szCs w:val="22"/>
                <w:lang w:val="fr-FR"/>
              </w:rPr>
            </w:pPr>
            <w:r>
              <w:rPr>
                <w:color w:val="000000"/>
                <w:sz w:val="20"/>
                <w:szCs w:val="22"/>
                <w:lang w:val="fr-FR"/>
              </w:rPr>
              <w:t xml:space="preserve">74,4  </w:t>
            </w:r>
          </w:p>
        </w:tc>
      </w:tr>
      <w:tr w:rsidR="00000000">
        <w:tblPrEx>
          <w:tblCellMar>
            <w:top w:w="0" w:type="dxa"/>
            <w:bottom w:w="0" w:type="dxa"/>
          </w:tblCellMar>
        </w:tblPrEx>
        <w:trPr>
          <w:jc w:val="center"/>
        </w:trPr>
        <w:tc>
          <w:tcPr>
            <w:tcW w:w="2426"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Total national </w:t>
            </w:r>
          </w:p>
        </w:tc>
        <w:tc>
          <w:tcPr>
            <w:tcW w:w="1710" w:type="dxa"/>
          </w:tcPr>
          <w:p w:rsidR="00000000" w:rsidRDefault="00000000">
            <w:pPr>
              <w:autoSpaceDE w:val="0"/>
              <w:autoSpaceDN w:val="0"/>
              <w:adjustRightInd w:val="0"/>
              <w:spacing w:before="60" w:after="60"/>
              <w:ind w:right="376"/>
              <w:jc w:val="right"/>
              <w:rPr>
                <w:color w:val="000000"/>
                <w:sz w:val="20"/>
                <w:szCs w:val="22"/>
                <w:lang w:val="fr-FR"/>
              </w:rPr>
            </w:pPr>
            <w:r>
              <w:rPr>
                <w:color w:val="000000"/>
                <w:sz w:val="20"/>
                <w:szCs w:val="22"/>
                <w:lang w:val="fr-FR"/>
              </w:rPr>
              <w:t xml:space="preserve">1 576 441 </w:t>
            </w:r>
          </w:p>
        </w:tc>
        <w:tc>
          <w:tcPr>
            <w:tcW w:w="1710" w:type="dxa"/>
          </w:tcPr>
          <w:p w:rsidR="00000000" w:rsidRDefault="00000000">
            <w:pPr>
              <w:autoSpaceDE w:val="0"/>
              <w:autoSpaceDN w:val="0"/>
              <w:adjustRightInd w:val="0"/>
              <w:spacing w:before="60" w:after="60"/>
              <w:ind w:right="376"/>
              <w:jc w:val="right"/>
              <w:rPr>
                <w:color w:val="000000"/>
                <w:sz w:val="20"/>
                <w:szCs w:val="22"/>
                <w:lang w:val="fr-FR"/>
              </w:rPr>
            </w:pPr>
            <w:r>
              <w:rPr>
                <w:color w:val="000000"/>
                <w:sz w:val="20"/>
                <w:szCs w:val="22"/>
                <w:lang w:val="fr-FR"/>
              </w:rPr>
              <w:t xml:space="preserve">2 008 655 </w:t>
            </w:r>
          </w:p>
        </w:tc>
        <w:tc>
          <w:tcPr>
            <w:tcW w:w="2659" w:type="dxa"/>
          </w:tcPr>
          <w:p w:rsidR="00000000" w:rsidRDefault="00000000">
            <w:pPr>
              <w:tabs>
                <w:tab w:val="decimal" w:pos="1190"/>
              </w:tabs>
              <w:autoSpaceDE w:val="0"/>
              <w:autoSpaceDN w:val="0"/>
              <w:adjustRightInd w:val="0"/>
              <w:spacing w:before="60" w:after="60"/>
              <w:rPr>
                <w:color w:val="000000"/>
                <w:sz w:val="20"/>
                <w:szCs w:val="22"/>
                <w:lang w:val="fr-FR"/>
              </w:rPr>
            </w:pPr>
            <w:r>
              <w:rPr>
                <w:color w:val="000000"/>
                <w:sz w:val="20"/>
                <w:szCs w:val="22"/>
                <w:lang w:val="fr-FR"/>
              </w:rPr>
              <w:t xml:space="preserve">27,4  </w:t>
            </w:r>
          </w:p>
        </w:tc>
      </w:tr>
    </w:tbl>
    <w:p w:rsidR="00000000" w:rsidRDefault="00000000">
      <w:pPr>
        <w:autoSpaceDE w:val="0"/>
        <w:autoSpaceDN w:val="0"/>
        <w:adjustRightInd w:val="0"/>
        <w:spacing w:before="80" w:after="360"/>
        <w:ind w:left="567"/>
        <w:rPr>
          <w:color w:val="000000"/>
          <w:sz w:val="20"/>
          <w:szCs w:val="22"/>
          <w:lang w:val="fr-FR"/>
        </w:rPr>
      </w:pPr>
      <w:r>
        <w:rPr>
          <w:i/>
          <w:iCs/>
          <w:color w:val="000000"/>
          <w:sz w:val="20"/>
          <w:szCs w:val="22"/>
          <w:lang w:val="fr-FR"/>
        </w:rPr>
        <w:t>Source :</w:t>
      </w:r>
      <w:r>
        <w:rPr>
          <w:color w:val="000000"/>
          <w:sz w:val="20"/>
          <w:szCs w:val="22"/>
          <w:lang w:val="fr-FR"/>
        </w:rPr>
        <w:t xml:space="preserve"> Ministère du développement urbain et du logement-INEC.</w:t>
      </w:r>
    </w:p>
    <w:p w:rsidR="00000000" w:rsidRDefault="00000000">
      <w:pPr>
        <w:autoSpaceDE w:val="0"/>
        <w:autoSpaceDN w:val="0"/>
        <w:adjustRightInd w:val="0"/>
        <w:jc w:val="center"/>
        <w:rPr>
          <w:color w:val="000000"/>
          <w:sz w:val="20"/>
          <w:szCs w:val="22"/>
          <w:lang w:val="fr-FR"/>
        </w:rPr>
      </w:pPr>
      <w:r>
        <w:rPr>
          <w:b/>
          <w:bCs/>
          <w:color w:val="000000"/>
          <w:sz w:val="20"/>
          <w:szCs w:val="22"/>
          <w:lang w:val="fr-FR"/>
        </w:rPr>
        <w:t xml:space="preserve">Distribution en pourcentage de logements particuliers, occupés, </w:t>
      </w:r>
      <w:r>
        <w:rPr>
          <w:b/>
          <w:bCs/>
          <w:color w:val="000000"/>
          <w:sz w:val="20"/>
          <w:szCs w:val="22"/>
          <w:lang w:val="fr-FR"/>
        </w:rPr>
        <w:br/>
        <w:t xml:space="preserve">par type de service disponible  </w:t>
      </w:r>
    </w:p>
    <w:p w:rsidR="00000000" w:rsidRDefault="00000000">
      <w:pPr>
        <w:autoSpaceDE w:val="0"/>
        <w:autoSpaceDN w:val="0"/>
        <w:adjustRightInd w:val="0"/>
        <w:spacing w:after="120"/>
        <w:jc w:val="center"/>
        <w:rPr>
          <w:i/>
          <w:iCs/>
          <w:color w:val="000000"/>
          <w:sz w:val="20"/>
          <w:szCs w:val="22"/>
          <w:lang w:val="fr-FR"/>
        </w:rPr>
      </w:pPr>
      <w:r>
        <w:rPr>
          <w:i/>
          <w:iCs/>
          <w:color w:val="000000"/>
          <w:sz w:val="20"/>
          <w:szCs w:val="22"/>
          <w:lang w:val="fr-FR"/>
        </w:rPr>
        <w:t xml:space="preserve">(Recensements de 1982 et 1990)  </w:t>
      </w:r>
    </w:p>
    <w:tbl>
      <w:tblPr>
        <w:tblW w:w="9299"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383"/>
        <w:gridCol w:w="1080"/>
        <w:gridCol w:w="540"/>
        <w:gridCol w:w="720"/>
        <w:gridCol w:w="900"/>
        <w:gridCol w:w="900"/>
        <w:gridCol w:w="1080"/>
        <w:gridCol w:w="1080"/>
        <w:gridCol w:w="684"/>
        <w:gridCol w:w="932"/>
      </w:tblGrid>
      <w:tr w:rsidR="00000000">
        <w:tblPrEx>
          <w:tblCellMar>
            <w:top w:w="0" w:type="dxa"/>
            <w:bottom w:w="0" w:type="dxa"/>
          </w:tblCellMar>
        </w:tblPrEx>
        <w:trPr>
          <w:cantSplit/>
          <w:jc w:val="center"/>
        </w:trPr>
        <w:tc>
          <w:tcPr>
            <w:tcW w:w="1383" w:type="dxa"/>
            <w:vMerge w:val="restart"/>
            <w:tcBorders>
              <w:top w:val="single" w:sz="4" w:space="0" w:color="auto"/>
              <w:bottom w:val="nil"/>
            </w:tcBorders>
            <w:vAlign w:val="center"/>
          </w:tcPr>
          <w:p w:rsidR="00000000" w:rsidRDefault="00000000">
            <w:pPr>
              <w:autoSpaceDE w:val="0"/>
              <w:autoSpaceDN w:val="0"/>
              <w:adjustRightInd w:val="0"/>
              <w:spacing w:before="80" w:after="80"/>
              <w:jc w:val="center"/>
              <w:rPr>
                <w:b/>
                <w:bCs/>
                <w:i/>
                <w:iCs/>
                <w:color w:val="000000"/>
                <w:sz w:val="18"/>
                <w:szCs w:val="22"/>
                <w:lang w:val="fr-FR"/>
              </w:rPr>
            </w:pPr>
            <w:r>
              <w:rPr>
                <w:b/>
                <w:bCs/>
                <w:i/>
                <w:iCs/>
                <w:color w:val="000000"/>
                <w:sz w:val="18"/>
                <w:szCs w:val="22"/>
                <w:lang w:val="fr-FR"/>
              </w:rPr>
              <w:t>Population</w:t>
            </w:r>
          </w:p>
        </w:tc>
        <w:tc>
          <w:tcPr>
            <w:tcW w:w="1080" w:type="dxa"/>
            <w:vMerge w:val="restart"/>
            <w:tcBorders>
              <w:top w:val="single" w:sz="4" w:space="0" w:color="auto"/>
              <w:bottom w:val="nil"/>
            </w:tcBorders>
            <w:vAlign w:val="center"/>
          </w:tcPr>
          <w:p w:rsidR="00000000" w:rsidRDefault="00000000">
            <w:pPr>
              <w:autoSpaceDE w:val="0"/>
              <w:autoSpaceDN w:val="0"/>
              <w:adjustRightInd w:val="0"/>
              <w:spacing w:before="80" w:after="80"/>
              <w:jc w:val="center"/>
              <w:rPr>
                <w:b/>
                <w:bCs/>
                <w:i/>
                <w:iCs/>
                <w:color w:val="000000"/>
                <w:sz w:val="18"/>
                <w:szCs w:val="22"/>
                <w:lang w:val="fr-FR"/>
              </w:rPr>
            </w:pPr>
            <w:r>
              <w:rPr>
                <w:b/>
                <w:bCs/>
                <w:i/>
                <w:iCs/>
                <w:color w:val="000000"/>
                <w:sz w:val="18"/>
                <w:szCs w:val="22"/>
                <w:lang w:val="fr-FR"/>
              </w:rPr>
              <w:t>Total logements</w:t>
            </w:r>
          </w:p>
        </w:tc>
        <w:tc>
          <w:tcPr>
            <w:tcW w:w="2160" w:type="dxa"/>
            <w:gridSpan w:val="3"/>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18"/>
                <w:szCs w:val="22"/>
                <w:lang w:val="fr-FR"/>
              </w:rPr>
            </w:pPr>
            <w:r>
              <w:rPr>
                <w:b/>
                <w:bCs/>
                <w:i/>
                <w:iCs/>
                <w:color w:val="000000"/>
                <w:sz w:val="18"/>
                <w:szCs w:val="22"/>
                <w:lang w:val="fr-FR"/>
              </w:rPr>
              <w:t>Approvisionnement en eau</w:t>
            </w:r>
          </w:p>
        </w:tc>
        <w:tc>
          <w:tcPr>
            <w:tcW w:w="3060" w:type="dxa"/>
            <w:gridSpan w:val="3"/>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18"/>
                <w:szCs w:val="22"/>
                <w:lang w:val="fr-FR"/>
              </w:rPr>
            </w:pPr>
            <w:r>
              <w:rPr>
                <w:b/>
                <w:bCs/>
                <w:i/>
                <w:iCs/>
                <w:color w:val="000000"/>
                <w:sz w:val="18"/>
                <w:szCs w:val="22"/>
                <w:lang w:val="fr-FR"/>
              </w:rPr>
              <w:t>Évacuation des eaux usées</w:t>
            </w:r>
          </w:p>
        </w:tc>
        <w:tc>
          <w:tcPr>
            <w:tcW w:w="1616" w:type="dxa"/>
            <w:gridSpan w:val="2"/>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18"/>
                <w:szCs w:val="22"/>
                <w:lang w:val="fr-FR"/>
              </w:rPr>
            </w:pPr>
            <w:r>
              <w:rPr>
                <w:b/>
                <w:bCs/>
                <w:i/>
                <w:iCs/>
                <w:color w:val="000000"/>
                <w:sz w:val="18"/>
                <w:szCs w:val="22"/>
                <w:lang w:val="fr-FR"/>
              </w:rPr>
              <w:t>Électricité</w:t>
            </w:r>
          </w:p>
        </w:tc>
      </w:tr>
      <w:tr w:rsidR="00000000">
        <w:tblPrEx>
          <w:tblCellMar>
            <w:top w:w="0" w:type="dxa"/>
            <w:bottom w:w="0" w:type="dxa"/>
          </w:tblCellMar>
        </w:tblPrEx>
        <w:trPr>
          <w:cantSplit/>
          <w:jc w:val="center"/>
        </w:trPr>
        <w:tc>
          <w:tcPr>
            <w:tcW w:w="1383" w:type="dxa"/>
            <w:vMerge/>
            <w:tcBorders>
              <w:top w:val="nil"/>
              <w:bottom w:val="single" w:sz="4" w:space="0" w:color="auto"/>
            </w:tcBorders>
            <w:vAlign w:val="center"/>
          </w:tcPr>
          <w:p w:rsidR="00000000" w:rsidRDefault="00000000">
            <w:pPr>
              <w:autoSpaceDE w:val="0"/>
              <w:autoSpaceDN w:val="0"/>
              <w:adjustRightInd w:val="0"/>
              <w:spacing w:before="80" w:after="80"/>
              <w:jc w:val="center"/>
              <w:rPr>
                <w:b/>
                <w:bCs/>
                <w:i/>
                <w:iCs/>
                <w:color w:val="000000"/>
                <w:sz w:val="18"/>
                <w:szCs w:val="22"/>
                <w:lang w:val="fr-FR"/>
              </w:rPr>
            </w:pPr>
          </w:p>
        </w:tc>
        <w:tc>
          <w:tcPr>
            <w:tcW w:w="1080" w:type="dxa"/>
            <w:vMerge/>
            <w:tcBorders>
              <w:top w:val="nil"/>
              <w:bottom w:val="single" w:sz="4" w:space="0" w:color="auto"/>
            </w:tcBorders>
            <w:vAlign w:val="center"/>
          </w:tcPr>
          <w:p w:rsidR="00000000" w:rsidRDefault="00000000">
            <w:pPr>
              <w:autoSpaceDE w:val="0"/>
              <w:autoSpaceDN w:val="0"/>
              <w:adjustRightInd w:val="0"/>
              <w:spacing w:before="80" w:after="80"/>
              <w:jc w:val="center"/>
              <w:rPr>
                <w:b/>
                <w:bCs/>
                <w:i/>
                <w:iCs/>
                <w:color w:val="000000"/>
                <w:sz w:val="18"/>
                <w:szCs w:val="22"/>
                <w:lang w:val="fr-FR"/>
              </w:rPr>
            </w:pPr>
          </w:p>
        </w:tc>
        <w:tc>
          <w:tcPr>
            <w:tcW w:w="54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18"/>
                <w:szCs w:val="22"/>
                <w:lang w:val="fr-FR"/>
              </w:rPr>
            </w:pPr>
            <w:r>
              <w:rPr>
                <w:b/>
                <w:bCs/>
                <w:i/>
                <w:iCs/>
                <w:color w:val="000000"/>
                <w:sz w:val="18"/>
                <w:szCs w:val="22"/>
                <w:lang w:val="fr-FR"/>
              </w:rPr>
              <w:t>%</w:t>
            </w:r>
          </w:p>
        </w:tc>
        <w:tc>
          <w:tcPr>
            <w:tcW w:w="72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18"/>
                <w:szCs w:val="22"/>
                <w:lang w:val="fr-FR"/>
              </w:rPr>
            </w:pPr>
            <w:r>
              <w:rPr>
                <w:b/>
                <w:bCs/>
                <w:i/>
                <w:iCs/>
                <w:color w:val="000000"/>
                <w:sz w:val="18"/>
                <w:szCs w:val="22"/>
                <w:lang w:val="fr-FR"/>
              </w:rPr>
              <w:t>Réseau public</w:t>
            </w:r>
          </w:p>
        </w:tc>
        <w:tc>
          <w:tcPr>
            <w:tcW w:w="90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18"/>
                <w:szCs w:val="22"/>
                <w:lang w:val="fr-FR"/>
              </w:rPr>
            </w:pPr>
            <w:r>
              <w:rPr>
                <w:b/>
                <w:bCs/>
                <w:i/>
                <w:iCs/>
                <w:color w:val="000000"/>
                <w:sz w:val="18"/>
                <w:szCs w:val="22"/>
                <w:lang w:val="fr-FR"/>
              </w:rPr>
              <w:t>Autres sources</w:t>
            </w:r>
          </w:p>
        </w:tc>
        <w:tc>
          <w:tcPr>
            <w:tcW w:w="90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18"/>
                <w:szCs w:val="22"/>
                <w:lang w:val="fr-FR"/>
              </w:rPr>
            </w:pPr>
            <w:r>
              <w:rPr>
                <w:b/>
                <w:bCs/>
                <w:i/>
                <w:iCs/>
                <w:color w:val="000000"/>
                <w:sz w:val="18"/>
                <w:szCs w:val="22"/>
                <w:lang w:val="fr-FR"/>
              </w:rPr>
              <w:t>Réseau égout</w:t>
            </w:r>
          </w:p>
        </w:tc>
        <w:tc>
          <w:tcPr>
            <w:tcW w:w="108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18"/>
                <w:szCs w:val="22"/>
                <w:lang w:val="fr-FR"/>
              </w:rPr>
            </w:pPr>
            <w:r>
              <w:rPr>
                <w:b/>
                <w:bCs/>
                <w:i/>
                <w:iCs/>
                <w:color w:val="000000"/>
                <w:sz w:val="18"/>
                <w:szCs w:val="22"/>
                <w:lang w:val="fr-FR"/>
              </w:rPr>
              <w:t>Fosse d’aisances</w:t>
            </w:r>
          </w:p>
        </w:tc>
        <w:tc>
          <w:tcPr>
            <w:tcW w:w="108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18"/>
                <w:szCs w:val="22"/>
                <w:lang w:val="fr-FR"/>
              </w:rPr>
            </w:pPr>
            <w:r>
              <w:rPr>
                <w:b/>
                <w:bCs/>
                <w:i/>
                <w:iCs/>
                <w:color w:val="000000"/>
                <w:sz w:val="18"/>
                <w:szCs w:val="22"/>
                <w:lang w:val="fr-FR"/>
              </w:rPr>
              <w:t xml:space="preserve">Non </w:t>
            </w:r>
            <w:r>
              <w:rPr>
                <w:b/>
                <w:bCs/>
                <w:i/>
                <w:iCs/>
                <w:color w:val="000000"/>
                <w:sz w:val="18"/>
                <w:szCs w:val="22"/>
                <w:lang w:val="fr-FR"/>
              </w:rPr>
              <w:br/>
              <w:t>disponible</w:t>
            </w:r>
          </w:p>
        </w:tc>
        <w:tc>
          <w:tcPr>
            <w:tcW w:w="684"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18"/>
                <w:szCs w:val="22"/>
                <w:lang w:val="fr-FR"/>
              </w:rPr>
            </w:pPr>
            <w:r>
              <w:rPr>
                <w:b/>
                <w:bCs/>
                <w:i/>
                <w:iCs/>
                <w:color w:val="000000"/>
                <w:sz w:val="18"/>
                <w:szCs w:val="22"/>
                <w:lang w:val="fr-FR"/>
              </w:rPr>
              <w:t>Dispo-nible</w:t>
            </w:r>
          </w:p>
        </w:tc>
        <w:tc>
          <w:tcPr>
            <w:tcW w:w="932"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18"/>
                <w:szCs w:val="22"/>
                <w:lang w:val="fr-FR"/>
              </w:rPr>
            </w:pPr>
            <w:r>
              <w:rPr>
                <w:b/>
                <w:bCs/>
                <w:i/>
                <w:iCs/>
                <w:color w:val="000000"/>
                <w:sz w:val="18"/>
                <w:szCs w:val="22"/>
                <w:lang w:val="fr-FR"/>
              </w:rPr>
              <w:t>Non disponible</w:t>
            </w:r>
          </w:p>
        </w:tc>
      </w:tr>
      <w:tr w:rsidR="00000000">
        <w:tblPrEx>
          <w:tblCellMar>
            <w:top w:w="0" w:type="dxa"/>
            <w:bottom w:w="0" w:type="dxa"/>
          </w:tblCellMar>
        </w:tblPrEx>
        <w:trPr>
          <w:jc w:val="center"/>
        </w:trPr>
        <w:tc>
          <w:tcPr>
            <w:tcW w:w="1383" w:type="dxa"/>
            <w:tcBorders>
              <w:top w:val="single" w:sz="4" w:space="0" w:color="auto"/>
            </w:tcBorders>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Recensement</w:t>
            </w:r>
            <w:r>
              <w:rPr>
                <w:color w:val="000000"/>
                <w:sz w:val="20"/>
                <w:szCs w:val="22"/>
                <w:lang w:val="fr-FR"/>
              </w:rPr>
              <w:br/>
              <w:t xml:space="preserve"> de 1982 </w:t>
            </w:r>
          </w:p>
        </w:tc>
        <w:tc>
          <w:tcPr>
            <w:tcW w:w="1080" w:type="dxa"/>
            <w:tcBorders>
              <w:top w:val="single" w:sz="4" w:space="0" w:color="auto"/>
            </w:tcBorders>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1 576 441</w:t>
            </w:r>
          </w:p>
        </w:tc>
        <w:tc>
          <w:tcPr>
            <w:tcW w:w="540" w:type="dxa"/>
            <w:tcBorders>
              <w:top w:val="single" w:sz="4" w:space="0" w:color="auto"/>
            </w:tcBorders>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100</w:t>
            </w:r>
          </w:p>
        </w:tc>
        <w:tc>
          <w:tcPr>
            <w:tcW w:w="720" w:type="dxa"/>
            <w:tcBorders>
              <w:top w:val="single" w:sz="4" w:space="0" w:color="auto"/>
            </w:tcBorders>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51,8</w:t>
            </w:r>
          </w:p>
        </w:tc>
        <w:tc>
          <w:tcPr>
            <w:tcW w:w="900" w:type="dxa"/>
            <w:tcBorders>
              <w:top w:val="single" w:sz="4" w:space="0" w:color="auto"/>
            </w:tcBorders>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48,2</w:t>
            </w:r>
          </w:p>
        </w:tc>
        <w:tc>
          <w:tcPr>
            <w:tcW w:w="900" w:type="dxa"/>
            <w:tcBorders>
              <w:top w:val="single" w:sz="4" w:space="0" w:color="auto"/>
            </w:tcBorders>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34</w:t>
            </w:r>
          </w:p>
        </w:tc>
        <w:tc>
          <w:tcPr>
            <w:tcW w:w="1080" w:type="dxa"/>
            <w:tcBorders>
              <w:top w:val="single" w:sz="4" w:space="0" w:color="auto"/>
            </w:tcBorders>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14,6</w:t>
            </w:r>
          </w:p>
        </w:tc>
        <w:tc>
          <w:tcPr>
            <w:tcW w:w="1080" w:type="dxa"/>
            <w:tcBorders>
              <w:top w:val="single" w:sz="4" w:space="0" w:color="auto"/>
            </w:tcBorders>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51,8</w:t>
            </w:r>
          </w:p>
        </w:tc>
        <w:tc>
          <w:tcPr>
            <w:tcW w:w="684" w:type="dxa"/>
            <w:tcBorders>
              <w:top w:val="single" w:sz="4" w:space="0" w:color="auto"/>
            </w:tcBorders>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62,1</w:t>
            </w:r>
          </w:p>
        </w:tc>
        <w:tc>
          <w:tcPr>
            <w:tcW w:w="932" w:type="dxa"/>
            <w:tcBorders>
              <w:top w:val="single" w:sz="4" w:space="0" w:color="auto"/>
            </w:tcBorders>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37,9</w:t>
            </w:r>
          </w:p>
        </w:tc>
      </w:tr>
      <w:tr w:rsidR="00000000">
        <w:tblPrEx>
          <w:tblCellMar>
            <w:top w:w="0" w:type="dxa"/>
            <w:bottom w:w="0" w:type="dxa"/>
          </w:tblCellMar>
        </w:tblPrEx>
        <w:trPr>
          <w:jc w:val="center"/>
        </w:trPr>
        <w:tc>
          <w:tcPr>
            <w:tcW w:w="1383"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Recensement</w:t>
            </w:r>
            <w:r>
              <w:rPr>
                <w:color w:val="000000"/>
                <w:sz w:val="20"/>
                <w:szCs w:val="22"/>
                <w:lang w:val="fr-FR"/>
              </w:rPr>
              <w:br/>
              <w:t xml:space="preserve"> de 1990 </w:t>
            </w:r>
          </w:p>
        </w:tc>
        <w:tc>
          <w:tcPr>
            <w:tcW w:w="1080" w:type="dxa"/>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2 008 655</w:t>
            </w:r>
          </w:p>
        </w:tc>
        <w:tc>
          <w:tcPr>
            <w:tcW w:w="540" w:type="dxa"/>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100</w:t>
            </w:r>
          </w:p>
        </w:tc>
        <w:tc>
          <w:tcPr>
            <w:tcW w:w="720" w:type="dxa"/>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62,7</w:t>
            </w:r>
          </w:p>
        </w:tc>
        <w:tc>
          <w:tcPr>
            <w:tcW w:w="900" w:type="dxa"/>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37,3</w:t>
            </w:r>
          </w:p>
        </w:tc>
        <w:tc>
          <w:tcPr>
            <w:tcW w:w="900" w:type="dxa"/>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40</w:t>
            </w:r>
          </w:p>
        </w:tc>
        <w:tc>
          <w:tcPr>
            <w:tcW w:w="1080" w:type="dxa"/>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32,8</w:t>
            </w:r>
          </w:p>
        </w:tc>
        <w:tc>
          <w:tcPr>
            <w:tcW w:w="1080" w:type="dxa"/>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27,7</w:t>
            </w:r>
          </w:p>
        </w:tc>
        <w:tc>
          <w:tcPr>
            <w:tcW w:w="684" w:type="dxa"/>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77,7</w:t>
            </w:r>
          </w:p>
        </w:tc>
        <w:tc>
          <w:tcPr>
            <w:tcW w:w="932" w:type="dxa"/>
            <w:vAlign w:val="center"/>
          </w:tcPr>
          <w:p w:rsidR="00000000" w:rsidRDefault="00000000">
            <w:pPr>
              <w:autoSpaceDE w:val="0"/>
              <w:autoSpaceDN w:val="0"/>
              <w:adjustRightInd w:val="0"/>
              <w:spacing w:before="60" w:after="60"/>
              <w:jc w:val="center"/>
              <w:rPr>
                <w:color w:val="000000"/>
                <w:sz w:val="20"/>
                <w:szCs w:val="22"/>
                <w:lang w:val="fr-FR"/>
              </w:rPr>
            </w:pPr>
            <w:r>
              <w:rPr>
                <w:color w:val="000000"/>
                <w:sz w:val="20"/>
                <w:szCs w:val="22"/>
                <w:lang w:val="fr-FR"/>
              </w:rPr>
              <w:t>77,7</w:t>
            </w:r>
          </w:p>
        </w:tc>
      </w:tr>
    </w:tbl>
    <w:p w:rsidR="00000000" w:rsidRDefault="00000000">
      <w:pPr>
        <w:autoSpaceDE w:val="0"/>
        <w:autoSpaceDN w:val="0"/>
        <w:adjustRightInd w:val="0"/>
        <w:spacing w:before="80" w:after="240"/>
        <w:ind w:left="567"/>
        <w:rPr>
          <w:color w:val="000000"/>
          <w:sz w:val="20"/>
          <w:szCs w:val="22"/>
          <w:lang w:val="fr-FR"/>
        </w:rPr>
      </w:pPr>
      <w:r>
        <w:rPr>
          <w:i/>
          <w:iCs/>
          <w:color w:val="000000"/>
          <w:sz w:val="20"/>
          <w:szCs w:val="22"/>
          <w:lang w:val="fr-FR"/>
        </w:rPr>
        <w:t>Source :</w:t>
      </w:r>
      <w:r>
        <w:rPr>
          <w:color w:val="000000"/>
          <w:sz w:val="20"/>
          <w:szCs w:val="22"/>
          <w:lang w:val="fr-FR"/>
        </w:rPr>
        <w:t xml:space="preserve"> Ministère du développement urbain et du logement-INEC.  </w:t>
      </w:r>
    </w:p>
    <w:p w:rsidR="00000000" w:rsidRDefault="00000000">
      <w:pPr>
        <w:spacing w:after="240"/>
        <w:rPr>
          <w:iCs/>
          <w:color w:val="000000"/>
          <w:lang w:val="fr-FR"/>
        </w:rPr>
      </w:pPr>
      <w:r>
        <w:rPr>
          <w:iCs/>
          <w:color w:val="000000"/>
          <w:lang w:val="fr-FR"/>
        </w:rPr>
        <w:t>355.</w:t>
      </w:r>
      <w:r>
        <w:rPr>
          <w:iCs/>
          <w:color w:val="000000"/>
          <w:lang w:val="fr-FR"/>
        </w:rPr>
        <w:tab/>
        <w:t>Pour 1999, on estime que la population équatorienne devrait atteindre 12 411 232 habitants, dont 49,8 % dans la région de la Costa, 45,65 % dans la région de la Sierra et les 4,6 % restants dans la région amazonienne et la région insulaire.</w:t>
      </w:r>
    </w:p>
    <w:p w:rsidR="00000000" w:rsidRDefault="00000000">
      <w:pPr>
        <w:spacing w:after="240"/>
        <w:rPr>
          <w:iCs/>
          <w:color w:val="000000"/>
          <w:lang w:val="fr-FR"/>
        </w:rPr>
      </w:pPr>
      <w:r>
        <w:rPr>
          <w:iCs/>
          <w:color w:val="000000"/>
          <w:lang w:val="fr-FR"/>
        </w:rPr>
        <w:t>356.</w:t>
      </w:r>
      <w:r>
        <w:rPr>
          <w:iCs/>
          <w:color w:val="000000"/>
          <w:lang w:val="fr-FR"/>
        </w:rPr>
        <w:tab/>
        <w:t>Lorsqu'on considère la composition urbaine-rurale de la population par région, on constate que dans la Costa, 69 % de la population vit dans les villes et seulement 31 % dans les campagnes.</w:t>
      </w:r>
    </w:p>
    <w:p w:rsidR="00000000" w:rsidRDefault="00000000">
      <w:pPr>
        <w:spacing w:after="240"/>
        <w:rPr>
          <w:iCs/>
          <w:color w:val="000000"/>
          <w:lang w:val="fr-FR"/>
        </w:rPr>
      </w:pPr>
      <w:r>
        <w:rPr>
          <w:iCs/>
          <w:color w:val="000000"/>
          <w:lang w:val="fr-FR"/>
        </w:rPr>
        <w:t>357.</w:t>
      </w:r>
      <w:r>
        <w:rPr>
          <w:iCs/>
          <w:color w:val="000000"/>
          <w:lang w:val="fr-FR"/>
        </w:rPr>
        <w:tab/>
        <w:t>Dans la Sierra, 54 % de la population vit dans les villes et 46 % dans les zones rurales.  Dans l’Oriente, 72 % de la population est rurale, alors que 82 % de la population des Galápagos est urbaine.</w:t>
      </w:r>
    </w:p>
    <w:p w:rsidR="00000000" w:rsidRDefault="00000000">
      <w:pPr>
        <w:spacing w:after="240"/>
        <w:rPr>
          <w:iCs/>
          <w:color w:val="000000"/>
          <w:lang w:val="fr-FR"/>
        </w:rPr>
      </w:pPr>
      <w:r>
        <w:rPr>
          <w:iCs/>
          <w:color w:val="000000"/>
          <w:lang w:val="fr-FR"/>
        </w:rPr>
        <w:t>358.</w:t>
      </w:r>
      <w:r>
        <w:rPr>
          <w:iCs/>
          <w:color w:val="000000"/>
          <w:lang w:val="fr-FR"/>
        </w:rPr>
        <w:tab/>
        <w:t>En ce qui concerne la couverture du réseau d'assainissement au niveau national, 53 % des foyers urbains sont connectés au réseau d’égout, mais seulement 11 % en zone rurale.  Les eaux usées ne sont pas traitées, ce qui pose de graves problèmes de pollution lorsqu’elles se déversent directement dans les plans d'eau.</w:t>
      </w:r>
    </w:p>
    <w:p w:rsidR="00000000" w:rsidRDefault="00000000">
      <w:pPr>
        <w:spacing w:after="240"/>
        <w:rPr>
          <w:iCs/>
          <w:color w:val="000000"/>
          <w:lang w:val="fr-FR"/>
        </w:rPr>
      </w:pPr>
      <w:r>
        <w:rPr>
          <w:iCs/>
          <w:color w:val="000000"/>
          <w:lang w:val="fr-FR"/>
        </w:rPr>
        <w:t>359.</w:t>
      </w:r>
      <w:r>
        <w:rPr>
          <w:iCs/>
          <w:color w:val="000000"/>
          <w:lang w:val="fr-FR"/>
        </w:rPr>
        <w:tab/>
        <w:t>Les réseaux avec égout séparé ont beaucoup de mal à assurer l'évacuation des eaux combinées (pluviales et sanitaires); peu d'attention est accordée à l'entretien préventif de ces réseaux.</w:t>
      </w:r>
    </w:p>
    <w:p w:rsidR="00000000" w:rsidRDefault="00000000">
      <w:pPr>
        <w:spacing w:after="360"/>
        <w:rPr>
          <w:iCs/>
          <w:color w:val="000000"/>
          <w:lang w:val="fr-FR"/>
        </w:rPr>
      </w:pPr>
      <w:r>
        <w:rPr>
          <w:iCs/>
          <w:color w:val="000000"/>
          <w:lang w:val="fr-FR"/>
        </w:rPr>
        <w:t>360.</w:t>
      </w:r>
      <w:r>
        <w:rPr>
          <w:iCs/>
          <w:color w:val="000000"/>
          <w:lang w:val="fr-FR"/>
        </w:rPr>
        <w:tab/>
        <w:t>À l'échelle nationale, 31 % des logements urbains et 20 % des habitations rurales ont des fosses d'aisance pour l'élimination des excréta.</w:t>
      </w:r>
    </w:p>
    <w:p w:rsidR="00000000" w:rsidRDefault="00000000">
      <w:pPr>
        <w:autoSpaceDE w:val="0"/>
        <w:autoSpaceDN w:val="0"/>
        <w:adjustRightInd w:val="0"/>
        <w:ind w:left="28"/>
        <w:jc w:val="center"/>
        <w:rPr>
          <w:b/>
          <w:bCs/>
          <w:color w:val="000000"/>
          <w:sz w:val="20"/>
          <w:szCs w:val="22"/>
          <w:lang w:val="fr-FR"/>
        </w:rPr>
      </w:pPr>
      <w:r>
        <w:rPr>
          <w:b/>
          <w:bCs/>
          <w:color w:val="000000"/>
          <w:sz w:val="20"/>
          <w:szCs w:val="22"/>
          <w:lang w:val="fr-FR"/>
        </w:rPr>
        <w:t xml:space="preserve">Nombre moyen d'occupants par logement, selon type de logement </w:t>
      </w:r>
    </w:p>
    <w:p w:rsidR="00000000" w:rsidRDefault="00000000">
      <w:pPr>
        <w:autoSpaceDE w:val="0"/>
        <w:autoSpaceDN w:val="0"/>
        <w:adjustRightInd w:val="0"/>
        <w:spacing w:after="120"/>
        <w:ind w:left="28"/>
        <w:jc w:val="center"/>
        <w:rPr>
          <w:i/>
          <w:iCs/>
          <w:color w:val="000000"/>
          <w:sz w:val="20"/>
          <w:szCs w:val="22"/>
          <w:lang w:val="fr-FR"/>
        </w:rPr>
      </w:pPr>
      <w:r>
        <w:rPr>
          <w:i/>
          <w:iCs/>
          <w:color w:val="000000"/>
          <w:sz w:val="20"/>
          <w:szCs w:val="22"/>
          <w:lang w:val="fr-FR"/>
        </w:rPr>
        <w:t xml:space="preserve">(Recensements de 1982 et 1990)  </w:t>
      </w:r>
    </w:p>
    <w:tbl>
      <w:tblPr>
        <w:tblW w:w="8505" w:type="dxa"/>
        <w:jc w:val="center"/>
        <w:tblInd w:w="1281" w:type="dxa"/>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872"/>
        <w:gridCol w:w="2872"/>
        <w:gridCol w:w="2761"/>
      </w:tblGrid>
      <w:tr w:rsidR="00000000">
        <w:tblPrEx>
          <w:tblCellMar>
            <w:top w:w="0" w:type="dxa"/>
            <w:bottom w:w="0" w:type="dxa"/>
          </w:tblCellMar>
        </w:tblPrEx>
        <w:trPr>
          <w:jc w:val="center"/>
        </w:trPr>
        <w:tc>
          <w:tcPr>
            <w:tcW w:w="234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Type de logement</w:t>
            </w:r>
          </w:p>
        </w:tc>
        <w:tc>
          <w:tcPr>
            <w:tcW w:w="234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Recensement de 1982 (nombre moyen d’occupants)</w:t>
            </w:r>
          </w:p>
        </w:tc>
        <w:tc>
          <w:tcPr>
            <w:tcW w:w="225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Recensement de 1990 (nombre moyen d’occupants)</w:t>
            </w:r>
          </w:p>
        </w:tc>
      </w:tr>
      <w:tr w:rsidR="00000000">
        <w:tblPrEx>
          <w:tblCellMar>
            <w:top w:w="0" w:type="dxa"/>
            <w:bottom w:w="0" w:type="dxa"/>
          </w:tblCellMar>
        </w:tblPrEx>
        <w:trPr>
          <w:jc w:val="center"/>
        </w:trPr>
        <w:tc>
          <w:tcPr>
            <w:tcW w:w="2340" w:type="dxa"/>
            <w:tcBorders>
              <w:top w:val="single" w:sz="4" w:space="0" w:color="auto"/>
            </w:tcBorders>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Maison ou villa </w:t>
            </w:r>
          </w:p>
        </w:tc>
        <w:tc>
          <w:tcPr>
            <w:tcW w:w="2340" w:type="dxa"/>
            <w:tcBorders>
              <w:top w:val="single" w:sz="4" w:space="0" w:color="auto"/>
            </w:tcBorders>
          </w:tcPr>
          <w:p w:rsidR="00000000" w:rsidRDefault="00000000">
            <w:pPr>
              <w:tabs>
                <w:tab w:val="decimal" w:pos="1284"/>
              </w:tabs>
              <w:autoSpaceDE w:val="0"/>
              <w:autoSpaceDN w:val="0"/>
              <w:adjustRightInd w:val="0"/>
              <w:spacing w:before="60" w:after="60"/>
              <w:rPr>
                <w:color w:val="000000"/>
                <w:sz w:val="20"/>
                <w:szCs w:val="22"/>
                <w:lang w:val="fr-FR"/>
              </w:rPr>
            </w:pPr>
            <w:r>
              <w:rPr>
                <w:color w:val="000000"/>
                <w:sz w:val="20"/>
                <w:szCs w:val="22"/>
                <w:lang w:val="fr-FR"/>
              </w:rPr>
              <w:t xml:space="preserve">5,5 </w:t>
            </w:r>
          </w:p>
        </w:tc>
        <w:tc>
          <w:tcPr>
            <w:tcW w:w="2250" w:type="dxa"/>
            <w:tcBorders>
              <w:top w:val="single" w:sz="4" w:space="0" w:color="auto"/>
            </w:tcBorders>
          </w:tcPr>
          <w:p w:rsidR="00000000" w:rsidRDefault="00000000">
            <w:pPr>
              <w:tabs>
                <w:tab w:val="decimal" w:pos="1284"/>
              </w:tabs>
              <w:autoSpaceDE w:val="0"/>
              <w:autoSpaceDN w:val="0"/>
              <w:adjustRightInd w:val="0"/>
              <w:spacing w:before="60" w:after="60"/>
              <w:rPr>
                <w:color w:val="000000"/>
                <w:sz w:val="20"/>
                <w:szCs w:val="22"/>
                <w:lang w:val="fr-FR"/>
              </w:rPr>
            </w:pPr>
            <w:r>
              <w:rPr>
                <w:color w:val="000000"/>
                <w:sz w:val="20"/>
                <w:szCs w:val="22"/>
                <w:lang w:val="fr-FR"/>
              </w:rPr>
              <w:t xml:space="preserve">5,0  </w:t>
            </w:r>
          </w:p>
        </w:tc>
      </w:tr>
      <w:tr w:rsidR="00000000">
        <w:tblPrEx>
          <w:tblCellMar>
            <w:top w:w="0" w:type="dxa"/>
            <w:bottom w:w="0" w:type="dxa"/>
          </w:tblCellMar>
        </w:tblPrEx>
        <w:trPr>
          <w:jc w:val="center"/>
        </w:trPr>
        <w:tc>
          <w:tcPr>
            <w:tcW w:w="2340"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Appartement </w:t>
            </w:r>
          </w:p>
        </w:tc>
        <w:tc>
          <w:tcPr>
            <w:tcW w:w="2340" w:type="dxa"/>
          </w:tcPr>
          <w:p w:rsidR="00000000" w:rsidRDefault="00000000">
            <w:pPr>
              <w:tabs>
                <w:tab w:val="decimal" w:pos="1284"/>
              </w:tabs>
              <w:autoSpaceDE w:val="0"/>
              <w:autoSpaceDN w:val="0"/>
              <w:adjustRightInd w:val="0"/>
              <w:spacing w:before="60" w:after="60"/>
              <w:rPr>
                <w:color w:val="000000"/>
                <w:sz w:val="20"/>
                <w:szCs w:val="22"/>
                <w:lang w:val="fr-FR"/>
              </w:rPr>
            </w:pPr>
            <w:r>
              <w:rPr>
                <w:color w:val="000000"/>
                <w:sz w:val="20"/>
                <w:szCs w:val="22"/>
                <w:lang w:val="fr-FR"/>
              </w:rPr>
              <w:t xml:space="preserve">4,4 </w:t>
            </w:r>
          </w:p>
        </w:tc>
        <w:tc>
          <w:tcPr>
            <w:tcW w:w="2250" w:type="dxa"/>
          </w:tcPr>
          <w:p w:rsidR="00000000" w:rsidRDefault="00000000">
            <w:pPr>
              <w:tabs>
                <w:tab w:val="decimal" w:pos="1284"/>
              </w:tabs>
              <w:autoSpaceDE w:val="0"/>
              <w:autoSpaceDN w:val="0"/>
              <w:adjustRightInd w:val="0"/>
              <w:spacing w:before="60" w:after="60"/>
              <w:rPr>
                <w:color w:val="000000"/>
                <w:sz w:val="20"/>
                <w:szCs w:val="22"/>
                <w:lang w:val="fr-FR"/>
              </w:rPr>
            </w:pPr>
            <w:r>
              <w:rPr>
                <w:color w:val="000000"/>
                <w:sz w:val="20"/>
                <w:szCs w:val="22"/>
                <w:lang w:val="fr-FR"/>
              </w:rPr>
              <w:t xml:space="preserve">3,9  </w:t>
            </w:r>
          </w:p>
        </w:tc>
      </w:tr>
      <w:tr w:rsidR="00000000">
        <w:tblPrEx>
          <w:tblCellMar>
            <w:top w:w="0" w:type="dxa"/>
            <w:bottom w:w="0" w:type="dxa"/>
          </w:tblCellMar>
        </w:tblPrEx>
        <w:trPr>
          <w:jc w:val="center"/>
        </w:trPr>
        <w:tc>
          <w:tcPr>
            <w:tcW w:w="2340"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Chambre louée</w:t>
            </w:r>
          </w:p>
        </w:tc>
        <w:tc>
          <w:tcPr>
            <w:tcW w:w="2340" w:type="dxa"/>
          </w:tcPr>
          <w:p w:rsidR="00000000" w:rsidRDefault="00000000">
            <w:pPr>
              <w:tabs>
                <w:tab w:val="decimal" w:pos="1284"/>
              </w:tabs>
              <w:autoSpaceDE w:val="0"/>
              <w:autoSpaceDN w:val="0"/>
              <w:adjustRightInd w:val="0"/>
              <w:spacing w:before="60" w:after="60"/>
              <w:rPr>
                <w:color w:val="000000"/>
                <w:sz w:val="20"/>
                <w:szCs w:val="22"/>
                <w:lang w:val="fr-FR"/>
              </w:rPr>
            </w:pPr>
            <w:r>
              <w:rPr>
                <w:color w:val="000000"/>
                <w:sz w:val="20"/>
                <w:szCs w:val="22"/>
                <w:lang w:val="fr-FR"/>
              </w:rPr>
              <w:t xml:space="preserve">3,7 </w:t>
            </w:r>
          </w:p>
        </w:tc>
        <w:tc>
          <w:tcPr>
            <w:tcW w:w="2250" w:type="dxa"/>
          </w:tcPr>
          <w:p w:rsidR="00000000" w:rsidRDefault="00000000">
            <w:pPr>
              <w:tabs>
                <w:tab w:val="decimal" w:pos="1284"/>
              </w:tabs>
              <w:autoSpaceDE w:val="0"/>
              <w:autoSpaceDN w:val="0"/>
              <w:adjustRightInd w:val="0"/>
              <w:spacing w:before="60" w:after="60"/>
              <w:rPr>
                <w:color w:val="000000"/>
                <w:sz w:val="20"/>
                <w:szCs w:val="22"/>
                <w:lang w:val="fr-FR"/>
              </w:rPr>
            </w:pPr>
            <w:r>
              <w:rPr>
                <w:color w:val="000000"/>
                <w:sz w:val="20"/>
                <w:szCs w:val="22"/>
                <w:lang w:val="fr-FR"/>
              </w:rPr>
              <w:t xml:space="preserve">3,6  </w:t>
            </w:r>
          </w:p>
        </w:tc>
      </w:tr>
      <w:tr w:rsidR="00000000">
        <w:tblPrEx>
          <w:tblCellMar>
            <w:top w:w="0" w:type="dxa"/>
            <w:bottom w:w="0" w:type="dxa"/>
          </w:tblCellMar>
        </w:tblPrEx>
        <w:trPr>
          <w:jc w:val="center"/>
        </w:trPr>
        <w:tc>
          <w:tcPr>
            <w:tcW w:w="2340"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Baraque</w:t>
            </w:r>
          </w:p>
        </w:tc>
        <w:tc>
          <w:tcPr>
            <w:tcW w:w="2340" w:type="dxa"/>
          </w:tcPr>
          <w:p w:rsidR="00000000" w:rsidRDefault="00000000">
            <w:pPr>
              <w:tabs>
                <w:tab w:val="decimal" w:pos="1284"/>
              </w:tabs>
              <w:autoSpaceDE w:val="0"/>
              <w:autoSpaceDN w:val="0"/>
              <w:adjustRightInd w:val="0"/>
              <w:spacing w:before="60" w:after="60"/>
              <w:rPr>
                <w:color w:val="000000"/>
                <w:sz w:val="20"/>
                <w:szCs w:val="22"/>
                <w:lang w:val="fr-FR"/>
              </w:rPr>
            </w:pPr>
            <w:r>
              <w:rPr>
                <w:color w:val="000000"/>
                <w:sz w:val="20"/>
                <w:szCs w:val="22"/>
                <w:lang w:val="fr-FR"/>
              </w:rPr>
              <w:t xml:space="preserve">4,6 </w:t>
            </w:r>
          </w:p>
        </w:tc>
        <w:tc>
          <w:tcPr>
            <w:tcW w:w="2250" w:type="dxa"/>
          </w:tcPr>
          <w:p w:rsidR="00000000" w:rsidRDefault="00000000">
            <w:pPr>
              <w:tabs>
                <w:tab w:val="decimal" w:pos="1284"/>
              </w:tabs>
              <w:autoSpaceDE w:val="0"/>
              <w:autoSpaceDN w:val="0"/>
              <w:adjustRightInd w:val="0"/>
              <w:spacing w:before="60" w:after="60"/>
              <w:rPr>
                <w:color w:val="000000"/>
                <w:sz w:val="20"/>
                <w:szCs w:val="22"/>
                <w:lang w:val="fr-FR"/>
              </w:rPr>
            </w:pPr>
            <w:r>
              <w:rPr>
                <w:color w:val="000000"/>
                <w:sz w:val="20"/>
                <w:szCs w:val="22"/>
                <w:lang w:val="fr-FR"/>
              </w:rPr>
              <w:t xml:space="preserve">4,5  </w:t>
            </w:r>
          </w:p>
        </w:tc>
      </w:tr>
      <w:tr w:rsidR="00000000">
        <w:tblPrEx>
          <w:tblCellMar>
            <w:top w:w="0" w:type="dxa"/>
            <w:bottom w:w="0" w:type="dxa"/>
          </w:tblCellMar>
        </w:tblPrEx>
        <w:trPr>
          <w:jc w:val="center"/>
        </w:trPr>
        <w:tc>
          <w:tcPr>
            <w:tcW w:w="2340"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Cabane</w:t>
            </w:r>
          </w:p>
        </w:tc>
        <w:tc>
          <w:tcPr>
            <w:tcW w:w="2340" w:type="dxa"/>
          </w:tcPr>
          <w:p w:rsidR="00000000" w:rsidRDefault="00000000">
            <w:pPr>
              <w:tabs>
                <w:tab w:val="decimal" w:pos="1284"/>
              </w:tabs>
              <w:autoSpaceDE w:val="0"/>
              <w:autoSpaceDN w:val="0"/>
              <w:adjustRightInd w:val="0"/>
              <w:spacing w:before="60" w:after="60"/>
              <w:rPr>
                <w:color w:val="000000"/>
                <w:sz w:val="20"/>
                <w:szCs w:val="22"/>
                <w:lang w:val="fr-FR"/>
              </w:rPr>
            </w:pPr>
            <w:r>
              <w:rPr>
                <w:color w:val="000000"/>
                <w:sz w:val="20"/>
                <w:szCs w:val="22"/>
                <w:lang w:val="fr-FR"/>
              </w:rPr>
              <w:t xml:space="preserve">4,1 </w:t>
            </w:r>
          </w:p>
        </w:tc>
        <w:tc>
          <w:tcPr>
            <w:tcW w:w="2250" w:type="dxa"/>
          </w:tcPr>
          <w:p w:rsidR="00000000" w:rsidRDefault="00000000">
            <w:pPr>
              <w:tabs>
                <w:tab w:val="decimal" w:pos="1284"/>
              </w:tabs>
              <w:autoSpaceDE w:val="0"/>
              <w:autoSpaceDN w:val="0"/>
              <w:adjustRightInd w:val="0"/>
              <w:spacing w:before="60" w:after="60"/>
              <w:rPr>
                <w:color w:val="000000"/>
                <w:sz w:val="20"/>
                <w:szCs w:val="22"/>
                <w:lang w:val="fr-FR"/>
              </w:rPr>
            </w:pPr>
            <w:r>
              <w:rPr>
                <w:color w:val="000000"/>
                <w:sz w:val="20"/>
                <w:szCs w:val="22"/>
                <w:lang w:val="fr-FR"/>
              </w:rPr>
              <w:t xml:space="preserve">4,0  </w:t>
            </w:r>
          </w:p>
        </w:tc>
      </w:tr>
      <w:tr w:rsidR="00000000">
        <w:tblPrEx>
          <w:tblCellMar>
            <w:top w:w="0" w:type="dxa"/>
            <w:bottom w:w="0" w:type="dxa"/>
          </w:tblCellMar>
        </w:tblPrEx>
        <w:trPr>
          <w:jc w:val="center"/>
        </w:trPr>
        <w:tc>
          <w:tcPr>
            <w:tcW w:w="2340"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Hutte </w:t>
            </w:r>
          </w:p>
        </w:tc>
        <w:tc>
          <w:tcPr>
            <w:tcW w:w="2340" w:type="dxa"/>
          </w:tcPr>
          <w:p w:rsidR="00000000" w:rsidRDefault="00000000">
            <w:pPr>
              <w:tabs>
                <w:tab w:val="decimal" w:pos="1284"/>
              </w:tabs>
              <w:autoSpaceDE w:val="0"/>
              <w:autoSpaceDN w:val="0"/>
              <w:adjustRightInd w:val="0"/>
              <w:spacing w:before="60" w:after="60"/>
              <w:rPr>
                <w:color w:val="000000"/>
                <w:sz w:val="20"/>
                <w:szCs w:val="22"/>
                <w:lang w:val="fr-FR"/>
              </w:rPr>
            </w:pPr>
            <w:r>
              <w:rPr>
                <w:color w:val="000000"/>
                <w:sz w:val="20"/>
                <w:szCs w:val="22"/>
                <w:lang w:val="fr-FR"/>
              </w:rPr>
              <w:t xml:space="preserve">5,2 </w:t>
            </w:r>
          </w:p>
        </w:tc>
        <w:tc>
          <w:tcPr>
            <w:tcW w:w="2250" w:type="dxa"/>
          </w:tcPr>
          <w:p w:rsidR="00000000" w:rsidRDefault="00000000">
            <w:pPr>
              <w:tabs>
                <w:tab w:val="decimal" w:pos="1284"/>
              </w:tabs>
              <w:autoSpaceDE w:val="0"/>
              <w:autoSpaceDN w:val="0"/>
              <w:adjustRightInd w:val="0"/>
              <w:spacing w:before="60" w:after="60"/>
              <w:rPr>
                <w:color w:val="000000"/>
                <w:sz w:val="20"/>
                <w:szCs w:val="22"/>
                <w:lang w:val="fr-FR"/>
              </w:rPr>
            </w:pPr>
            <w:r>
              <w:rPr>
                <w:color w:val="000000"/>
                <w:sz w:val="20"/>
                <w:szCs w:val="22"/>
                <w:lang w:val="fr-FR"/>
              </w:rPr>
              <w:t xml:space="preserve">4,9  </w:t>
            </w:r>
          </w:p>
        </w:tc>
      </w:tr>
      <w:tr w:rsidR="00000000">
        <w:tblPrEx>
          <w:tblCellMar>
            <w:top w:w="0" w:type="dxa"/>
            <w:bottom w:w="0" w:type="dxa"/>
          </w:tblCellMar>
        </w:tblPrEx>
        <w:trPr>
          <w:jc w:val="center"/>
        </w:trPr>
        <w:tc>
          <w:tcPr>
            <w:tcW w:w="2340"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Autre type </w:t>
            </w:r>
          </w:p>
        </w:tc>
        <w:tc>
          <w:tcPr>
            <w:tcW w:w="2340" w:type="dxa"/>
          </w:tcPr>
          <w:p w:rsidR="00000000" w:rsidRDefault="00000000">
            <w:pPr>
              <w:tabs>
                <w:tab w:val="decimal" w:pos="1284"/>
              </w:tabs>
              <w:autoSpaceDE w:val="0"/>
              <w:autoSpaceDN w:val="0"/>
              <w:adjustRightInd w:val="0"/>
              <w:spacing w:before="60" w:after="60"/>
              <w:rPr>
                <w:color w:val="000000"/>
                <w:sz w:val="20"/>
                <w:szCs w:val="22"/>
                <w:lang w:val="fr-FR"/>
              </w:rPr>
            </w:pPr>
            <w:r>
              <w:rPr>
                <w:color w:val="000000"/>
                <w:sz w:val="20"/>
                <w:szCs w:val="22"/>
                <w:lang w:val="fr-FR"/>
              </w:rPr>
              <w:t xml:space="preserve">8,5 </w:t>
            </w:r>
          </w:p>
        </w:tc>
        <w:tc>
          <w:tcPr>
            <w:tcW w:w="2250" w:type="dxa"/>
          </w:tcPr>
          <w:p w:rsidR="00000000" w:rsidRDefault="00000000">
            <w:pPr>
              <w:tabs>
                <w:tab w:val="decimal" w:pos="1284"/>
              </w:tabs>
              <w:autoSpaceDE w:val="0"/>
              <w:autoSpaceDN w:val="0"/>
              <w:adjustRightInd w:val="0"/>
              <w:spacing w:before="60" w:after="60"/>
              <w:rPr>
                <w:color w:val="000000"/>
                <w:sz w:val="20"/>
                <w:szCs w:val="22"/>
                <w:lang w:val="fr-FR"/>
              </w:rPr>
            </w:pPr>
            <w:r>
              <w:rPr>
                <w:color w:val="000000"/>
                <w:sz w:val="20"/>
                <w:szCs w:val="22"/>
                <w:lang w:val="fr-FR"/>
              </w:rPr>
              <w:t xml:space="preserve">3,8  </w:t>
            </w:r>
          </w:p>
        </w:tc>
      </w:tr>
    </w:tbl>
    <w:p w:rsidR="00000000" w:rsidRDefault="00000000">
      <w:pPr>
        <w:autoSpaceDE w:val="0"/>
        <w:autoSpaceDN w:val="0"/>
        <w:adjustRightInd w:val="0"/>
        <w:spacing w:before="80" w:after="240"/>
        <w:ind w:left="567"/>
        <w:rPr>
          <w:color w:val="000000"/>
          <w:szCs w:val="22"/>
          <w:lang w:val="fr-FR"/>
        </w:rPr>
      </w:pPr>
      <w:r>
        <w:rPr>
          <w:i/>
          <w:iCs/>
          <w:color w:val="000000"/>
          <w:sz w:val="20"/>
          <w:szCs w:val="22"/>
          <w:lang w:val="fr-FR"/>
        </w:rPr>
        <w:t>Source :</w:t>
      </w:r>
      <w:r>
        <w:rPr>
          <w:color w:val="000000"/>
          <w:sz w:val="20"/>
          <w:szCs w:val="22"/>
          <w:lang w:val="fr-FR"/>
        </w:rPr>
        <w:t xml:space="preserve">  Ministère du développement urbain et du logement-INEC, Recensements, 1982 et 1990</w:t>
      </w:r>
      <w:r>
        <w:rPr>
          <w:color w:val="000000"/>
          <w:szCs w:val="22"/>
          <w:lang w:val="fr-FR"/>
        </w:rPr>
        <w:t xml:space="preserve">  </w:t>
      </w:r>
    </w:p>
    <w:p w:rsidR="00000000" w:rsidRDefault="00000000">
      <w:pPr>
        <w:autoSpaceDE w:val="0"/>
        <w:autoSpaceDN w:val="0"/>
        <w:adjustRightInd w:val="0"/>
        <w:spacing w:before="80" w:after="240"/>
        <w:ind w:left="567"/>
        <w:rPr>
          <w:color w:val="000000"/>
          <w:szCs w:val="22"/>
          <w:lang w:val="fr-FR"/>
        </w:rPr>
      </w:pPr>
    </w:p>
    <w:p w:rsidR="00000000" w:rsidRDefault="00000000">
      <w:pPr>
        <w:autoSpaceDE w:val="0"/>
        <w:autoSpaceDN w:val="0"/>
        <w:adjustRightInd w:val="0"/>
        <w:spacing w:after="240"/>
        <w:rPr>
          <w:color w:val="000000"/>
          <w:szCs w:val="22"/>
          <w:lang w:val="fr-FR"/>
        </w:rPr>
      </w:pPr>
      <w:r>
        <w:rPr>
          <w:i/>
          <w:iCs/>
          <w:color w:val="000000"/>
          <w:szCs w:val="22"/>
          <w:lang w:val="fr-FR"/>
        </w:rPr>
        <w:t xml:space="preserve">Type de logement en Équateur  </w:t>
      </w:r>
    </w:p>
    <w:p w:rsidR="00000000" w:rsidRDefault="00000000">
      <w:pPr>
        <w:autoSpaceDE w:val="0"/>
        <w:autoSpaceDN w:val="0"/>
        <w:adjustRightInd w:val="0"/>
        <w:jc w:val="center"/>
        <w:rPr>
          <w:b/>
          <w:bCs/>
          <w:color w:val="000000"/>
          <w:sz w:val="20"/>
          <w:szCs w:val="22"/>
          <w:lang w:val="fr-FR"/>
        </w:rPr>
      </w:pPr>
      <w:r>
        <w:rPr>
          <w:b/>
          <w:bCs/>
          <w:color w:val="000000"/>
          <w:sz w:val="20"/>
          <w:szCs w:val="22"/>
          <w:lang w:val="fr-FR"/>
        </w:rPr>
        <w:t xml:space="preserve">Logements particuliers occupés, selon le type </w:t>
      </w:r>
    </w:p>
    <w:p w:rsidR="00000000" w:rsidRDefault="00000000">
      <w:pPr>
        <w:autoSpaceDE w:val="0"/>
        <w:autoSpaceDN w:val="0"/>
        <w:adjustRightInd w:val="0"/>
        <w:spacing w:after="120"/>
        <w:jc w:val="center"/>
        <w:rPr>
          <w:i/>
          <w:iCs/>
          <w:color w:val="000000"/>
          <w:sz w:val="20"/>
          <w:szCs w:val="22"/>
          <w:lang w:val="fr-FR"/>
        </w:rPr>
      </w:pPr>
      <w:r>
        <w:rPr>
          <w:b/>
          <w:bCs/>
          <w:i/>
          <w:iCs/>
          <w:color w:val="000000"/>
          <w:sz w:val="20"/>
          <w:szCs w:val="22"/>
          <w:lang w:val="fr-FR"/>
        </w:rPr>
        <w:t xml:space="preserve">(Recensements de 1982 et 1990)  </w:t>
      </w:r>
    </w:p>
    <w:tbl>
      <w:tblPr>
        <w:tblW w:w="8505"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208"/>
        <w:gridCol w:w="1490"/>
        <w:gridCol w:w="1665"/>
        <w:gridCol w:w="1409"/>
        <w:gridCol w:w="1733"/>
      </w:tblGrid>
      <w:tr w:rsidR="00000000">
        <w:tblPrEx>
          <w:tblCellMar>
            <w:top w:w="0" w:type="dxa"/>
            <w:bottom w:w="0" w:type="dxa"/>
          </w:tblCellMar>
        </w:tblPrEx>
        <w:trPr>
          <w:cantSplit/>
          <w:jc w:val="center"/>
        </w:trPr>
        <w:tc>
          <w:tcPr>
            <w:tcW w:w="1809" w:type="dxa"/>
            <w:vMerge w:val="restart"/>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Type d’occupation</w:t>
            </w:r>
          </w:p>
        </w:tc>
        <w:tc>
          <w:tcPr>
            <w:tcW w:w="2584" w:type="dxa"/>
            <w:gridSpan w:val="2"/>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Recensement de 1982</w:t>
            </w:r>
          </w:p>
        </w:tc>
        <w:tc>
          <w:tcPr>
            <w:tcW w:w="2573" w:type="dxa"/>
            <w:gridSpan w:val="2"/>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Recensement de 1990</w:t>
            </w:r>
          </w:p>
        </w:tc>
      </w:tr>
      <w:tr w:rsidR="00000000">
        <w:tblPrEx>
          <w:tblCellMar>
            <w:top w:w="0" w:type="dxa"/>
            <w:bottom w:w="0" w:type="dxa"/>
          </w:tblCellMar>
        </w:tblPrEx>
        <w:trPr>
          <w:cantSplit/>
          <w:jc w:val="center"/>
        </w:trPr>
        <w:tc>
          <w:tcPr>
            <w:tcW w:w="1809" w:type="dxa"/>
            <w:vMerge/>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p>
        </w:tc>
        <w:tc>
          <w:tcPr>
            <w:tcW w:w="122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Logements</w:t>
            </w:r>
          </w:p>
        </w:tc>
        <w:tc>
          <w:tcPr>
            <w:tcW w:w="1364"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Pourcentage</w:t>
            </w:r>
          </w:p>
        </w:tc>
        <w:tc>
          <w:tcPr>
            <w:tcW w:w="1154"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Logements</w:t>
            </w:r>
          </w:p>
        </w:tc>
        <w:tc>
          <w:tcPr>
            <w:tcW w:w="1419"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Pourcentage</w:t>
            </w:r>
          </w:p>
        </w:tc>
      </w:tr>
      <w:tr w:rsidR="00000000">
        <w:tblPrEx>
          <w:tblCellMar>
            <w:top w:w="0" w:type="dxa"/>
            <w:bottom w:w="0" w:type="dxa"/>
          </w:tblCellMar>
        </w:tblPrEx>
        <w:trPr>
          <w:jc w:val="center"/>
        </w:trPr>
        <w:tc>
          <w:tcPr>
            <w:tcW w:w="1809" w:type="dxa"/>
            <w:tcBorders>
              <w:top w:val="single" w:sz="4" w:space="0" w:color="auto"/>
            </w:tcBorders>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Propriétaire </w:t>
            </w:r>
          </w:p>
        </w:tc>
        <w:tc>
          <w:tcPr>
            <w:tcW w:w="1220" w:type="dxa"/>
            <w:tcBorders>
              <w:top w:val="single" w:sz="4" w:space="0" w:color="auto"/>
            </w:tcBorders>
          </w:tcPr>
          <w:p w:rsidR="00000000" w:rsidRDefault="00000000">
            <w:pPr>
              <w:autoSpaceDE w:val="0"/>
              <w:autoSpaceDN w:val="0"/>
              <w:adjustRightInd w:val="0"/>
              <w:spacing w:before="60" w:after="60"/>
              <w:ind w:right="222"/>
              <w:jc w:val="right"/>
              <w:rPr>
                <w:color w:val="000000"/>
                <w:sz w:val="20"/>
                <w:szCs w:val="22"/>
                <w:lang w:val="fr-FR"/>
              </w:rPr>
            </w:pPr>
            <w:r>
              <w:rPr>
                <w:color w:val="000000"/>
                <w:sz w:val="20"/>
                <w:szCs w:val="22"/>
                <w:lang w:val="fr-FR"/>
              </w:rPr>
              <w:t xml:space="preserve">1 051 707 </w:t>
            </w:r>
          </w:p>
        </w:tc>
        <w:tc>
          <w:tcPr>
            <w:tcW w:w="1364" w:type="dxa"/>
            <w:tcBorders>
              <w:top w:val="single" w:sz="4" w:space="0" w:color="auto"/>
            </w:tcBorders>
          </w:tcPr>
          <w:p w:rsidR="00000000" w:rsidRDefault="00000000">
            <w:pPr>
              <w:tabs>
                <w:tab w:val="decimal" w:pos="638"/>
              </w:tabs>
              <w:autoSpaceDE w:val="0"/>
              <w:autoSpaceDN w:val="0"/>
              <w:adjustRightInd w:val="0"/>
              <w:spacing w:before="60" w:after="60"/>
              <w:rPr>
                <w:color w:val="000000"/>
                <w:sz w:val="20"/>
                <w:szCs w:val="22"/>
                <w:lang w:val="fr-FR"/>
              </w:rPr>
            </w:pPr>
            <w:r>
              <w:rPr>
                <w:color w:val="000000"/>
                <w:sz w:val="20"/>
                <w:szCs w:val="22"/>
                <w:lang w:val="fr-FR"/>
              </w:rPr>
              <w:t xml:space="preserve">66,7 </w:t>
            </w:r>
          </w:p>
        </w:tc>
        <w:tc>
          <w:tcPr>
            <w:tcW w:w="1154" w:type="dxa"/>
            <w:tcBorders>
              <w:top w:val="single" w:sz="4" w:space="0" w:color="auto"/>
            </w:tcBorders>
          </w:tcPr>
          <w:p w:rsidR="00000000" w:rsidRDefault="00000000">
            <w:pPr>
              <w:autoSpaceDE w:val="0"/>
              <w:autoSpaceDN w:val="0"/>
              <w:adjustRightInd w:val="0"/>
              <w:spacing w:before="60" w:after="60"/>
              <w:ind w:right="194"/>
              <w:jc w:val="right"/>
              <w:rPr>
                <w:color w:val="000000"/>
                <w:sz w:val="20"/>
                <w:szCs w:val="22"/>
                <w:lang w:val="fr-FR"/>
              </w:rPr>
            </w:pPr>
            <w:r>
              <w:rPr>
                <w:color w:val="000000"/>
                <w:sz w:val="20"/>
                <w:szCs w:val="22"/>
                <w:lang w:val="fr-FR"/>
              </w:rPr>
              <w:t xml:space="preserve">1 367 045 </w:t>
            </w:r>
          </w:p>
        </w:tc>
        <w:tc>
          <w:tcPr>
            <w:tcW w:w="1419" w:type="dxa"/>
            <w:tcBorders>
              <w:top w:val="single" w:sz="4" w:space="0" w:color="auto"/>
            </w:tcBorders>
          </w:tcPr>
          <w:p w:rsidR="00000000" w:rsidRDefault="00000000">
            <w:pPr>
              <w:tabs>
                <w:tab w:val="decimal" w:pos="804"/>
              </w:tabs>
              <w:autoSpaceDE w:val="0"/>
              <w:autoSpaceDN w:val="0"/>
              <w:adjustRightInd w:val="0"/>
              <w:spacing w:before="60" w:after="60"/>
              <w:rPr>
                <w:color w:val="000000"/>
                <w:sz w:val="20"/>
                <w:szCs w:val="22"/>
                <w:lang w:val="fr-FR"/>
              </w:rPr>
            </w:pPr>
            <w:r>
              <w:rPr>
                <w:color w:val="000000"/>
                <w:sz w:val="20"/>
                <w:szCs w:val="22"/>
                <w:lang w:val="fr-FR"/>
              </w:rPr>
              <w:t xml:space="preserve">68,1  </w:t>
            </w:r>
          </w:p>
        </w:tc>
      </w:tr>
      <w:tr w:rsidR="00000000">
        <w:tblPrEx>
          <w:tblCellMar>
            <w:top w:w="0" w:type="dxa"/>
            <w:bottom w:w="0" w:type="dxa"/>
          </w:tblCellMar>
        </w:tblPrEx>
        <w:trPr>
          <w:jc w:val="center"/>
        </w:trPr>
        <w:tc>
          <w:tcPr>
            <w:tcW w:w="1809"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Locataire</w:t>
            </w:r>
          </w:p>
        </w:tc>
        <w:tc>
          <w:tcPr>
            <w:tcW w:w="1220" w:type="dxa"/>
          </w:tcPr>
          <w:p w:rsidR="00000000" w:rsidRDefault="00000000">
            <w:pPr>
              <w:autoSpaceDE w:val="0"/>
              <w:autoSpaceDN w:val="0"/>
              <w:adjustRightInd w:val="0"/>
              <w:spacing w:before="60" w:after="60"/>
              <w:ind w:right="222"/>
              <w:jc w:val="right"/>
              <w:rPr>
                <w:color w:val="000000"/>
                <w:sz w:val="20"/>
                <w:szCs w:val="22"/>
                <w:lang w:val="fr-FR"/>
              </w:rPr>
            </w:pPr>
            <w:r>
              <w:rPr>
                <w:color w:val="000000"/>
                <w:sz w:val="20"/>
                <w:szCs w:val="22"/>
                <w:lang w:val="fr-FR"/>
              </w:rPr>
              <w:t xml:space="preserve">360 444 </w:t>
            </w:r>
          </w:p>
        </w:tc>
        <w:tc>
          <w:tcPr>
            <w:tcW w:w="1364" w:type="dxa"/>
          </w:tcPr>
          <w:p w:rsidR="00000000" w:rsidRDefault="00000000">
            <w:pPr>
              <w:tabs>
                <w:tab w:val="decimal" w:pos="638"/>
              </w:tabs>
              <w:autoSpaceDE w:val="0"/>
              <w:autoSpaceDN w:val="0"/>
              <w:adjustRightInd w:val="0"/>
              <w:spacing w:before="60" w:after="60"/>
              <w:rPr>
                <w:color w:val="000000"/>
                <w:sz w:val="20"/>
                <w:szCs w:val="22"/>
                <w:lang w:val="fr-FR"/>
              </w:rPr>
            </w:pPr>
            <w:r>
              <w:rPr>
                <w:color w:val="000000"/>
                <w:sz w:val="20"/>
                <w:szCs w:val="22"/>
                <w:lang w:val="fr-FR"/>
              </w:rPr>
              <w:t xml:space="preserve">22,9 </w:t>
            </w:r>
          </w:p>
        </w:tc>
        <w:tc>
          <w:tcPr>
            <w:tcW w:w="1154" w:type="dxa"/>
          </w:tcPr>
          <w:p w:rsidR="00000000" w:rsidRDefault="00000000">
            <w:pPr>
              <w:autoSpaceDE w:val="0"/>
              <w:autoSpaceDN w:val="0"/>
              <w:adjustRightInd w:val="0"/>
              <w:spacing w:before="60" w:after="60"/>
              <w:ind w:right="194"/>
              <w:jc w:val="right"/>
              <w:rPr>
                <w:color w:val="000000"/>
                <w:sz w:val="20"/>
                <w:szCs w:val="22"/>
                <w:lang w:val="fr-FR"/>
              </w:rPr>
            </w:pPr>
            <w:r>
              <w:rPr>
                <w:color w:val="000000"/>
                <w:sz w:val="20"/>
                <w:szCs w:val="22"/>
                <w:lang w:val="fr-FR"/>
              </w:rPr>
              <w:t xml:space="preserve">454 782 </w:t>
            </w:r>
          </w:p>
        </w:tc>
        <w:tc>
          <w:tcPr>
            <w:tcW w:w="1419" w:type="dxa"/>
          </w:tcPr>
          <w:p w:rsidR="00000000" w:rsidRDefault="00000000">
            <w:pPr>
              <w:tabs>
                <w:tab w:val="decimal" w:pos="804"/>
              </w:tabs>
              <w:autoSpaceDE w:val="0"/>
              <w:autoSpaceDN w:val="0"/>
              <w:adjustRightInd w:val="0"/>
              <w:spacing w:before="60" w:after="60"/>
              <w:rPr>
                <w:color w:val="000000"/>
                <w:sz w:val="20"/>
                <w:szCs w:val="22"/>
                <w:lang w:val="fr-FR"/>
              </w:rPr>
            </w:pPr>
            <w:r>
              <w:rPr>
                <w:color w:val="000000"/>
                <w:sz w:val="20"/>
                <w:szCs w:val="22"/>
                <w:lang w:val="fr-FR"/>
              </w:rPr>
              <w:t xml:space="preserve">22,6  </w:t>
            </w:r>
          </w:p>
        </w:tc>
      </w:tr>
      <w:tr w:rsidR="00000000">
        <w:tblPrEx>
          <w:tblCellMar>
            <w:top w:w="0" w:type="dxa"/>
            <w:bottom w:w="0" w:type="dxa"/>
          </w:tblCellMar>
        </w:tblPrEx>
        <w:trPr>
          <w:jc w:val="center"/>
        </w:trPr>
        <w:tc>
          <w:tcPr>
            <w:tcW w:w="1809"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Logement gratuit</w:t>
            </w:r>
          </w:p>
        </w:tc>
        <w:tc>
          <w:tcPr>
            <w:tcW w:w="1220" w:type="dxa"/>
          </w:tcPr>
          <w:p w:rsidR="00000000" w:rsidRDefault="00000000">
            <w:pPr>
              <w:autoSpaceDE w:val="0"/>
              <w:autoSpaceDN w:val="0"/>
              <w:adjustRightInd w:val="0"/>
              <w:spacing w:before="60" w:after="60"/>
              <w:ind w:right="222"/>
              <w:jc w:val="right"/>
              <w:rPr>
                <w:color w:val="000000"/>
                <w:sz w:val="20"/>
                <w:szCs w:val="22"/>
                <w:lang w:val="fr-FR"/>
              </w:rPr>
            </w:pPr>
            <w:r>
              <w:rPr>
                <w:color w:val="000000"/>
                <w:sz w:val="20"/>
                <w:szCs w:val="22"/>
                <w:lang w:val="fr-FR"/>
              </w:rPr>
              <w:t xml:space="preserve">94 547 </w:t>
            </w:r>
          </w:p>
        </w:tc>
        <w:tc>
          <w:tcPr>
            <w:tcW w:w="1364" w:type="dxa"/>
          </w:tcPr>
          <w:p w:rsidR="00000000" w:rsidRDefault="00000000">
            <w:pPr>
              <w:tabs>
                <w:tab w:val="decimal" w:pos="638"/>
              </w:tabs>
              <w:autoSpaceDE w:val="0"/>
              <w:autoSpaceDN w:val="0"/>
              <w:adjustRightInd w:val="0"/>
              <w:spacing w:before="60" w:after="60"/>
              <w:rPr>
                <w:color w:val="000000"/>
                <w:sz w:val="20"/>
                <w:szCs w:val="22"/>
                <w:lang w:val="fr-FR"/>
              </w:rPr>
            </w:pPr>
            <w:r>
              <w:rPr>
                <w:color w:val="000000"/>
                <w:sz w:val="20"/>
                <w:szCs w:val="22"/>
                <w:lang w:val="fr-FR"/>
              </w:rPr>
              <w:t xml:space="preserve">6,0 </w:t>
            </w:r>
          </w:p>
        </w:tc>
        <w:tc>
          <w:tcPr>
            <w:tcW w:w="1154" w:type="dxa"/>
          </w:tcPr>
          <w:p w:rsidR="00000000" w:rsidRDefault="00000000">
            <w:pPr>
              <w:autoSpaceDE w:val="0"/>
              <w:autoSpaceDN w:val="0"/>
              <w:adjustRightInd w:val="0"/>
              <w:spacing w:before="60" w:after="60"/>
              <w:ind w:right="194"/>
              <w:jc w:val="right"/>
              <w:rPr>
                <w:color w:val="000000"/>
                <w:sz w:val="20"/>
                <w:szCs w:val="22"/>
                <w:lang w:val="fr-FR"/>
              </w:rPr>
            </w:pPr>
            <w:r>
              <w:rPr>
                <w:color w:val="000000"/>
                <w:sz w:val="20"/>
                <w:szCs w:val="22"/>
                <w:lang w:val="fr-FR"/>
              </w:rPr>
              <w:t xml:space="preserve">110 116 </w:t>
            </w:r>
          </w:p>
        </w:tc>
        <w:tc>
          <w:tcPr>
            <w:tcW w:w="1419" w:type="dxa"/>
          </w:tcPr>
          <w:p w:rsidR="00000000" w:rsidRDefault="00000000">
            <w:pPr>
              <w:tabs>
                <w:tab w:val="decimal" w:pos="804"/>
              </w:tabs>
              <w:autoSpaceDE w:val="0"/>
              <w:autoSpaceDN w:val="0"/>
              <w:adjustRightInd w:val="0"/>
              <w:spacing w:before="60" w:after="60"/>
              <w:rPr>
                <w:color w:val="000000"/>
                <w:sz w:val="20"/>
                <w:szCs w:val="22"/>
                <w:lang w:val="fr-FR"/>
              </w:rPr>
            </w:pPr>
            <w:r>
              <w:rPr>
                <w:color w:val="000000"/>
                <w:sz w:val="20"/>
                <w:szCs w:val="22"/>
                <w:lang w:val="fr-FR"/>
              </w:rPr>
              <w:t xml:space="preserve">5,5  </w:t>
            </w:r>
          </w:p>
        </w:tc>
      </w:tr>
      <w:tr w:rsidR="00000000">
        <w:tblPrEx>
          <w:tblCellMar>
            <w:top w:w="0" w:type="dxa"/>
            <w:bottom w:w="0" w:type="dxa"/>
          </w:tblCellMar>
        </w:tblPrEx>
        <w:trPr>
          <w:jc w:val="center"/>
        </w:trPr>
        <w:tc>
          <w:tcPr>
            <w:tcW w:w="1809"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Logement de service </w:t>
            </w:r>
          </w:p>
        </w:tc>
        <w:tc>
          <w:tcPr>
            <w:tcW w:w="1220" w:type="dxa"/>
          </w:tcPr>
          <w:p w:rsidR="00000000" w:rsidRDefault="00000000">
            <w:pPr>
              <w:autoSpaceDE w:val="0"/>
              <w:autoSpaceDN w:val="0"/>
              <w:adjustRightInd w:val="0"/>
              <w:spacing w:before="60" w:after="60"/>
              <w:ind w:right="222"/>
              <w:jc w:val="right"/>
              <w:rPr>
                <w:color w:val="000000"/>
                <w:sz w:val="20"/>
                <w:szCs w:val="22"/>
                <w:lang w:val="fr-FR"/>
              </w:rPr>
            </w:pPr>
            <w:r>
              <w:rPr>
                <w:color w:val="000000"/>
                <w:sz w:val="20"/>
                <w:szCs w:val="22"/>
                <w:lang w:val="fr-FR"/>
              </w:rPr>
              <w:t xml:space="preserve">58 988 </w:t>
            </w:r>
          </w:p>
        </w:tc>
        <w:tc>
          <w:tcPr>
            <w:tcW w:w="1364" w:type="dxa"/>
          </w:tcPr>
          <w:p w:rsidR="00000000" w:rsidRDefault="00000000">
            <w:pPr>
              <w:tabs>
                <w:tab w:val="decimal" w:pos="638"/>
              </w:tabs>
              <w:autoSpaceDE w:val="0"/>
              <w:autoSpaceDN w:val="0"/>
              <w:adjustRightInd w:val="0"/>
              <w:spacing w:before="60" w:after="60"/>
              <w:rPr>
                <w:color w:val="000000"/>
                <w:sz w:val="20"/>
                <w:szCs w:val="22"/>
                <w:lang w:val="fr-FR"/>
              </w:rPr>
            </w:pPr>
            <w:r>
              <w:rPr>
                <w:color w:val="000000"/>
                <w:sz w:val="20"/>
                <w:szCs w:val="22"/>
                <w:lang w:val="fr-FR"/>
              </w:rPr>
              <w:t xml:space="preserve">3,7 </w:t>
            </w:r>
          </w:p>
        </w:tc>
        <w:tc>
          <w:tcPr>
            <w:tcW w:w="1154" w:type="dxa"/>
          </w:tcPr>
          <w:p w:rsidR="00000000" w:rsidRDefault="00000000">
            <w:pPr>
              <w:autoSpaceDE w:val="0"/>
              <w:autoSpaceDN w:val="0"/>
              <w:adjustRightInd w:val="0"/>
              <w:spacing w:before="60" w:after="60"/>
              <w:ind w:right="194"/>
              <w:jc w:val="right"/>
              <w:rPr>
                <w:color w:val="000000"/>
                <w:sz w:val="20"/>
                <w:szCs w:val="22"/>
                <w:lang w:val="fr-FR"/>
              </w:rPr>
            </w:pPr>
            <w:r>
              <w:rPr>
                <w:color w:val="000000"/>
                <w:sz w:val="20"/>
                <w:szCs w:val="22"/>
                <w:lang w:val="fr-FR"/>
              </w:rPr>
              <w:t xml:space="preserve">66 306 </w:t>
            </w:r>
          </w:p>
        </w:tc>
        <w:tc>
          <w:tcPr>
            <w:tcW w:w="1419" w:type="dxa"/>
          </w:tcPr>
          <w:p w:rsidR="00000000" w:rsidRDefault="00000000">
            <w:pPr>
              <w:tabs>
                <w:tab w:val="decimal" w:pos="804"/>
              </w:tabs>
              <w:autoSpaceDE w:val="0"/>
              <w:autoSpaceDN w:val="0"/>
              <w:adjustRightInd w:val="0"/>
              <w:spacing w:before="60" w:after="60"/>
              <w:rPr>
                <w:color w:val="000000"/>
                <w:sz w:val="20"/>
                <w:szCs w:val="22"/>
                <w:lang w:val="fr-FR"/>
              </w:rPr>
            </w:pPr>
            <w:r>
              <w:rPr>
                <w:color w:val="000000"/>
                <w:sz w:val="20"/>
                <w:szCs w:val="22"/>
                <w:lang w:val="fr-FR"/>
              </w:rPr>
              <w:t xml:space="preserve">3,3  </w:t>
            </w:r>
          </w:p>
        </w:tc>
      </w:tr>
      <w:tr w:rsidR="00000000">
        <w:tblPrEx>
          <w:tblCellMar>
            <w:top w:w="0" w:type="dxa"/>
            <w:bottom w:w="0" w:type="dxa"/>
          </w:tblCellMar>
        </w:tblPrEx>
        <w:trPr>
          <w:jc w:val="center"/>
        </w:trPr>
        <w:tc>
          <w:tcPr>
            <w:tcW w:w="1809"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Autre </w:t>
            </w:r>
          </w:p>
        </w:tc>
        <w:tc>
          <w:tcPr>
            <w:tcW w:w="1220" w:type="dxa"/>
          </w:tcPr>
          <w:p w:rsidR="00000000" w:rsidRDefault="00000000">
            <w:pPr>
              <w:autoSpaceDE w:val="0"/>
              <w:autoSpaceDN w:val="0"/>
              <w:adjustRightInd w:val="0"/>
              <w:spacing w:before="60" w:after="60"/>
              <w:ind w:right="222"/>
              <w:jc w:val="right"/>
              <w:rPr>
                <w:color w:val="000000"/>
                <w:sz w:val="20"/>
                <w:szCs w:val="22"/>
                <w:lang w:val="fr-FR"/>
              </w:rPr>
            </w:pPr>
            <w:r>
              <w:rPr>
                <w:color w:val="000000"/>
                <w:sz w:val="20"/>
                <w:szCs w:val="22"/>
                <w:lang w:val="fr-FR"/>
              </w:rPr>
              <w:t xml:space="preserve">10 755 </w:t>
            </w:r>
          </w:p>
        </w:tc>
        <w:tc>
          <w:tcPr>
            <w:tcW w:w="1364" w:type="dxa"/>
          </w:tcPr>
          <w:p w:rsidR="00000000" w:rsidRDefault="00000000">
            <w:pPr>
              <w:tabs>
                <w:tab w:val="decimal" w:pos="638"/>
              </w:tabs>
              <w:autoSpaceDE w:val="0"/>
              <w:autoSpaceDN w:val="0"/>
              <w:adjustRightInd w:val="0"/>
              <w:spacing w:before="60" w:after="60"/>
              <w:rPr>
                <w:color w:val="000000"/>
                <w:sz w:val="20"/>
                <w:szCs w:val="22"/>
                <w:lang w:val="fr-FR"/>
              </w:rPr>
            </w:pPr>
            <w:r>
              <w:rPr>
                <w:color w:val="000000"/>
                <w:sz w:val="20"/>
                <w:szCs w:val="22"/>
                <w:lang w:val="fr-FR"/>
              </w:rPr>
              <w:t xml:space="preserve">0,7 </w:t>
            </w:r>
          </w:p>
        </w:tc>
        <w:tc>
          <w:tcPr>
            <w:tcW w:w="1154" w:type="dxa"/>
          </w:tcPr>
          <w:p w:rsidR="00000000" w:rsidRDefault="00000000">
            <w:pPr>
              <w:autoSpaceDE w:val="0"/>
              <w:autoSpaceDN w:val="0"/>
              <w:adjustRightInd w:val="0"/>
              <w:spacing w:before="60" w:after="60"/>
              <w:ind w:right="194"/>
              <w:jc w:val="right"/>
              <w:rPr>
                <w:color w:val="000000"/>
                <w:sz w:val="20"/>
                <w:szCs w:val="22"/>
                <w:lang w:val="fr-FR"/>
              </w:rPr>
            </w:pPr>
            <w:r>
              <w:rPr>
                <w:color w:val="000000"/>
                <w:sz w:val="20"/>
                <w:szCs w:val="22"/>
                <w:lang w:val="fr-FR"/>
              </w:rPr>
              <w:t xml:space="preserve">10 406 </w:t>
            </w:r>
          </w:p>
        </w:tc>
        <w:tc>
          <w:tcPr>
            <w:tcW w:w="1419" w:type="dxa"/>
          </w:tcPr>
          <w:p w:rsidR="00000000" w:rsidRDefault="00000000">
            <w:pPr>
              <w:tabs>
                <w:tab w:val="decimal" w:pos="804"/>
              </w:tabs>
              <w:autoSpaceDE w:val="0"/>
              <w:autoSpaceDN w:val="0"/>
              <w:adjustRightInd w:val="0"/>
              <w:spacing w:before="60" w:after="60"/>
              <w:rPr>
                <w:color w:val="000000"/>
                <w:sz w:val="20"/>
                <w:szCs w:val="22"/>
                <w:lang w:val="fr-FR"/>
              </w:rPr>
            </w:pPr>
            <w:r>
              <w:rPr>
                <w:color w:val="000000"/>
                <w:sz w:val="20"/>
                <w:szCs w:val="22"/>
                <w:lang w:val="fr-FR"/>
              </w:rPr>
              <w:t xml:space="preserve">0,5  </w:t>
            </w:r>
          </w:p>
        </w:tc>
      </w:tr>
      <w:tr w:rsidR="00000000">
        <w:tblPrEx>
          <w:tblCellMar>
            <w:top w:w="0" w:type="dxa"/>
            <w:bottom w:w="0" w:type="dxa"/>
          </w:tblCellMar>
        </w:tblPrEx>
        <w:trPr>
          <w:jc w:val="center"/>
        </w:trPr>
        <w:tc>
          <w:tcPr>
            <w:tcW w:w="1809"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  Total </w:t>
            </w:r>
          </w:p>
        </w:tc>
        <w:tc>
          <w:tcPr>
            <w:tcW w:w="1220" w:type="dxa"/>
          </w:tcPr>
          <w:p w:rsidR="00000000" w:rsidRDefault="00000000">
            <w:pPr>
              <w:autoSpaceDE w:val="0"/>
              <w:autoSpaceDN w:val="0"/>
              <w:adjustRightInd w:val="0"/>
              <w:spacing w:before="60" w:after="60"/>
              <w:ind w:right="222"/>
              <w:jc w:val="right"/>
              <w:rPr>
                <w:color w:val="000000"/>
                <w:sz w:val="20"/>
                <w:szCs w:val="22"/>
                <w:lang w:val="fr-FR"/>
              </w:rPr>
            </w:pPr>
            <w:r>
              <w:rPr>
                <w:color w:val="000000"/>
                <w:sz w:val="20"/>
                <w:szCs w:val="22"/>
                <w:lang w:val="fr-FR"/>
              </w:rPr>
              <w:t xml:space="preserve">1 576 441 </w:t>
            </w:r>
          </w:p>
        </w:tc>
        <w:tc>
          <w:tcPr>
            <w:tcW w:w="1364" w:type="dxa"/>
          </w:tcPr>
          <w:p w:rsidR="00000000" w:rsidRDefault="00000000">
            <w:pPr>
              <w:tabs>
                <w:tab w:val="decimal" w:pos="638"/>
              </w:tabs>
              <w:autoSpaceDE w:val="0"/>
              <w:autoSpaceDN w:val="0"/>
              <w:adjustRightInd w:val="0"/>
              <w:spacing w:before="60" w:after="60"/>
              <w:rPr>
                <w:color w:val="000000"/>
                <w:sz w:val="20"/>
                <w:szCs w:val="22"/>
                <w:lang w:val="fr-FR"/>
              </w:rPr>
            </w:pPr>
            <w:r>
              <w:rPr>
                <w:color w:val="000000"/>
                <w:sz w:val="20"/>
                <w:szCs w:val="22"/>
                <w:lang w:val="fr-FR"/>
              </w:rPr>
              <w:t xml:space="preserve">100,0 </w:t>
            </w:r>
          </w:p>
        </w:tc>
        <w:tc>
          <w:tcPr>
            <w:tcW w:w="1154" w:type="dxa"/>
          </w:tcPr>
          <w:p w:rsidR="00000000" w:rsidRDefault="00000000">
            <w:pPr>
              <w:autoSpaceDE w:val="0"/>
              <w:autoSpaceDN w:val="0"/>
              <w:adjustRightInd w:val="0"/>
              <w:spacing w:before="60" w:after="60"/>
              <w:ind w:right="194"/>
              <w:jc w:val="right"/>
              <w:rPr>
                <w:color w:val="000000"/>
                <w:sz w:val="20"/>
                <w:szCs w:val="22"/>
                <w:lang w:val="fr-FR"/>
              </w:rPr>
            </w:pPr>
            <w:r>
              <w:rPr>
                <w:color w:val="000000"/>
                <w:sz w:val="20"/>
                <w:szCs w:val="22"/>
                <w:lang w:val="fr-FR"/>
              </w:rPr>
              <w:t xml:space="preserve">2 008 655 </w:t>
            </w:r>
          </w:p>
        </w:tc>
        <w:tc>
          <w:tcPr>
            <w:tcW w:w="1419" w:type="dxa"/>
          </w:tcPr>
          <w:p w:rsidR="00000000" w:rsidRDefault="00000000">
            <w:pPr>
              <w:tabs>
                <w:tab w:val="decimal" w:pos="804"/>
              </w:tabs>
              <w:autoSpaceDE w:val="0"/>
              <w:autoSpaceDN w:val="0"/>
              <w:adjustRightInd w:val="0"/>
              <w:spacing w:before="60" w:after="60"/>
              <w:rPr>
                <w:color w:val="000000"/>
                <w:sz w:val="20"/>
                <w:szCs w:val="22"/>
                <w:lang w:val="fr-FR"/>
              </w:rPr>
            </w:pPr>
            <w:r>
              <w:rPr>
                <w:color w:val="000000"/>
                <w:sz w:val="20"/>
                <w:szCs w:val="22"/>
                <w:lang w:val="fr-FR"/>
              </w:rPr>
              <w:t xml:space="preserve">100,0  </w:t>
            </w:r>
          </w:p>
        </w:tc>
      </w:tr>
    </w:tbl>
    <w:p w:rsidR="00000000" w:rsidRDefault="00000000">
      <w:pPr>
        <w:spacing w:before="80" w:after="600"/>
        <w:ind w:left="567"/>
        <w:rPr>
          <w:color w:val="000000"/>
          <w:sz w:val="20"/>
          <w:szCs w:val="22"/>
          <w:lang w:val="fr-FR"/>
        </w:rPr>
      </w:pPr>
      <w:r>
        <w:rPr>
          <w:i/>
          <w:iCs/>
          <w:color w:val="000000"/>
          <w:sz w:val="20"/>
          <w:szCs w:val="22"/>
          <w:lang w:val="fr-FR"/>
        </w:rPr>
        <w:t>Source :</w:t>
      </w:r>
      <w:r>
        <w:rPr>
          <w:color w:val="000000"/>
          <w:sz w:val="20"/>
          <w:szCs w:val="22"/>
          <w:lang w:val="fr-FR"/>
        </w:rPr>
        <w:t xml:space="preserve"> INEC-Ministère du développement urbain et du logement.</w:t>
      </w:r>
    </w:p>
    <w:p w:rsidR="00000000" w:rsidRDefault="00000000">
      <w:pPr>
        <w:spacing w:before="80" w:after="240"/>
        <w:rPr>
          <w:i/>
          <w:iCs/>
          <w:color w:val="000000"/>
          <w:szCs w:val="22"/>
          <w:lang w:val="fr-FR"/>
        </w:rPr>
      </w:pPr>
      <w:r>
        <w:rPr>
          <w:i/>
          <w:iCs/>
          <w:color w:val="000000"/>
          <w:szCs w:val="22"/>
          <w:lang w:val="fr-FR"/>
        </w:rPr>
        <w:t>Dispositions qui garantissent le droit au logement</w:t>
      </w:r>
    </w:p>
    <w:p w:rsidR="00000000" w:rsidRDefault="00000000">
      <w:pPr>
        <w:spacing w:after="240"/>
        <w:rPr>
          <w:iCs/>
          <w:color w:val="000000"/>
          <w:lang w:val="fr-FR"/>
        </w:rPr>
      </w:pPr>
      <w:r>
        <w:rPr>
          <w:iCs/>
          <w:color w:val="000000"/>
          <w:lang w:val="fr-FR"/>
        </w:rPr>
        <w:t>361.</w:t>
      </w:r>
      <w:r>
        <w:rPr>
          <w:iCs/>
          <w:color w:val="000000"/>
          <w:lang w:val="fr-FR"/>
        </w:rPr>
        <w:tab/>
        <w:t xml:space="preserve">La Constitution (titre III, chap. II relatif aux droits civils, art. 23, par. 20) précise que l’État reconnaît et garantit "le droit à une qualité de la vie qui assure la santé, l'alimentation et la nutrition, l'eau potable, </w:t>
      </w:r>
      <w:r>
        <w:rPr>
          <w:lang w:val="fr-FR"/>
        </w:rPr>
        <w:t>la salubrité de l'environnement</w:t>
      </w:r>
      <w:r>
        <w:rPr>
          <w:iCs/>
          <w:color w:val="000000"/>
          <w:lang w:val="fr-FR"/>
        </w:rPr>
        <w:t>; l'éducation, le travail, l'emploi, les loisirs, le logement, l'habillement et les autres services sociaux nécessaires".  Elle dispose aussi (chap. IV relatif aux droits économiques, sociaux et culturels, art. 32) : "Pour assurer l'exercice effectif du droit au logement et à la conservation de l'environnement, les municipalités peuvent exproprier, réserver et réglementer des zones aux fins d'aménagement futur, en conformité avec la loi.  L'État encourage les programmes de logement d’intérêt social".</w:t>
      </w:r>
    </w:p>
    <w:p w:rsidR="00000000" w:rsidRDefault="00000000">
      <w:pPr>
        <w:spacing w:after="240"/>
        <w:rPr>
          <w:iCs/>
          <w:color w:val="000000"/>
          <w:lang w:val="fr-FR"/>
        </w:rPr>
      </w:pPr>
      <w:r>
        <w:rPr>
          <w:iCs/>
          <w:color w:val="000000"/>
          <w:lang w:val="fr-FR"/>
        </w:rPr>
        <w:t>362.</w:t>
      </w:r>
      <w:r>
        <w:rPr>
          <w:iCs/>
          <w:color w:val="000000"/>
          <w:lang w:val="fr-FR"/>
        </w:rPr>
        <w:tab/>
        <w:t>De 1990 à la date d'établissement du présent document, les lois et règlements ci-après ont été adoptés dans le domaine du changement : Loi relative aux appels d’offres pour les projets d'intérêt social, Loi N° 02 (</w:t>
      </w:r>
      <w:r>
        <w:rPr>
          <w:i/>
          <w:iCs/>
          <w:color w:val="000000"/>
          <w:lang w:val="fr-FR"/>
        </w:rPr>
        <w:t>Journal officiel</w:t>
      </w:r>
      <w:r>
        <w:rPr>
          <w:iCs/>
          <w:color w:val="000000"/>
          <w:lang w:val="fr-FR"/>
        </w:rPr>
        <w:t xml:space="preserve"> N° 289 du 4 octobre 1993); Règlement relatif aux appels d’offres pour les projets d'intérêt social (</w:t>
      </w:r>
      <w:r>
        <w:rPr>
          <w:i/>
          <w:iCs/>
          <w:color w:val="000000"/>
          <w:lang w:val="fr-FR"/>
        </w:rPr>
        <w:t>Journal officiel</w:t>
      </w:r>
      <w:r>
        <w:rPr>
          <w:iCs/>
          <w:color w:val="000000"/>
          <w:lang w:val="fr-FR"/>
        </w:rPr>
        <w:t>, supplément N° 12, du 31 janvier 1997,</w:t>
      </w:r>
      <w:r>
        <w:rPr>
          <w:i/>
          <w:iCs/>
          <w:color w:val="000000"/>
          <w:lang w:val="fr-FR"/>
        </w:rPr>
        <w:t xml:space="preserve"> Journal officiel</w:t>
      </w:r>
      <w:r>
        <w:rPr>
          <w:iCs/>
          <w:color w:val="000000"/>
          <w:lang w:val="fr-FR"/>
        </w:rPr>
        <w:t xml:space="preserve"> N° 72 du 23 novembre 1998); Règlement interne relatif aux appels d’offres pour les projets d'intérêt social (</w:t>
      </w:r>
      <w:r>
        <w:rPr>
          <w:i/>
          <w:iCs/>
          <w:color w:val="000000"/>
          <w:lang w:val="fr-FR"/>
        </w:rPr>
        <w:t>Journal Officiel</w:t>
      </w:r>
      <w:r>
        <w:rPr>
          <w:iCs/>
          <w:color w:val="000000"/>
          <w:lang w:val="fr-FR"/>
        </w:rPr>
        <w:t xml:space="preserve"> N° 108 du 15 juillet 1997); Décret exécutif N° 1269 sur la mise en place du système d'incitations pour le logement (</w:t>
      </w:r>
      <w:r>
        <w:rPr>
          <w:i/>
          <w:iCs/>
          <w:color w:val="000000"/>
          <w:lang w:val="fr-FR"/>
        </w:rPr>
        <w:t>Journal officiel</w:t>
      </w:r>
      <w:r>
        <w:rPr>
          <w:iCs/>
          <w:color w:val="000000"/>
          <w:lang w:val="fr-FR"/>
        </w:rPr>
        <w:t>, supplément N° 287 du 31 mars 1998); Décret réformateur (</w:t>
      </w:r>
      <w:r>
        <w:rPr>
          <w:i/>
          <w:iCs/>
          <w:color w:val="000000"/>
          <w:lang w:val="fr-FR"/>
        </w:rPr>
        <w:t>Journal officiel</w:t>
      </w:r>
      <w:r>
        <w:rPr>
          <w:iCs/>
          <w:color w:val="000000"/>
          <w:lang w:val="fr-FR"/>
        </w:rPr>
        <w:t>, supplément N° 352 du 2 juillet 1998); Règlement substitutif du Règlement relatif au système d'incitations pour les nouveaux logements urbains (</w:t>
      </w:r>
      <w:r>
        <w:rPr>
          <w:i/>
          <w:iCs/>
          <w:color w:val="000000"/>
          <w:lang w:val="fr-FR"/>
        </w:rPr>
        <w:t>Journal officiel</w:t>
      </w:r>
      <w:r>
        <w:rPr>
          <w:iCs/>
          <w:color w:val="000000"/>
          <w:lang w:val="fr-FR"/>
        </w:rPr>
        <w:t xml:space="preserve"> N° 229 du 8 juillet 1999); Règlement substitutif du Règlement relatif au système d'incitations pour l'amélioration des logements urbains (</w:t>
      </w:r>
      <w:r>
        <w:rPr>
          <w:i/>
          <w:iCs/>
          <w:color w:val="000000"/>
          <w:lang w:val="fr-FR"/>
        </w:rPr>
        <w:t>Journal officiel</w:t>
      </w:r>
      <w:r>
        <w:rPr>
          <w:iCs/>
          <w:color w:val="000000"/>
          <w:lang w:val="fr-FR"/>
        </w:rPr>
        <w:t xml:space="preserve"> N° 229 du 8 juillet 1999); Règlement relatif au système d'incitations pour le logement dans les centres historiques (</w:t>
      </w:r>
      <w:r>
        <w:rPr>
          <w:i/>
          <w:iCs/>
          <w:color w:val="000000"/>
          <w:lang w:val="fr-FR"/>
        </w:rPr>
        <w:t>Journal officiel</w:t>
      </w:r>
      <w:r>
        <w:rPr>
          <w:iCs/>
          <w:color w:val="000000"/>
          <w:lang w:val="fr-FR"/>
        </w:rPr>
        <w:t xml:space="preserve"> N° 229 du 8 juillet 1999); Accord ministériel N° 0030 - Fonds compensatoire (</w:t>
      </w:r>
      <w:r>
        <w:rPr>
          <w:i/>
          <w:iCs/>
          <w:color w:val="000000"/>
          <w:lang w:val="fr-FR"/>
        </w:rPr>
        <w:t>Journal officiel</w:t>
      </w:r>
      <w:r>
        <w:rPr>
          <w:iCs/>
          <w:color w:val="000000"/>
          <w:lang w:val="fr-FR"/>
        </w:rPr>
        <w:t xml:space="preserve"> N° 235 du 16 juillet 1999).</w:t>
      </w:r>
    </w:p>
    <w:p w:rsidR="00000000" w:rsidRDefault="00000000">
      <w:pPr>
        <w:spacing w:after="240"/>
        <w:rPr>
          <w:iCs/>
          <w:color w:val="000000"/>
          <w:lang w:val="fr-FR"/>
        </w:rPr>
      </w:pPr>
      <w:r>
        <w:rPr>
          <w:iCs/>
          <w:color w:val="000000"/>
          <w:lang w:val="fr-FR"/>
        </w:rPr>
        <w:t>363.</w:t>
      </w:r>
      <w:r>
        <w:rPr>
          <w:iCs/>
          <w:color w:val="000000"/>
          <w:lang w:val="fr-FR"/>
        </w:rPr>
        <w:tab/>
        <w:t xml:space="preserve">En outre, en plus des accords de crédits internationaux et des normes du Ministère du développement urbain et du logement (MIDUVI), qui favorisent la participation du système financier privé et des constructeurs privés, dans leur domaine de compétence, chaque municipalité adopte des ordonnances relatives aux constructions, aux programmes de logement d'intérêt social, </w:t>
      </w:r>
      <w:r>
        <w:rPr>
          <w:lang w:val="fr-FR"/>
        </w:rPr>
        <w:t>à l’urbanisation progressive</w:t>
      </w:r>
      <w:r>
        <w:rPr>
          <w:iCs/>
          <w:color w:val="000000"/>
          <w:lang w:val="fr-FR"/>
        </w:rPr>
        <w:t>, aux lotissements, à la remembrement et aux normes architecturales.  Il est incontestable que toutes les normes doivent être conformes à l’ensemble des dispositions actuellement en vigueur et aux politiques et directives du Gouvernement équatorien.</w:t>
      </w:r>
    </w:p>
    <w:p w:rsidR="00000000" w:rsidRDefault="00000000">
      <w:pPr>
        <w:spacing w:after="240"/>
        <w:rPr>
          <w:iCs/>
          <w:color w:val="000000"/>
          <w:lang w:val="fr-FR"/>
        </w:rPr>
      </w:pPr>
      <w:r>
        <w:rPr>
          <w:iCs/>
          <w:color w:val="000000"/>
          <w:lang w:val="fr-FR"/>
        </w:rPr>
        <w:t>364.</w:t>
      </w:r>
      <w:r>
        <w:rPr>
          <w:iCs/>
          <w:color w:val="000000"/>
          <w:lang w:val="fr-FR"/>
        </w:rPr>
        <w:tab/>
        <w:t>Le Règlement substitutif relatif au système d'incitations pour les nouveaux logements urbains et pour l'amélioration du logement urbain (</w:t>
      </w:r>
      <w:r>
        <w:rPr>
          <w:i/>
          <w:iCs/>
          <w:color w:val="000000"/>
          <w:lang w:val="fr-FR"/>
        </w:rPr>
        <w:t>Journal officiel</w:t>
      </w:r>
      <w:r>
        <w:rPr>
          <w:iCs/>
          <w:color w:val="000000"/>
          <w:lang w:val="fr-FR"/>
        </w:rPr>
        <w:t xml:space="preserve"> N° 229 du 8 juillet 1999) traite, en son article 5 relatif au groupe familial, de l'attention accordée aux personnes âgées et au handicapés.  Ces personnes sont considérées comme membre du groupe familial et un système de notation leur est appliqué pour déterminer le bénéfice des mesures d’incitations conformément au paragraphe 8 du système de notation (articles 29 et 30), pour les logements urbains et nouveaux et au paragraphe 7 du système de notation (articles 23 et 24), pour l'amélioration du logement urbain.</w:t>
      </w:r>
    </w:p>
    <w:p w:rsidR="00000000" w:rsidRDefault="00000000">
      <w:pPr>
        <w:spacing w:after="240"/>
        <w:rPr>
          <w:iCs/>
          <w:color w:val="000000"/>
          <w:lang w:val="fr-FR"/>
        </w:rPr>
      </w:pPr>
      <w:r>
        <w:rPr>
          <w:iCs/>
          <w:color w:val="000000"/>
          <w:lang w:val="fr-FR"/>
        </w:rPr>
        <w:t>365.</w:t>
      </w:r>
      <w:r>
        <w:rPr>
          <w:iCs/>
          <w:color w:val="000000"/>
          <w:lang w:val="fr-FR"/>
        </w:rPr>
        <w:tab/>
        <w:t>On ne dispose pas d'informations statistiques sur le manque de logement des personnes handicapées dans le secteur urbain et rural; il importe cependant de noter qu'au cours de 1998, la Banque équatorienne du logement a accordé à 97 personnes handicapées des crédits à des conditions spéciales d'un montant total de 3 341 900 000 sucres, se répartissant comme suit</w:t>
      </w:r>
      <w:r>
        <w:rPr>
          <w:rStyle w:val="FootnoteReference"/>
          <w:b/>
          <w:iCs/>
          <w:color w:val="000000"/>
          <w:lang w:val="fr-FR"/>
        </w:rPr>
        <w:footnoteReference w:id="47"/>
      </w:r>
      <w:r>
        <w:rPr>
          <w:iCs/>
          <w:color w:val="000000"/>
          <w:lang w:val="fr-FR"/>
        </w:rPr>
        <w:t>:</w:t>
      </w:r>
    </w:p>
    <w:p w:rsidR="00000000" w:rsidRDefault="00000000">
      <w:pPr>
        <w:autoSpaceDE w:val="0"/>
        <w:autoSpaceDN w:val="0"/>
        <w:adjustRightInd w:val="0"/>
        <w:spacing w:after="240"/>
        <w:rPr>
          <w:color w:val="000000"/>
          <w:szCs w:val="22"/>
          <w:lang w:val="fr-FR"/>
        </w:rPr>
      </w:pPr>
      <w:r>
        <w:rPr>
          <w:color w:val="000000"/>
          <w:szCs w:val="22"/>
          <w:lang w:val="fr-FR"/>
        </w:rPr>
        <w:br w:type="page"/>
      </w:r>
    </w:p>
    <w:tbl>
      <w:tblPr>
        <w:tblW w:w="6804"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723"/>
        <w:gridCol w:w="2081"/>
      </w:tblGrid>
      <w:tr w:rsidR="00000000">
        <w:tblPrEx>
          <w:tblCellMar>
            <w:top w:w="0" w:type="dxa"/>
            <w:bottom w:w="0" w:type="dxa"/>
          </w:tblCellMar>
        </w:tblPrEx>
        <w:trPr>
          <w:jc w:val="center"/>
        </w:trPr>
        <w:tc>
          <w:tcPr>
            <w:tcW w:w="2301"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Agence de la Banque équatorienne du logement</w:t>
            </w:r>
          </w:p>
        </w:tc>
        <w:tc>
          <w:tcPr>
            <w:tcW w:w="1014"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Nombre de crédits</w:t>
            </w:r>
          </w:p>
        </w:tc>
      </w:tr>
      <w:tr w:rsidR="00000000">
        <w:tblPrEx>
          <w:tblCellMar>
            <w:top w:w="0" w:type="dxa"/>
            <w:bottom w:w="0" w:type="dxa"/>
          </w:tblCellMar>
        </w:tblPrEx>
        <w:trPr>
          <w:jc w:val="center"/>
        </w:trPr>
        <w:tc>
          <w:tcPr>
            <w:tcW w:w="2301" w:type="dxa"/>
            <w:tcBorders>
              <w:top w:val="single" w:sz="4" w:space="0" w:color="auto"/>
            </w:tcBorders>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Calceta </w:t>
            </w:r>
          </w:p>
        </w:tc>
        <w:tc>
          <w:tcPr>
            <w:tcW w:w="1014" w:type="dxa"/>
            <w:tcBorders>
              <w:top w:val="single" w:sz="4" w:space="0" w:color="auto"/>
            </w:tcBorders>
          </w:tcPr>
          <w:p w:rsidR="00000000" w:rsidRDefault="00000000">
            <w:pPr>
              <w:autoSpaceDE w:val="0"/>
              <w:autoSpaceDN w:val="0"/>
              <w:adjustRightInd w:val="0"/>
              <w:spacing w:before="60" w:after="60"/>
              <w:ind w:right="838"/>
              <w:jc w:val="right"/>
              <w:rPr>
                <w:color w:val="000000"/>
                <w:sz w:val="20"/>
                <w:szCs w:val="22"/>
                <w:lang w:val="fr-FR"/>
              </w:rPr>
            </w:pPr>
            <w:r>
              <w:rPr>
                <w:color w:val="000000"/>
                <w:sz w:val="20"/>
                <w:szCs w:val="22"/>
                <w:lang w:val="fr-FR"/>
              </w:rPr>
              <w:t xml:space="preserve">15  </w:t>
            </w:r>
          </w:p>
        </w:tc>
      </w:tr>
      <w:tr w:rsidR="00000000">
        <w:tblPrEx>
          <w:tblCellMar>
            <w:top w:w="0" w:type="dxa"/>
            <w:bottom w:w="0" w:type="dxa"/>
          </w:tblCellMar>
        </w:tblPrEx>
        <w:trPr>
          <w:jc w:val="center"/>
        </w:trPr>
        <w:tc>
          <w:tcPr>
            <w:tcW w:w="2301" w:type="dxa"/>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Chone </w:t>
            </w:r>
          </w:p>
        </w:tc>
        <w:tc>
          <w:tcPr>
            <w:tcW w:w="1014" w:type="dxa"/>
          </w:tcPr>
          <w:p w:rsidR="00000000" w:rsidRDefault="00000000">
            <w:pPr>
              <w:autoSpaceDE w:val="0"/>
              <w:autoSpaceDN w:val="0"/>
              <w:adjustRightInd w:val="0"/>
              <w:spacing w:before="60" w:after="60"/>
              <w:ind w:right="838"/>
              <w:jc w:val="right"/>
              <w:rPr>
                <w:color w:val="000000"/>
                <w:sz w:val="20"/>
                <w:szCs w:val="22"/>
                <w:lang w:val="fr-FR"/>
              </w:rPr>
            </w:pPr>
            <w:r>
              <w:rPr>
                <w:color w:val="000000"/>
                <w:sz w:val="20"/>
                <w:szCs w:val="22"/>
                <w:lang w:val="fr-FR"/>
              </w:rPr>
              <w:t xml:space="preserve">25  </w:t>
            </w:r>
          </w:p>
        </w:tc>
      </w:tr>
      <w:tr w:rsidR="00000000">
        <w:tblPrEx>
          <w:tblCellMar>
            <w:top w:w="0" w:type="dxa"/>
            <w:bottom w:w="0" w:type="dxa"/>
          </w:tblCellMar>
        </w:tblPrEx>
        <w:trPr>
          <w:jc w:val="center"/>
        </w:trPr>
        <w:tc>
          <w:tcPr>
            <w:tcW w:w="2301" w:type="dxa"/>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Cuenca </w:t>
            </w:r>
          </w:p>
        </w:tc>
        <w:tc>
          <w:tcPr>
            <w:tcW w:w="1014" w:type="dxa"/>
          </w:tcPr>
          <w:p w:rsidR="00000000" w:rsidRDefault="00000000">
            <w:pPr>
              <w:autoSpaceDE w:val="0"/>
              <w:autoSpaceDN w:val="0"/>
              <w:adjustRightInd w:val="0"/>
              <w:spacing w:before="60" w:after="60"/>
              <w:ind w:right="838"/>
              <w:jc w:val="right"/>
              <w:rPr>
                <w:color w:val="000000"/>
                <w:sz w:val="20"/>
                <w:szCs w:val="22"/>
                <w:lang w:val="fr-FR"/>
              </w:rPr>
            </w:pPr>
            <w:r>
              <w:rPr>
                <w:color w:val="000000"/>
                <w:sz w:val="20"/>
                <w:szCs w:val="22"/>
                <w:lang w:val="fr-FR"/>
              </w:rPr>
              <w:t xml:space="preserve">3  </w:t>
            </w:r>
          </w:p>
        </w:tc>
      </w:tr>
      <w:tr w:rsidR="00000000">
        <w:tblPrEx>
          <w:tblCellMar>
            <w:top w:w="0" w:type="dxa"/>
            <w:bottom w:w="0" w:type="dxa"/>
          </w:tblCellMar>
        </w:tblPrEx>
        <w:trPr>
          <w:jc w:val="center"/>
        </w:trPr>
        <w:tc>
          <w:tcPr>
            <w:tcW w:w="2301" w:type="dxa"/>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Guaranda </w:t>
            </w:r>
          </w:p>
        </w:tc>
        <w:tc>
          <w:tcPr>
            <w:tcW w:w="1014" w:type="dxa"/>
          </w:tcPr>
          <w:p w:rsidR="00000000" w:rsidRDefault="00000000">
            <w:pPr>
              <w:autoSpaceDE w:val="0"/>
              <w:autoSpaceDN w:val="0"/>
              <w:adjustRightInd w:val="0"/>
              <w:spacing w:before="60" w:after="60"/>
              <w:ind w:right="838"/>
              <w:jc w:val="right"/>
              <w:rPr>
                <w:color w:val="000000"/>
                <w:sz w:val="20"/>
                <w:szCs w:val="22"/>
                <w:lang w:val="fr-FR"/>
              </w:rPr>
            </w:pPr>
            <w:r>
              <w:rPr>
                <w:color w:val="000000"/>
                <w:sz w:val="20"/>
                <w:szCs w:val="22"/>
                <w:lang w:val="fr-FR"/>
              </w:rPr>
              <w:t xml:space="preserve">7  </w:t>
            </w:r>
          </w:p>
        </w:tc>
      </w:tr>
      <w:tr w:rsidR="00000000">
        <w:tblPrEx>
          <w:tblCellMar>
            <w:top w:w="0" w:type="dxa"/>
            <w:bottom w:w="0" w:type="dxa"/>
          </w:tblCellMar>
        </w:tblPrEx>
        <w:trPr>
          <w:jc w:val="center"/>
        </w:trPr>
        <w:tc>
          <w:tcPr>
            <w:tcW w:w="2301" w:type="dxa"/>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Machala </w:t>
            </w:r>
          </w:p>
        </w:tc>
        <w:tc>
          <w:tcPr>
            <w:tcW w:w="1014" w:type="dxa"/>
          </w:tcPr>
          <w:p w:rsidR="00000000" w:rsidRDefault="00000000">
            <w:pPr>
              <w:autoSpaceDE w:val="0"/>
              <w:autoSpaceDN w:val="0"/>
              <w:adjustRightInd w:val="0"/>
              <w:spacing w:before="60" w:after="60"/>
              <w:ind w:right="838"/>
              <w:jc w:val="right"/>
              <w:rPr>
                <w:color w:val="000000"/>
                <w:sz w:val="20"/>
                <w:szCs w:val="22"/>
                <w:lang w:val="fr-FR"/>
              </w:rPr>
            </w:pPr>
            <w:r>
              <w:rPr>
                <w:color w:val="000000"/>
                <w:sz w:val="20"/>
                <w:szCs w:val="22"/>
                <w:lang w:val="fr-FR"/>
              </w:rPr>
              <w:t xml:space="preserve">4  </w:t>
            </w:r>
          </w:p>
        </w:tc>
      </w:tr>
      <w:tr w:rsidR="00000000">
        <w:tblPrEx>
          <w:tblCellMar>
            <w:top w:w="0" w:type="dxa"/>
            <w:bottom w:w="0" w:type="dxa"/>
          </w:tblCellMar>
        </w:tblPrEx>
        <w:trPr>
          <w:jc w:val="center"/>
        </w:trPr>
        <w:tc>
          <w:tcPr>
            <w:tcW w:w="2301" w:type="dxa"/>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Manta </w:t>
            </w:r>
          </w:p>
        </w:tc>
        <w:tc>
          <w:tcPr>
            <w:tcW w:w="1014" w:type="dxa"/>
          </w:tcPr>
          <w:p w:rsidR="00000000" w:rsidRDefault="00000000">
            <w:pPr>
              <w:autoSpaceDE w:val="0"/>
              <w:autoSpaceDN w:val="0"/>
              <w:adjustRightInd w:val="0"/>
              <w:spacing w:before="60" w:after="60"/>
              <w:ind w:right="838"/>
              <w:jc w:val="right"/>
              <w:rPr>
                <w:color w:val="000000"/>
                <w:sz w:val="20"/>
                <w:szCs w:val="22"/>
                <w:lang w:val="fr-FR"/>
              </w:rPr>
            </w:pPr>
            <w:r>
              <w:rPr>
                <w:color w:val="000000"/>
                <w:sz w:val="20"/>
                <w:szCs w:val="22"/>
                <w:lang w:val="fr-FR"/>
              </w:rPr>
              <w:t xml:space="preserve">2  </w:t>
            </w:r>
          </w:p>
        </w:tc>
      </w:tr>
      <w:tr w:rsidR="00000000">
        <w:tblPrEx>
          <w:tblCellMar>
            <w:top w:w="0" w:type="dxa"/>
            <w:bottom w:w="0" w:type="dxa"/>
          </w:tblCellMar>
        </w:tblPrEx>
        <w:trPr>
          <w:jc w:val="center"/>
        </w:trPr>
        <w:tc>
          <w:tcPr>
            <w:tcW w:w="2301" w:type="dxa"/>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Portoviejo </w:t>
            </w:r>
          </w:p>
        </w:tc>
        <w:tc>
          <w:tcPr>
            <w:tcW w:w="1014" w:type="dxa"/>
          </w:tcPr>
          <w:p w:rsidR="00000000" w:rsidRDefault="00000000">
            <w:pPr>
              <w:autoSpaceDE w:val="0"/>
              <w:autoSpaceDN w:val="0"/>
              <w:adjustRightInd w:val="0"/>
              <w:spacing w:before="60" w:after="60"/>
              <w:ind w:right="838"/>
              <w:jc w:val="right"/>
              <w:rPr>
                <w:color w:val="000000"/>
                <w:sz w:val="20"/>
                <w:szCs w:val="22"/>
                <w:lang w:val="fr-FR"/>
              </w:rPr>
            </w:pPr>
            <w:r>
              <w:rPr>
                <w:color w:val="000000"/>
                <w:sz w:val="20"/>
                <w:szCs w:val="22"/>
                <w:lang w:val="fr-FR"/>
              </w:rPr>
              <w:t xml:space="preserve">3  </w:t>
            </w:r>
          </w:p>
        </w:tc>
      </w:tr>
      <w:tr w:rsidR="00000000">
        <w:tblPrEx>
          <w:tblCellMar>
            <w:top w:w="0" w:type="dxa"/>
            <w:bottom w:w="0" w:type="dxa"/>
          </w:tblCellMar>
        </w:tblPrEx>
        <w:trPr>
          <w:jc w:val="center"/>
        </w:trPr>
        <w:tc>
          <w:tcPr>
            <w:tcW w:w="2301" w:type="dxa"/>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Quininde </w:t>
            </w:r>
          </w:p>
        </w:tc>
        <w:tc>
          <w:tcPr>
            <w:tcW w:w="1014" w:type="dxa"/>
          </w:tcPr>
          <w:p w:rsidR="00000000" w:rsidRDefault="00000000">
            <w:pPr>
              <w:autoSpaceDE w:val="0"/>
              <w:autoSpaceDN w:val="0"/>
              <w:adjustRightInd w:val="0"/>
              <w:spacing w:before="60" w:after="60"/>
              <w:ind w:right="838"/>
              <w:jc w:val="right"/>
              <w:rPr>
                <w:color w:val="000000"/>
                <w:sz w:val="20"/>
                <w:szCs w:val="22"/>
                <w:lang w:val="fr-FR"/>
              </w:rPr>
            </w:pPr>
            <w:r>
              <w:rPr>
                <w:color w:val="000000"/>
                <w:sz w:val="20"/>
                <w:szCs w:val="22"/>
                <w:lang w:val="fr-FR"/>
              </w:rPr>
              <w:t xml:space="preserve">25  </w:t>
            </w:r>
          </w:p>
        </w:tc>
      </w:tr>
      <w:tr w:rsidR="00000000">
        <w:tblPrEx>
          <w:tblCellMar>
            <w:top w:w="0" w:type="dxa"/>
            <w:bottom w:w="0" w:type="dxa"/>
          </w:tblCellMar>
        </w:tblPrEx>
        <w:trPr>
          <w:jc w:val="center"/>
        </w:trPr>
        <w:tc>
          <w:tcPr>
            <w:tcW w:w="2301" w:type="dxa"/>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Quito </w:t>
            </w:r>
          </w:p>
        </w:tc>
        <w:tc>
          <w:tcPr>
            <w:tcW w:w="1014" w:type="dxa"/>
          </w:tcPr>
          <w:p w:rsidR="00000000" w:rsidRDefault="00000000">
            <w:pPr>
              <w:autoSpaceDE w:val="0"/>
              <w:autoSpaceDN w:val="0"/>
              <w:adjustRightInd w:val="0"/>
              <w:spacing w:before="60" w:after="60"/>
              <w:ind w:right="838"/>
              <w:jc w:val="right"/>
              <w:rPr>
                <w:color w:val="000000"/>
                <w:sz w:val="20"/>
                <w:szCs w:val="22"/>
                <w:lang w:val="fr-FR"/>
              </w:rPr>
            </w:pPr>
            <w:r>
              <w:rPr>
                <w:color w:val="000000"/>
                <w:sz w:val="20"/>
                <w:szCs w:val="22"/>
                <w:lang w:val="fr-FR"/>
              </w:rPr>
              <w:t xml:space="preserve">8  </w:t>
            </w:r>
          </w:p>
        </w:tc>
      </w:tr>
      <w:tr w:rsidR="00000000">
        <w:tblPrEx>
          <w:tblCellMar>
            <w:top w:w="0" w:type="dxa"/>
            <w:bottom w:w="0" w:type="dxa"/>
          </w:tblCellMar>
        </w:tblPrEx>
        <w:trPr>
          <w:jc w:val="center"/>
        </w:trPr>
        <w:tc>
          <w:tcPr>
            <w:tcW w:w="2301" w:type="dxa"/>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Sainto Domingo </w:t>
            </w:r>
          </w:p>
        </w:tc>
        <w:tc>
          <w:tcPr>
            <w:tcW w:w="1014" w:type="dxa"/>
          </w:tcPr>
          <w:p w:rsidR="00000000" w:rsidRDefault="00000000">
            <w:pPr>
              <w:autoSpaceDE w:val="0"/>
              <w:autoSpaceDN w:val="0"/>
              <w:adjustRightInd w:val="0"/>
              <w:spacing w:before="60" w:after="60"/>
              <w:ind w:right="838"/>
              <w:jc w:val="right"/>
              <w:rPr>
                <w:color w:val="000000"/>
                <w:sz w:val="20"/>
                <w:szCs w:val="22"/>
                <w:lang w:val="fr-FR"/>
              </w:rPr>
            </w:pPr>
            <w:r>
              <w:rPr>
                <w:color w:val="000000"/>
                <w:sz w:val="20"/>
                <w:szCs w:val="22"/>
                <w:lang w:val="fr-FR"/>
              </w:rPr>
              <w:t xml:space="preserve">5  </w:t>
            </w:r>
          </w:p>
        </w:tc>
      </w:tr>
      <w:tr w:rsidR="00000000">
        <w:tblPrEx>
          <w:tblCellMar>
            <w:top w:w="0" w:type="dxa"/>
            <w:bottom w:w="0" w:type="dxa"/>
          </w:tblCellMar>
        </w:tblPrEx>
        <w:trPr>
          <w:jc w:val="center"/>
        </w:trPr>
        <w:tc>
          <w:tcPr>
            <w:tcW w:w="2301" w:type="dxa"/>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  Total </w:t>
            </w:r>
          </w:p>
        </w:tc>
        <w:tc>
          <w:tcPr>
            <w:tcW w:w="1014" w:type="dxa"/>
          </w:tcPr>
          <w:p w:rsidR="00000000" w:rsidRDefault="00000000">
            <w:pPr>
              <w:autoSpaceDE w:val="0"/>
              <w:autoSpaceDN w:val="0"/>
              <w:adjustRightInd w:val="0"/>
              <w:spacing w:before="60" w:after="60"/>
              <w:ind w:right="838"/>
              <w:jc w:val="right"/>
              <w:rPr>
                <w:color w:val="000000"/>
                <w:sz w:val="20"/>
                <w:szCs w:val="22"/>
                <w:lang w:val="fr-FR"/>
              </w:rPr>
            </w:pPr>
            <w:r>
              <w:rPr>
                <w:color w:val="000000"/>
                <w:sz w:val="20"/>
                <w:szCs w:val="22"/>
                <w:lang w:val="fr-FR"/>
              </w:rPr>
              <w:t xml:space="preserve">97  </w:t>
            </w:r>
          </w:p>
        </w:tc>
      </w:tr>
    </w:tbl>
    <w:p w:rsidR="00000000" w:rsidRDefault="00000000">
      <w:pPr>
        <w:autoSpaceDE w:val="0"/>
        <w:autoSpaceDN w:val="0"/>
        <w:adjustRightInd w:val="0"/>
        <w:spacing w:before="80" w:after="240"/>
        <w:ind w:left="1701"/>
        <w:rPr>
          <w:color w:val="000000"/>
          <w:sz w:val="20"/>
          <w:szCs w:val="22"/>
          <w:lang w:val="fr-FR"/>
        </w:rPr>
      </w:pPr>
      <w:r>
        <w:rPr>
          <w:i/>
          <w:iCs/>
          <w:color w:val="000000"/>
          <w:sz w:val="20"/>
          <w:szCs w:val="22"/>
          <w:lang w:val="fr-FR"/>
        </w:rPr>
        <w:t>Source :</w:t>
      </w:r>
      <w:r>
        <w:rPr>
          <w:color w:val="000000"/>
          <w:sz w:val="20"/>
          <w:szCs w:val="22"/>
          <w:lang w:val="fr-FR"/>
        </w:rPr>
        <w:t xml:space="preserve"> CONADIS.  </w:t>
      </w:r>
    </w:p>
    <w:p w:rsidR="00000000" w:rsidRDefault="00000000">
      <w:pPr>
        <w:spacing w:after="240"/>
        <w:rPr>
          <w:iCs/>
          <w:color w:val="000000"/>
          <w:lang w:val="fr-FR"/>
        </w:rPr>
      </w:pPr>
      <w:r>
        <w:rPr>
          <w:iCs/>
          <w:color w:val="000000"/>
          <w:lang w:val="fr-FR"/>
        </w:rPr>
        <w:t>366.</w:t>
      </w:r>
      <w:r>
        <w:rPr>
          <w:iCs/>
          <w:color w:val="000000"/>
          <w:lang w:val="fr-FR"/>
        </w:rPr>
        <w:tab/>
        <w:t>L’INEC a prévu de réaliser un recensement agricole entre octobre et décembre 2000.  L'objet de ce recensement est de rassembler des données sur le régime foncier, l'utilisation des sols, la production agricole, le stock de bétail, le personnel occupé, l'énergie et les machines utilisées, etc.  Le sixième recensement de la population et cinquième recensement de l'habitation sont prévues pour 2001; on en attend des données sur l’éducation et les caractéristiques économiques de la population, la fécondité et la mortalité, les services de base disponibles, etc.</w:t>
      </w:r>
    </w:p>
    <w:p w:rsidR="00000000" w:rsidRDefault="00000000">
      <w:pPr>
        <w:spacing w:after="240"/>
        <w:rPr>
          <w:iCs/>
          <w:color w:val="000000"/>
          <w:lang w:val="fr-FR"/>
        </w:rPr>
      </w:pPr>
      <w:r>
        <w:rPr>
          <w:i/>
          <w:iCs/>
          <w:color w:val="000000"/>
          <w:lang w:val="fr-FR"/>
        </w:rPr>
        <w:t>Politiques de promotion du logement</w:t>
      </w:r>
    </w:p>
    <w:p w:rsidR="00000000" w:rsidRDefault="00000000">
      <w:pPr>
        <w:spacing w:after="240"/>
        <w:rPr>
          <w:iCs/>
          <w:color w:val="000000"/>
          <w:lang w:val="fr-FR"/>
        </w:rPr>
      </w:pPr>
      <w:r>
        <w:rPr>
          <w:iCs/>
          <w:color w:val="000000"/>
          <w:lang w:val="fr-FR"/>
        </w:rPr>
        <w:t>367.</w:t>
      </w:r>
      <w:r>
        <w:rPr>
          <w:iCs/>
          <w:color w:val="000000"/>
          <w:lang w:val="fr-FR"/>
        </w:rPr>
        <w:tab/>
        <w:t>La politique du logement engagé dans le pays à la fin du mandat du Président de la République, Sixto Duran Bailén, par le biais de la mise en place en 1996 du Système d'incitations en faveur du logement, a été un succès, malgré l'instabilité politique que connaît le pays (cinq présidents de la République en moins de quatre ans).  Auparavant, l’État était exécuteur et constructeur de grands programmes de logement sans accès direct aux appels d'offres, et les modalités d'attribution des contrats donnaient souvent lieu à de la corruption; aujourd'hui, l’État, agissant par l'intermédiaire du MIDUVI, se transforme en fournisseur de crédits et en une banque de deuxième niveau, finançant des constructeurs et entités financières, qui, grâce à la création du marché hypothécaire, assure le soutien financier de tout le système.</w:t>
      </w:r>
    </w:p>
    <w:p w:rsidR="00000000" w:rsidRDefault="00000000">
      <w:pPr>
        <w:spacing w:after="240"/>
        <w:rPr>
          <w:iCs/>
          <w:color w:val="000000"/>
          <w:lang w:val="fr-FR"/>
        </w:rPr>
      </w:pPr>
      <w:r>
        <w:rPr>
          <w:iCs/>
          <w:color w:val="000000"/>
          <w:lang w:val="fr-FR"/>
        </w:rPr>
        <w:t>368.</w:t>
      </w:r>
      <w:r>
        <w:rPr>
          <w:iCs/>
          <w:color w:val="000000"/>
          <w:lang w:val="fr-FR"/>
        </w:rPr>
        <w:tab/>
        <w:t>Avec le nouveau système, le logement des catégories les plus pauvres de la population est subventionné.  Il y a adéquation de la demande et des incitations du secteur privé et l'offre et le financement des projets; l'incitation consiste en une contribution économique fournie par l’État, par l'intermédiaire du MIDUVI, aux familles à faible revenu pour l'acquisition ou la construction de logements.  Cette allocation au logement est servie en une fois et n'est pas remboursable; la valeur de l'incitation est inversement proportionnelle au coût de l'habitation, c'est-à-dire que son montant est d'autant plus grand que le coût de l'habitation est moindre.</w:t>
      </w:r>
    </w:p>
    <w:p w:rsidR="00000000" w:rsidRDefault="00000000">
      <w:pPr>
        <w:spacing w:after="240"/>
        <w:rPr>
          <w:iCs/>
          <w:color w:val="000000"/>
          <w:lang w:val="fr-FR"/>
        </w:rPr>
      </w:pPr>
      <w:r>
        <w:rPr>
          <w:iCs/>
          <w:color w:val="000000"/>
          <w:lang w:val="fr-FR"/>
        </w:rPr>
        <w:br w:type="page"/>
        <w:t>369.</w:t>
      </w:r>
      <w:r>
        <w:rPr>
          <w:iCs/>
          <w:color w:val="000000"/>
          <w:lang w:val="fr-FR"/>
        </w:rPr>
        <w:tab/>
        <w:t>Le mécanisme en place est simple : A + B + C où :</w:t>
      </w:r>
    </w:p>
    <w:p w:rsidR="00000000" w:rsidRDefault="00000000">
      <w:pPr>
        <w:numPr>
          <w:ilvl w:val="1"/>
          <w:numId w:val="64"/>
        </w:numPr>
        <w:spacing w:after="240"/>
        <w:rPr>
          <w:iCs/>
          <w:color w:val="000000"/>
          <w:lang w:val="fr-FR"/>
        </w:rPr>
      </w:pPr>
      <w:r>
        <w:rPr>
          <w:iCs/>
          <w:color w:val="000000"/>
          <w:lang w:val="fr-FR"/>
        </w:rPr>
        <w:t>A est l’apport des familles, sous forme d'épargne, de terrain ou de main-d’œuvre;</w:t>
      </w:r>
    </w:p>
    <w:p w:rsidR="00000000" w:rsidRDefault="00000000">
      <w:pPr>
        <w:numPr>
          <w:ilvl w:val="1"/>
          <w:numId w:val="64"/>
        </w:numPr>
        <w:spacing w:after="240"/>
        <w:rPr>
          <w:iCs/>
          <w:color w:val="000000"/>
          <w:lang w:val="fr-FR"/>
        </w:rPr>
      </w:pPr>
      <w:r>
        <w:rPr>
          <w:iCs/>
          <w:color w:val="000000"/>
          <w:lang w:val="fr-FR"/>
        </w:rPr>
        <w:t>B est l'allocation accordée par le Gouvernement, qui peut représenter jusqu'à 60 % du coût du projet;</w:t>
      </w:r>
    </w:p>
    <w:p w:rsidR="00000000" w:rsidRDefault="00000000">
      <w:pPr>
        <w:numPr>
          <w:ilvl w:val="1"/>
          <w:numId w:val="64"/>
        </w:numPr>
        <w:spacing w:after="240"/>
        <w:rPr>
          <w:iCs/>
          <w:color w:val="000000"/>
          <w:lang w:val="fr-FR"/>
        </w:rPr>
      </w:pPr>
      <w:r>
        <w:rPr>
          <w:iCs/>
          <w:color w:val="000000"/>
          <w:lang w:val="fr-FR"/>
        </w:rPr>
        <w:t xml:space="preserve">C est le crédit fourni par le système financier, ou la coopération de la communauté, de la municipalité ou d'une ONG participant au projet.  </w:t>
      </w:r>
    </w:p>
    <w:p w:rsidR="00000000" w:rsidRDefault="00000000">
      <w:pPr>
        <w:spacing w:after="240"/>
        <w:rPr>
          <w:iCs/>
          <w:color w:val="000000"/>
          <w:lang w:val="fr-FR"/>
        </w:rPr>
      </w:pPr>
      <w:r>
        <w:rPr>
          <w:iCs/>
          <w:color w:val="000000"/>
          <w:lang w:val="fr-FR"/>
        </w:rPr>
        <w:t>370.</w:t>
      </w:r>
      <w:r>
        <w:rPr>
          <w:iCs/>
          <w:color w:val="000000"/>
          <w:lang w:val="fr-FR"/>
        </w:rPr>
        <w:tab/>
        <w:t>Les conditions suivantes sont requises pour bénéficier de l'allocation logement :</w:t>
      </w:r>
    </w:p>
    <w:p w:rsidR="00000000" w:rsidRDefault="00000000">
      <w:pPr>
        <w:numPr>
          <w:ilvl w:val="2"/>
          <w:numId w:val="64"/>
        </w:numPr>
        <w:spacing w:after="240"/>
        <w:rPr>
          <w:iCs/>
          <w:color w:val="000000"/>
          <w:lang w:val="fr-FR"/>
        </w:rPr>
      </w:pPr>
      <w:r>
        <w:rPr>
          <w:iCs/>
          <w:color w:val="000000"/>
          <w:lang w:val="fr-FR"/>
        </w:rPr>
        <w:t>Être citoyen équatorien et majeur;</w:t>
      </w:r>
    </w:p>
    <w:p w:rsidR="00000000" w:rsidRDefault="00000000">
      <w:pPr>
        <w:numPr>
          <w:ilvl w:val="2"/>
          <w:numId w:val="64"/>
        </w:numPr>
        <w:spacing w:after="240"/>
        <w:rPr>
          <w:iCs/>
          <w:color w:val="000000"/>
          <w:lang w:val="fr-FR"/>
        </w:rPr>
      </w:pPr>
      <w:r>
        <w:rPr>
          <w:iCs/>
          <w:color w:val="000000"/>
          <w:lang w:val="fr-FR"/>
        </w:rPr>
        <w:t>Ne pas posséder de logement sur le territoire national;</w:t>
      </w:r>
    </w:p>
    <w:p w:rsidR="00000000" w:rsidRDefault="00000000">
      <w:pPr>
        <w:numPr>
          <w:ilvl w:val="2"/>
          <w:numId w:val="64"/>
        </w:numPr>
        <w:spacing w:after="240"/>
        <w:rPr>
          <w:iCs/>
          <w:color w:val="000000"/>
          <w:lang w:val="fr-FR"/>
        </w:rPr>
      </w:pPr>
      <w:r>
        <w:rPr>
          <w:iCs/>
          <w:color w:val="000000"/>
          <w:lang w:val="fr-FR"/>
        </w:rPr>
        <w:t>Ne pas avoir de revenus supérieurs à 6 millions de sucres</w:t>
      </w:r>
      <w:r>
        <w:rPr>
          <w:rStyle w:val="FootnoteReference"/>
          <w:b/>
          <w:iCs/>
          <w:color w:val="000000"/>
          <w:lang w:val="fr-FR"/>
        </w:rPr>
        <w:footnoteReference w:id="48"/>
      </w:r>
      <w:r>
        <w:rPr>
          <w:iCs/>
          <w:color w:val="000000"/>
          <w:lang w:val="fr-FR"/>
        </w:rPr>
        <w:t>;</w:t>
      </w:r>
    </w:p>
    <w:p w:rsidR="00000000" w:rsidRDefault="00000000">
      <w:pPr>
        <w:numPr>
          <w:ilvl w:val="2"/>
          <w:numId w:val="64"/>
        </w:numPr>
        <w:spacing w:after="240"/>
        <w:rPr>
          <w:iCs/>
          <w:color w:val="000000"/>
          <w:lang w:val="fr-FR"/>
        </w:rPr>
      </w:pPr>
      <w:r>
        <w:rPr>
          <w:iCs/>
          <w:color w:val="000000"/>
          <w:lang w:val="fr-FR"/>
        </w:rPr>
        <w:t>Ouvrir un compte logement dans une des institutions financières participantes du Système d'incitation au logement (SIV).</w:t>
      </w:r>
    </w:p>
    <w:p w:rsidR="00000000" w:rsidRDefault="00000000">
      <w:pPr>
        <w:spacing w:after="360"/>
        <w:rPr>
          <w:iCs/>
          <w:color w:val="000000"/>
          <w:lang w:val="fr-FR"/>
        </w:rPr>
      </w:pPr>
      <w:r>
        <w:rPr>
          <w:iCs/>
          <w:color w:val="000000"/>
          <w:lang w:val="fr-FR"/>
        </w:rPr>
        <w:t>Le Plan de logement ABC exécuté jusqu'en décembre 1999 est le suivant :</w:t>
      </w:r>
    </w:p>
    <w:p w:rsidR="00000000" w:rsidRDefault="00000000">
      <w:pPr>
        <w:autoSpaceDE w:val="0"/>
        <w:autoSpaceDN w:val="0"/>
        <w:adjustRightInd w:val="0"/>
        <w:jc w:val="center"/>
        <w:rPr>
          <w:b/>
          <w:bCs/>
          <w:color w:val="000000"/>
          <w:sz w:val="20"/>
          <w:szCs w:val="22"/>
          <w:lang w:val="fr-FR"/>
        </w:rPr>
      </w:pPr>
      <w:r>
        <w:rPr>
          <w:b/>
          <w:bCs/>
          <w:color w:val="000000"/>
          <w:sz w:val="20"/>
          <w:szCs w:val="22"/>
          <w:lang w:val="fr-FR"/>
        </w:rPr>
        <w:t xml:space="preserve">Programme de nouveaux logements urbains ABC </w:t>
      </w:r>
    </w:p>
    <w:p w:rsidR="00000000" w:rsidRDefault="00000000">
      <w:pPr>
        <w:autoSpaceDE w:val="0"/>
        <w:autoSpaceDN w:val="0"/>
        <w:adjustRightInd w:val="0"/>
        <w:spacing w:after="80"/>
        <w:jc w:val="center"/>
        <w:rPr>
          <w:i/>
          <w:iCs/>
          <w:color w:val="000000"/>
          <w:sz w:val="20"/>
          <w:szCs w:val="22"/>
          <w:lang w:val="fr-FR"/>
        </w:rPr>
      </w:pPr>
      <w:r>
        <w:rPr>
          <w:i/>
          <w:iCs/>
          <w:color w:val="000000"/>
          <w:sz w:val="20"/>
          <w:szCs w:val="22"/>
          <w:lang w:val="fr-FR"/>
        </w:rPr>
        <w:t xml:space="preserve">(En sucres)  </w:t>
      </w:r>
    </w:p>
    <w:tbl>
      <w:tblPr>
        <w:tblW w:w="8505"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619"/>
        <w:gridCol w:w="1615"/>
        <w:gridCol w:w="1649"/>
        <w:gridCol w:w="2345"/>
        <w:gridCol w:w="1277"/>
      </w:tblGrid>
      <w:tr w:rsidR="00000000">
        <w:tblPrEx>
          <w:tblCellMar>
            <w:top w:w="0" w:type="dxa"/>
            <w:bottom w:w="0" w:type="dxa"/>
          </w:tblCellMar>
        </w:tblPrEx>
        <w:trPr>
          <w:jc w:val="center"/>
        </w:trPr>
        <w:tc>
          <w:tcPr>
            <w:tcW w:w="1607"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Type de logement</w:t>
            </w:r>
          </w:p>
        </w:tc>
        <w:tc>
          <w:tcPr>
            <w:tcW w:w="1604"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Prix maximum</w:t>
            </w:r>
          </w:p>
        </w:tc>
        <w:tc>
          <w:tcPr>
            <w:tcW w:w="1638"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Versement initial</w:t>
            </w:r>
          </w:p>
        </w:tc>
        <w:tc>
          <w:tcPr>
            <w:tcW w:w="2329"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Montant de l’allocation</w:t>
            </w:r>
          </w:p>
        </w:tc>
        <w:tc>
          <w:tcPr>
            <w:tcW w:w="1268"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 xml:space="preserve">Crédit </w:t>
            </w:r>
            <w:r>
              <w:rPr>
                <w:b/>
                <w:bCs/>
                <w:i/>
                <w:iCs/>
                <w:color w:val="000000"/>
                <w:sz w:val="20"/>
                <w:szCs w:val="22"/>
                <w:vertAlign w:val="superscript"/>
                <w:lang w:val="fr-FR"/>
              </w:rPr>
              <w:t>*</w:t>
            </w:r>
          </w:p>
        </w:tc>
      </w:tr>
      <w:tr w:rsidR="00000000">
        <w:tblPrEx>
          <w:tblCellMar>
            <w:top w:w="0" w:type="dxa"/>
            <w:bottom w:w="0" w:type="dxa"/>
          </w:tblCellMar>
        </w:tblPrEx>
        <w:trPr>
          <w:jc w:val="center"/>
        </w:trPr>
        <w:tc>
          <w:tcPr>
            <w:tcW w:w="1607" w:type="dxa"/>
            <w:tcBorders>
              <w:top w:val="single" w:sz="4" w:space="0" w:color="auto"/>
            </w:tcBorders>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1 </w:t>
            </w:r>
          </w:p>
        </w:tc>
        <w:tc>
          <w:tcPr>
            <w:tcW w:w="1604" w:type="dxa"/>
            <w:tcBorders>
              <w:top w:val="single" w:sz="4" w:space="0" w:color="auto"/>
            </w:tcBorders>
          </w:tcPr>
          <w:p w:rsidR="00000000" w:rsidRDefault="00000000">
            <w:pPr>
              <w:autoSpaceDE w:val="0"/>
              <w:autoSpaceDN w:val="0"/>
              <w:adjustRightInd w:val="0"/>
              <w:spacing w:before="60" w:after="60"/>
              <w:ind w:right="198"/>
              <w:jc w:val="right"/>
              <w:rPr>
                <w:color w:val="000000"/>
                <w:sz w:val="20"/>
                <w:szCs w:val="22"/>
                <w:lang w:val="fr-FR"/>
              </w:rPr>
            </w:pPr>
            <w:r>
              <w:rPr>
                <w:color w:val="000000"/>
                <w:sz w:val="20"/>
                <w:szCs w:val="22"/>
                <w:lang w:val="fr-FR"/>
              </w:rPr>
              <w:t xml:space="preserve">38 400 000 </w:t>
            </w:r>
          </w:p>
        </w:tc>
        <w:tc>
          <w:tcPr>
            <w:tcW w:w="1638" w:type="dxa"/>
            <w:tcBorders>
              <w:top w:val="single" w:sz="4" w:space="0" w:color="auto"/>
            </w:tcBorders>
          </w:tcPr>
          <w:p w:rsidR="00000000" w:rsidRDefault="00000000">
            <w:pPr>
              <w:autoSpaceDE w:val="0"/>
              <w:autoSpaceDN w:val="0"/>
              <w:adjustRightInd w:val="0"/>
              <w:spacing w:before="60" w:after="60"/>
              <w:ind w:right="198"/>
              <w:jc w:val="right"/>
              <w:rPr>
                <w:color w:val="000000"/>
                <w:sz w:val="20"/>
                <w:szCs w:val="22"/>
                <w:lang w:val="fr-FR"/>
              </w:rPr>
            </w:pPr>
            <w:r>
              <w:rPr>
                <w:color w:val="000000"/>
                <w:sz w:val="20"/>
                <w:szCs w:val="22"/>
                <w:lang w:val="fr-FR"/>
              </w:rPr>
              <w:t xml:space="preserve">3 840 000 </w:t>
            </w:r>
          </w:p>
        </w:tc>
        <w:tc>
          <w:tcPr>
            <w:tcW w:w="2329" w:type="dxa"/>
            <w:tcBorders>
              <w:top w:val="single" w:sz="4" w:space="0" w:color="auto"/>
            </w:tcBorders>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60 % prix du logement  </w:t>
            </w:r>
          </w:p>
        </w:tc>
        <w:tc>
          <w:tcPr>
            <w:tcW w:w="1268" w:type="dxa"/>
            <w:tcBorders>
              <w:top w:val="single" w:sz="4" w:space="0" w:color="auto"/>
            </w:tcBorders>
          </w:tcPr>
          <w:p w:rsidR="00000000" w:rsidRDefault="00000000">
            <w:pPr>
              <w:autoSpaceDE w:val="0"/>
              <w:autoSpaceDN w:val="0"/>
              <w:adjustRightInd w:val="0"/>
              <w:spacing w:before="60" w:after="60"/>
              <w:rPr>
                <w:color w:val="000000"/>
                <w:sz w:val="20"/>
                <w:szCs w:val="22"/>
                <w:lang w:val="fr-FR"/>
              </w:rPr>
            </w:pPr>
          </w:p>
        </w:tc>
      </w:tr>
      <w:tr w:rsidR="00000000">
        <w:tblPrEx>
          <w:tblCellMar>
            <w:top w:w="0" w:type="dxa"/>
            <w:bottom w:w="0" w:type="dxa"/>
          </w:tblCellMar>
        </w:tblPrEx>
        <w:trPr>
          <w:jc w:val="center"/>
        </w:trPr>
        <w:tc>
          <w:tcPr>
            <w:tcW w:w="1607"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2 </w:t>
            </w:r>
          </w:p>
        </w:tc>
        <w:tc>
          <w:tcPr>
            <w:tcW w:w="1604" w:type="dxa"/>
          </w:tcPr>
          <w:p w:rsidR="00000000" w:rsidRDefault="00000000">
            <w:pPr>
              <w:autoSpaceDE w:val="0"/>
              <w:autoSpaceDN w:val="0"/>
              <w:adjustRightInd w:val="0"/>
              <w:spacing w:before="60" w:after="60"/>
              <w:ind w:right="198"/>
              <w:jc w:val="right"/>
              <w:rPr>
                <w:color w:val="000000"/>
                <w:sz w:val="20"/>
                <w:szCs w:val="22"/>
                <w:lang w:val="fr-FR"/>
              </w:rPr>
            </w:pPr>
            <w:r>
              <w:rPr>
                <w:color w:val="000000"/>
                <w:sz w:val="20"/>
                <w:szCs w:val="22"/>
                <w:lang w:val="fr-FR"/>
              </w:rPr>
              <w:t xml:space="preserve">54 000 000 </w:t>
            </w:r>
          </w:p>
        </w:tc>
        <w:tc>
          <w:tcPr>
            <w:tcW w:w="1638" w:type="dxa"/>
          </w:tcPr>
          <w:p w:rsidR="00000000" w:rsidRDefault="00000000">
            <w:pPr>
              <w:autoSpaceDE w:val="0"/>
              <w:autoSpaceDN w:val="0"/>
              <w:adjustRightInd w:val="0"/>
              <w:spacing w:before="60" w:after="60"/>
              <w:ind w:right="198"/>
              <w:jc w:val="right"/>
              <w:rPr>
                <w:color w:val="000000"/>
                <w:sz w:val="20"/>
                <w:szCs w:val="22"/>
                <w:lang w:val="fr-FR"/>
              </w:rPr>
            </w:pPr>
            <w:r>
              <w:rPr>
                <w:color w:val="000000"/>
                <w:sz w:val="20"/>
                <w:szCs w:val="22"/>
                <w:lang w:val="fr-FR"/>
              </w:rPr>
              <w:t xml:space="preserve">5 400 000 </w:t>
            </w:r>
          </w:p>
        </w:tc>
        <w:tc>
          <w:tcPr>
            <w:tcW w:w="2329" w:type="dxa"/>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50 % prix du logement  </w:t>
            </w:r>
          </w:p>
        </w:tc>
        <w:tc>
          <w:tcPr>
            <w:tcW w:w="1268" w:type="dxa"/>
          </w:tcPr>
          <w:p w:rsidR="00000000" w:rsidRDefault="00000000">
            <w:pPr>
              <w:autoSpaceDE w:val="0"/>
              <w:autoSpaceDN w:val="0"/>
              <w:adjustRightInd w:val="0"/>
              <w:spacing w:before="60" w:after="60"/>
              <w:rPr>
                <w:color w:val="000000"/>
                <w:sz w:val="20"/>
                <w:szCs w:val="22"/>
                <w:lang w:val="fr-FR"/>
              </w:rPr>
            </w:pPr>
          </w:p>
        </w:tc>
      </w:tr>
      <w:tr w:rsidR="00000000">
        <w:tblPrEx>
          <w:tblCellMar>
            <w:top w:w="0" w:type="dxa"/>
            <w:bottom w:w="0" w:type="dxa"/>
          </w:tblCellMar>
        </w:tblPrEx>
        <w:trPr>
          <w:jc w:val="center"/>
        </w:trPr>
        <w:tc>
          <w:tcPr>
            <w:tcW w:w="1607"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3 </w:t>
            </w:r>
          </w:p>
        </w:tc>
        <w:tc>
          <w:tcPr>
            <w:tcW w:w="1604" w:type="dxa"/>
          </w:tcPr>
          <w:p w:rsidR="00000000" w:rsidRDefault="00000000">
            <w:pPr>
              <w:autoSpaceDE w:val="0"/>
              <w:autoSpaceDN w:val="0"/>
              <w:adjustRightInd w:val="0"/>
              <w:spacing w:before="60" w:after="60"/>
              <w:ind w:right="198"/>
              <w:jc w:val="right"/>
              <w:rPr>
                <w:color w:val="000000"/>
                <w:sz w:val="20"/>
                <w:szCs w:val="22"/>
                <w:lang w:val="fr-FR"/>
              </w:rPr>
            </w:pPr>
            <w:r>
              <w:rPr>
                <w:color w:val="000000"/>
                <w:sz w:val="20"/>
                <w:szCs w:val="22"/>
                <w:lang w:val="fr-FR"/>
              </w:rPr>
              <w:t xml:space="preserve">66 000 000 </w:t>
            </w:r>
          </w:p>
        </w:tc>
        <w:tc>
          <w:tcPr>
            <w:tcW w:w="1638" w:type="dxa"/>
          </w:tcPr>
          <w:p w:rsidR="00000000" w:rsidRDefault="00000000">
            <w:pPr>
              <w:autoSpaceDE w:val="0"/>
              <w:autoSpaceDN w:val="0"/>
              <w:adjustRightInd w:val="0"/>
              <w:spacing w:before="60" w:after="60"/>
              <w:ind w:right="198"/>
              <w:jc w:val="right"/>
              <w:rPr>
                <w:color w:val="000000"/>
                <w:sz w:val="20"/>
                <w:szCs w:val="22"/>
                <w:lang w:val="fr-FR"/>
              </w:rPr>
            </w:pPr>
            <w:r>
              <w:rPr>
                <w:color w:val="000000"/>
                <w:sz w:val="20"/>
                <w:szCs w:val="22"/>
                <w:lang w:val="fr-FR"/>
              </w:rPr>
              <w:t xml:space="preserve">6 600 000 </w:t>
            </w:r>
          </w:p>
        </w:tc>
        <w:tc>
          <w:tcPr>
            <w:tcW w:w="2329" w:type="dxa"/>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40 % prix du logement  </w:t>
            </w:r>
          </w:p>
        </w:tc>
        <w:tc>
          <w:tcPr>
            <w:tcW w:w="1268" w:type="dxa"/>
          </w:tcPr>
          <w:p w:rsidR="00000000" w:rsidRDefault="00000000">
            <w:pPr>
              <w:autoSpaceDE w:val="0"/>
              <w:autoSpaceDN w:val="0"/>
              <w:adjustRightInd w:val="0"/>
              <w:spacing w:before="60" w:after="60"/>
              <w:rPr>
                <w:color w:val="000000"/>
                <w:sz w:val="20"/>
                <w:szCs w:val="22"/>
                <w:lang w:val="fr-FR"/>
              </w:rPr>
            </w:pPr>
          </w:p>
        </w:tc>
      </w:tr>
      <w:tr w:rsidR="00000000">
        <w:tblPrEx>
          <w:tblCellMar>
            <w:top w:w="0" w:type="dxa"/>
            <w:bottom w:w="0" w:type="dxa"/>
          </w:tblCellMar>
        </w:tblPrEx>
        <w:trPr>
          <w:jc w:val="center"/>
        </w:trPr>
        <w:tc>
          <w:tcPr>
            <w:tcW w:w="1607"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4 </w:t>
            </w:r>
          </w:p>
        </w:tc>
        <w:tc>
          <w:tcPr>
            <w:tcW w:w="1604" w:type="dxa"/>
          </w:tcPr>
          <w:p w:rsidR="00000000" w:rsidRDefault="00000000">
            <w:pPr>
              <w:autoSpaceDE w:val="0"/>
              <w:autoSpaceDN w:val="0"/>
              <w:adjustRightInd w:val="0"/>
              <w:spacing w:before="60" w:after="60"/>
              <w:ind w:right="198"/>
              <w:jc w:val="right"/>
              <w:rPr>
                <w:color w:val="000000"/>
                <w:sz w:val="20"/>
                <w:szCs w:val="22"/>
                <w:lang w:val="fr-FR"/>
              </w:rPr>
            </w:pPr>
            <w:r>
              <w:rPr>
                <w:color w:val="000000"/>
                <w:sz w:val="20"/>
                <w:szCs w:val="22"/>
                <w:lang w:val="fr-FR"/>
              </w:rPr>
              <w:t xml:space="preserve">78 000 000 </w:t>
            </w:r>
          </w:p>
        </w:tc>
        <w:tc>
          <w:tcPr>
            <w:tcW w:w="1638" w:type="dxa"/>
          </w:tcPr>
          <w:p w:rsidR="00000000" w:rsidRDefault="00000000">
            <w:pPr>
              <w:autoSpaceDE w:val="0"/>
              <w:autoSpaceDN w:val="0"/>
              <w:adjustRightInd w:val="0"/>
              <w:spacing w:before="60" w:after="60"/>
              <w:ind w:right="198"/>
              <w:jc w:val="right"/>
              <w:rPr>
                <w:color w:val="000000"/>
                <w:sz w:val="20"/>
                <w:szCs w:val="22"/>
                <w:lang w:val="fr-FR"/>
              </w:rPr>
            </w:pPr>
            <w:r>
              <w:rPr>
                <w:color w:val="000000"/>
                <w:sz w:val="20"/>
                <w:szCs w:val="22"/>
                <w:lang w:val="fr-FR"/>
              </w:rPr>
              <w:t xml:space="preserve">11 700 000 </w:t>
            </w:r>
          </w:p>
        </w:tc>
        <w:tc>
          <w:tcPr>
            <w:tcW w:w="2329" w:type="dxa"/>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30 % prix du logement  </w:t>
            </w:r>
          </w:p>
        </w:tc>
        <w:tc>
          <w:tcPr>
            <w:tcW w:w="1268" w:type="dxa"/>
          </w:tcPr>
          <w:p w:rsidR="00000000" w:rsidRDefault="00000000">
            <w:pPr>
              <w:autoSpaceDE w:val="0"/>
              <w:autoSpaceDN w:val="0"/>
              <w:adjustRightInd w:val="0"/>
              <w:spacing w:before="60" w:after="60"/>
              <w:rPr>
                <w:color w:val="000000"/>
                <w:sz w:val="20"/>
                <w:szCs w:val="22"/>
                <w:lang w:val="fr-FR"/>
              </w:rPr>
            </w:pPr>
          </w:p>
        </w:tc>
      </w:tr>
      <w:tr w:rsidR="00000000">
        <w:tblPrEx>
          <w:tblCellMar>
            <w:top w:w="0" w:type="dxa"/>
            <w:bottom w:w="0" w:type="dxa"/>
          </w:tblCellMar>
        </w:tblPrEx>
        <w:trPr>
          <w:jc w:val="center"/>
        </w:trPr>
        <w:tc>
          <w:tcPr>
            <w:tcW w:w="1607"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5 </w:t>
            </w:r>
          </w:p>
        </w:tc>
        <w:tc>
          <w:tcPr>
            <w:tcW w:w="1604" w:type="dxa"/>
          </w:tcPr>
          <w:p w:rsidR="00000000" w:rsidRDefault="00000000">
            <w:pPr>
              <w:autoSpaceDE w:val="0"/>
              <w:autoSpaceDN w:val="0"/>
              <w:adjustRightInd w:val="0"/>
              <w:spacing w:before="60" w:after="60"/>
              <w:ind w:right="198"/>
              <w:jc w:val="right"/>
              <w:rPr>
                <w:color w:val="000000"/>
                <w:sz w:val="20"/>
                <w:szCs w:val="22"/>
                <w:lang w:val="fr-FR"/>
              </w:rPr>
            </w:pPr>
            <w:r>
              <w:rPr>
                <w:color w:val="000000"/>
                <w:sz w:val="20"/>
                <w:szCs w:val="22"/>
                <w:lang w:val="fr-FR"/>
              </w:rPr>
              <w:t xml:space="preserve">90 000 000 </w:t>
            </w:r>
          </w:p>
        </w:tc>
        <w:tc>
          <w:tcPr>
            <w:tcW w:w="1638" w:type="dxa"/>
          </w:tcPr>
          <w:p w:rsidR="00000000" w:rsidRDefault="00000000">
            <w:pPr>
              <w:autoSpaceDE w:val="0"/>
              <w:autoSpaceDN w:val="0"/>
              <w:adjustRightInd w:val="0"/>
              <w:spacing w:before="60" w:after="60"/>
              <w:ind w:right="198"/>
              <w:jc w:val="right"/>
              <w:rPr>
                <w:color w:val="000000"/>
                <w:sz w:val="20"/>
                <w:szCs w:val="22"/>
                <w:lang w:val="fr-FR"/>
              </w:rPr>
            </w:pPr>
            <w:r>
              <w:rPr>
                <w:color w:val="000000"/>
                <w:sz w:val="20"/>
                <w:szCs w:val="22"/>
                <w:lang w:val="fr-FR"/>
              </w:rPr>
              <w:t xml:space="preserve">13 500 000 </w:t>
            </w:r>
          </w:p>
        </w:tc>
        <w:tc>
          <w:tcPr>
            <w:tcW w:w="2329" w:type="dxa"/>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20 % prix du logement  </w:t>
            </w:r>
          </w:p>
        </w:tc>
        <w:tc>
          <w:tcPr>
            <w:tcW w:w="1268" w:type="dxa"/>
          </w:tcPr>
          <w:p w:rsidR="00000000" w:rsidRDefault="00000000">
            <w:pPr>
              <w:autoSpaceDE w:val="0"/>
              <w:autoSpaceDN w:val="0"/>
              <w:adjustRightInd w:val="0"/>
              <w:spacing w:before="60" w:after="60"/>
              <w:rPr>
                <w:color w:val="000000"/>
                <w:sz w:val="20"/>
                <w:szCs w:val="22"/>
                <w:lang w:val="fr-FR"/>
              </w:rPr>
            </w:pPr>
          </w:p>
        </w:tc>
      </w:tr>
      <w:tr w:rsidR="00000000">
        <w:tblPrEx>
          <w:tblCellMar>
            <w:top w:w="0" w:type="dxa"/>
            <w:bottom w:w="0" w:type="dxa"/>
          </w:tblCellMar>
        </w:tblPrEx>
        <w:trPr>
          <w:jc w:val="center"/>
        </w:trPr>
        <w:tc>
          <w:tcPr>
            <w:tcW w:w="1607"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6 </w:t>
            </w:r>
          </w:p>
        </w:tc>
        <w:tc>
          <w:tcPr>
            <w:tcW w:w="1604" w:type="dxa"/>
          </w:tcPr>
          <w:p w:rsidR="00000000" w:rsidRDefault="00000000">
            <w:pPr>
              <w:autoSpaceDE w:val="0"/>
              <w:autoSpaceDN w:val="0"/>
              <w:adjustRightInd w:val="0"/>
              <w:spacing w:before="60" w:after="60"/>
              <w:ind w:right="198"/>
              <w:jc w:val="right"/>
              <w:rPr>
                <w:color w:val="000000"/>
                <w:sz w:val="20"/>
                <w:szCs w:val="22"/>
                <w:lang w:val="fr-FR"/>
              </w:rPr>
            </w:pPr>
            <w:r>
              <w:rPr>
                <w:color w:val="000000"/>
                <w:sz w:val="20"/>
                <w:szCs w:val="22"/>
                <w:lang w:val="fr-FR"/>
              </w:rPr>
              <w:t xml:space="preserve">102 000 000 </w:t>
            </w:r>
          </w:p>
        </w:tc>
        <w:tc>
          <w:tcPr>
            <w:tcW w:w="1638" w:type="dxa"/>
          </w:tcPr>
          <w:p w:rsidR="00000000" w:rsidRDefault="00000000">
            <w:pPr>
              <w:autoSpaceDE w:val="0"/>
              <w:autoSpaceDN w:val="0"/>
              <w:adjustRightInd w:val="0"/>
              <w:spacing w:before="60" w:after="60"/>
              <w:ind w:right="198"/>
              <w:jc w:val="right"/>
              <w:rPr>
                <w:color w:val="000000"/>
                <w:sz w:val="20"/>
                <w:szCs w:val="22"/>
                <w:lang w:val="fr-FR"/>
              </w:rPr>
            </w:pPr>
            <w:r>
              <w:rPr>
                <w:color w:val="000000"/>
                <w:sz w:val="20"/>
                <w:szCs w:val="22"/>
                <w:lang w:val="fr-FR"/>
              </w:rPr>
              <w:t xml:space="preserve">15 300 000 </w:t>
            </w:r>
          </w:p>
        </w:tc>
        <w:tc>
          <w:tcPr>
            <w:tcW w:w="2329" w:type="dxa"/>
          </w:tcPr>
          <w:p w:rsidR="00000000" w:rsidRDefault="00000000">
            <w:pPr>
              <w:autoSpaceDE w:val="0"/>
              <w:autoSpaceDN w:val="0"/>
              <w:adjustRightInd w:val="0"/>
              <w:spacing w:before="60" w:after="60"/>
              <w:ind w:left="57"/>
              <w:rPr>
                <w:color w:val="000000"/>
                <w:sz w:val="20"/>
                <w:szCs w:val="22"/>
                <w:lang w:val="fr-FR"/>
              </w:rPr>
            </w:pPr>
            <w:r>
              <w:rPr>
                <w:color w:val="000000"/>
                <w:sz w:val="20"/>
                <w:szCs w:val="22"/>
                <w:lang w:val="fr-FR"/>
              </w:rPr>
              <w:t xml:space="preserve">10 % prix du logement  </w:t>
            </w:r>
          </w:p>
        </w:tc>
        <w:tc>
          <w:tcPr>
            <w:tcW w:w="1268" w:type="dxa"/>
          </w:tcPr>
          <w:p w:rsidR="00000000" w:rsidRDefault="00000000">
            <w:pPr>
              <w:autoSpaceDE w:val="0"/>
              <w:autoSpaceDN w:val="0"/>
              <w:adjustRightInd w:val="0"/>
              <w:spacing w:before="60" w:after="60"/>
              <w:rPr>
                <w:color w:val="000000"/>
                <w:sz w:val="20"/>
                <w:szCs w:val="22"/>
                <w:lang w:val="fr-FR"/>
              </w:rPr>
            </w:pPr>
          </w:p>
        </w:tc>
      </w:tr>
    </w:tbl>
    <w:p w:rsidR="00000000" w:rsidRDefault="00000000">
      <w:pPr>
        <w:autoSpaceDE w:val="0"/>
        <w:autoSpaceDN w:val="0"/>
        <w:adjustRightInd w:val="0"/>
        <w:spacing w:before="80" w:after="20"/>
        <w:ind w:left="567" w:firstLine="335"/>
        <w:rPr>
          <w:color w:val="000000"/>
          <w:sz w:val="20"/>
          <w:szCs w:val="22"/>
          <w:lang w:val="fr-FR"/>
        </w:rPr>
      </w:pPr>
      <w:r>
        <w:rPr>
          <w:i/>
          <w:iCs/>
          <w:color w:val="000000"/>
          <w:sz w:val="20"/>
          <w:szCs w:val="22"/>
          <w:lang w:val="fr-FR"/>
        </w:rPr>
        <w:t>Note :</w:t>
      </w:r>
      <w:r>
        <w:rPr>
          <w:color w:val="000000"/>
          <w:sz w:val="20"/>
          <w:szCs w:val="22"/>
          <w:lang w:val="fr-FR"/>
        </w:rPr>
        <w:t xml:space="preserve"> Valeurs réajustables périodiquement.  </w:t>
      </w:r>
    </w:p>
    <w:p w:rsidR="00000000" w:rsidRDefault="00000000">
      <w:pPr>
        <w:autoSpaceDE w:val="0"/>
        <w:autoSpaceDN w:val="0"/>
        <w:adjustRightInd w:val="0"/>
        <w:spacing w:after="360"/>
        <w:ind w:left="567" w:firstLine="335"/>
        <w:rPr>
          <w:color w:val="000000"/>
          <w:sz w:val="20"/>
          <w:szCs w:val="22"/>
          <w:lang w:val="fr-FR"/>
        </w:rPr>
      </w:pPr>
      <w:r>
        <w:rPr>
          <w:b/>
          <w:bCs/>
          <w:color w:val="000000"/>
          <w:szCs w:val="22"/>
          <w:vertAlign w:val="superscript"/>
          <w:lang w:val="fr-FR"/>
        </w:rPr>
        <w:t>*</w:t>
      </w:r>
      <w:r>
        <w:rPr>
          <w:color w:val="000000"/>
          <w:sz w:val="20"/>
          <w:szCs w:val="22"/>
          <w:lang w:val="fr-FR"/>
        </w:rPr>
        <w:t xml:space="preserve"> Le crédit sert à compléter le prix du logement.  </w:t>
      </w:r>
    </w:p>
    <w:p w:rsidR="00000000" w:rsidRDefault="00000000">
      <w:pPr>
        <w:spacing w:after="240"/>
        <w:rPr>
          <w:iCs/>
          <w:color w:val="000000"/>
          <w:lang w:val="fr-FR"/>
        </w:rPr>
      </w:pPr>
      <w:r>
        <w:rPr>
          <w:iCs/>
          <w:color w:val="000000"/>
          <w:lang w:val="fr-FR"/>
        </w:rPr>
        <w:t>371.</w:t>
      </w:r>
      <w:r>
        <w:rPr>
          <w:iCs/>
          <w:color w:val="000000"/>
          <w:lang w:val="fr-FR"/>
        </w:rPr>
        <w:tab/>
        <w:t>L'allocation pour amélioration du logement urbain est remise directement à une famille qui souhaite améliorer, achever, agrandir ou remplacer son logement.  Les conditions requises pour en bénéficier sont les suivantes :</w:t>
      </w:r>
    </w:p>
    <w:p w:rsidR="00000000" w:rsidRDefault="00000000">
      <w:pPr>
        <w:numPr>
          <w:ilvl w:val="0"/>
          <w:numId w:val="66"/>
        </w:numPr>
        <w:spacing w:after="240"/>
        <w:rPr>
          <w:iCs/>
          <w:color w:val="000000"/>
          <w:lang w:val="fr-FR"/>
        </w:rPr>
      </w:pPr>
      <w:r>
        <w:rPr>
          <w:iCs/>
          <w:color w:val="000000"/>
          <w:lang w:val="fr-FR"/>
        </w:rPr>
        <w:t>Être citoyen équatorien et majeur;</w:t>
      </w:r>
    </w:p>
    <w:p w:rsidR="00000000" w:rsidRDefault="00000000">
      <w:pPr>
        <w:numPr>
          <w:ilvl w:val="0"/>
          <w:numId w:val="66"/>
        </w:numPr>
        <w:spacing w:after="240"/>
        <w:rPr>
          <w:iCs/>
          <w:color w:val="000000"/>
          <w:lang w:val="fr-FR"/>
        </w:rPr>
      </w:pPr>
      <w:r>
        <w:rPr>
          <w:iCs/>
          <w:color w:val="000000"/>
          <w:lang w:val="fr-FR"/>
        </w:rPr>
        <w:t>Être propriétaire du bâtiment à améliorer;</w:t>
      </w:r>
    </w:p>
    <w:p w:rsidR="00000000" w:rsidRDefault="00000000">
      <w:pPr>
        <w:numPr>
          <w:ilvl w:val="0"/>
          <w:numId w:val="66"/>
        </w:numPr>
        <w:spacing w:after="240"/>
        <w:rPr>
          <w:iCs/>
          <w:color w:val="000000"/>
          <w:lang w:val="fr-FR"/>
        </w:rPr>
      </w:pPr>
      <w:r>
        <w:rPr>
          <w:iCs/>
          <w:color w:val="000000"/>
          <w:lang w:val="fr-FR"/>
        </w:rPr>
        <w:t>Les revenus familiaux mensuels ne doivent pas être supérieurs à 3,3 millions de sucres;</w:t>
      </w:r>
    </w:p>
    <w:p w:rsidR="00000000" w:rsidRDefault="00000000">
      <w:pPr>
        <w:numPr>
          <w:ilvl w:val="0"/>
          <w:numId w:val="66"/>
        </w:numPr>
        <w:spacing w:after="240"/>
        <w:rPr>
          <w:iCs/>
          <w:color w:val="000000"/>
          <w:lang w:val="fr-FR"/>
        </w:rPr>
      </w:pPr>
      <w:r>
        <w:rPr>
          <w:iCs/>
          <w:color w:val="000000"/>
          <w:lang w:val="fr-FR"/>
        </w:rPr>
        <w:t>L'habitation doit être située dans les limites de la zone urbaine;</w:t>
      </w:r>
    </w:p>
    <w:p w:rsidR="00000000" w:rsidRDefault="00000000">
      <w:pPr>
        <w:numPr>
          <w:ilvl w:val="0"/>
          <w:numId w:val="66"/>
        </w:numPr>
        <w:spacing w:after="240"/>
        <w:rPr>
          <w:iCs/>
          <w:color w:val="000000"/>
          <w:lang w:val="fr-FR"/>
        </w:rPr>
      </w:pPr>
      <w:r>
        <w:rPr>
          <w:iCs/>
          <w:color w:val="000000"/>
          <w:lang w:val="fr-FR"/>
        </w:rPr>
        <w:t>La valeur de l'habitation à améliorer, y compris le terrain, ne doit pas être supérieure à 60 millions de sucres.</w:t>
      </w:r>
    </w:p>
    <w:p w:rsidR="00000000" w:rsidRDefault="00000000">
      <w:pPr>
        <w:spacing w:after="240"/>
        <w:rPr>
          <w:iCs/>
          <w:color w:val="000000"/>
          <w:lang w:val="fr-FR"/>
        </w:rPr>
      </w:pPr>
      <w:r>
        <w:rPr>
          <w:iCs/>
          <w:color w:val="000000"/>
          <w:lang w:val="fr-FR"/>
        </w:rPr>
        <w:t>372.</w:t>
      </w:r>
      <w:r>
        <w:rPr>
          <w:iCs/>
          <w:color w:val="000000"/>
          <w:lang w:val="fr-FR"/>
        </w:rPr>
        <w:tab/>
        <w:t>Le Plan ABC de logement dans le secteur rural et urbain marginal est le suivant :</w:t>
      </w:r>
    </w:p>
    <w:p w:rsidR="00000000" w:rsidRDefault="00000000">
      <w:pPr>
        <w:numPr>
          <w:ilvl w:val="1"/>
          <w:numId w:val="66"/>
        </w:numPr>
        <w:spacing w:after="240"/>
        <w:rPr>
          <w:iCs/>
          <w:color w:val="000000"/>
          <w:lang w:val="fr-FR"/>
        </w:rPr>
      </w:pPr>
      <w:r>
        <w:rPr>
          <w:iCs/>
          <w:color w:val="000000"/>
          <w:lang w:val="fr-FR"/>
        </w:rPr>
        <w:t>A : épargne, autogestion et autoconstruction;</w:t>
      </w:r>
    </w:p>
    <w:p w:rsidR="00000000" w:rsidRDefault="00000000">
      <w:pPr>
        <w:numPr>
          <w:ilvl w:val="1"/>
          <w:numId w:val="66"/>
        </w:numPr>
        <w:spacing w:after="240"/>
        <w:rPr>
          <w:iCs/>
          <w:color w:val="000000"/>
          <w:lang w:val="fr-FR"/>
        </w:rPr>
      </w:pPr>
      <w:r>
        <w:rPr>
          <w:iCs/>
          <w:color w:val="000000"/>
          <w:lang w:val="fr-FR"/>
        </w:rPr>
        <w:t>B : allocation octroyée par le gouvernement pour la construction ou l'amélioration d'une habitation;</w:t>
      </w:r>
    </w:p>
    <w:p w:rsidR="00000000" w:rsidRDefault="00000000">
      <w:pPr>
        <w:numPr>
          <w:ilvl w:val="1"/>
          <w:numId w:val="66"/>
        </w:numPr>
        <w:spacing w:after="240"/>
        <w:rPr>
          <w:iCs/>
          <w:color w:val="000000"/>
          <w:lang w:val="fr-FR"/>
        </w:rPr>
      </w:pPr>
      <w:r>
        <w:rPr>
          <w:iCs/>
          <w:color w:val="000000"/>
          <w:lang w:val="fr-FR"/>
        </w:rPr>
        <w:t>C : contribution de la communauté, ou ONG et administrations locales.</w:t>
      </w:r>
    </w:p>
    <w:p w:rsidR="00000000" w:rsidRDefault="00000000">
      <w:pPr>
        <w:spacing w:after="240"/>
        <w:rPr>
          <w:iCs/>
          <w:color w:val="000000"/>
          <w:lang w:val="fr-FR"/>
        </w:rPr>
      </w:pPr>
      <w:r>
        <w:rPr>
          <w:iCs/>
          <w:color w:val="000000"/>
          <w:lang w:val="fr-FR"/>
        </w:rPr>
        <w:t>373.</w:t>
      </w:r>
      <w:r>
        <w:rPr>
          <w:iCs/>
          <w:color w:val="000000"/>
          <w:lang w:val="fr-FR"/>
        </w:rPr>
        <w:tab/>
        <w:t>Participent à ce plan des familles des secteurs rural et urbain marginaux qui ne possèdent pas de logement, des ONG et des organisations locales qui appuient l'amélioration des habitations de la communauté et les secteurs qui participent à la fabrication d'éléments de construction, comme les microentreprises.</w:t>
      </w:r>
    </w:p>
    <w:p w:rsidR="00000000" w:rsidRDefault="00000000">
      <w:pPr>
        <w:spacing w:after="240"/>
        <w:rPr>
          <w:iCs/>
          <w:color w:val="000000"/>
          <w:lang w:val="fr-FR"/>
        </w:rPr>
      </w:pPr>
      <w:r>
        <w:rPr>
          <w:iCs/>
          <w:color w:val="000000"/>
          <w:lang w:val="fr-FR"/>
        </w:rPr>
        <w:t>374.</w:t>
      </w:r>
      <w:r>
        <w:rPr>
          <w:iCs/>
          <w:color w:val="000000"/>
          <w:lang w:val="fr-FR"/>
        </w:rPr>
        <w:tab/>
        <w:t>Les postulants, avec l'appui technique du MIDUVI, conçoivent leur habitation avec des matériaux locaux et des techniques traditionnelles qui correspondent à leur habitat et à leur culture.  Le MIDUVI verse une allocation pouvant atteindre 5 millions de sucres pour les matériaux, et les bénéficiaires se chargent de la construction de leur maison avec l'assistance technique du MIDUVI.</w:t>
      </w:r>
    </w:p>
    <w:p w:rsidR="00000000" w:rsidRDefault="00000000">
      <w:pPr>
        <w:spacing w:after="480"/>
        <w:rPr>
          <w:iCs/>
          <w:color w:val="000000"/>
          <w:lang w:val="fr-FR"/>
        </w:rPr>
      </w:pPr>
      <w:r>
        <w:rPr>
          <w:iCs/>
          <w:color w:val="000000"/>
          <w:lang w:val="fr-FR"/>
        </w:rPr>
        <w:t>375.</w:t>
      </w:r>
      <w:r>
        <w:rPr>
          <w:iCs/>
          <w:color w:val="000000"/>
          <w:lang w:val="fr-FR"/>
        </w:rPr>
        <w:tab/>
        <w:t>Sous le gouvernement du président Jamil Mahuad, an 2000, 56 1857 projets de logement, y compris la construction d'habitations nouvelles et la modification ou l’amélioration d'habitations existantes, ont été exécutés.</w:t>
      </w:r>
    </w:p>
    <w:p w:rsidR="00000000" w:rsidRDefault="00000000">
      <w:pPr>
        <w:autoSpaceDE w:val="0"/>
        <w:autoSpaceDN w:val="0"/>
        <w:adjustRightInd w:val="0"/>
        <w:spacing w:after="120"/>
        <w:jc w:val="center"/>
        <w:rPr>
          <w:b/>
          <w:bCs/>
          <w:color w:val="000000"/>
          <w:sz w:val="20"/>
          <w:szCs w:val="22"/>
          <w:lang w:val="fr-FR"/>
        </w:rPr>
      </w:pPr>
      <w:r>
        <w:rPr>
          <w:b/>
          <w:bCs/>
          <w:color w:val="000000"/>
          <w:sz w:val="20"/>
          <w:szCs w:val="22"/>
          <w:lang w:val="fr-FR"/>
        </w:rPr>
        <w:t xml:space="preserve">Logement (août 1998-décembre 1999)  </w:t>
      </w:r>
    </w:p>
    <w:tbl>
      <w:tblPr>
        <w:tblW w:w="9299"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975"/>
        <w:gridCol w:w="950"/>
        <w:gridCol w:w="1593"/>
        <w:gridCol w:w="1594"/>
        <w:gridCol w:w="1593"/>
        <w:gridCol w:w="1594"/>
      </w:tblGrid>
      <w:tr w:rsidR="00000000">
        <w:tblPrEx>
          <w:tblCellMar>
            <w:top w:w="0" w:type="dxa"/>
            <w:bottom w:w="0" w:type="dxa"/>
          </w:tblCellMar>
        </w:tblPrEx>
        <w:trPr>
          <w:jc w:val="center"/>
        </w:trPr>
        <w:tc>
          <w:tcPr>
            <w:tcW w:w="1975"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Région</w:t>
            </w:r>
          </w:p>
        </w:tc>
        <w:tc>
          <w:tcPr>
            <w:tcW w:w="95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Secteur rural</w:t>
            </w:r>
          </w:p>
        </w:tc>
        <w:tc>
          <w:tcPr>
            <w:tcW w:w="1593"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Secteur urbain marginal (Nouveaux logements, améliorations)</w:t>
            </w:r>
          </w:p>
        </w:tc>
        <w:tc>
          <w:tcPr>
            <w:tcW w:w="1594"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SIV – Allocations (Nouveau logement - centre historique)</w:t>
            </w:r>
          </w:p>
        </w:tc>
        <w:tc>
          <w:tcPr>
            <w:tcW w:w="1593"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Banque équatorienne du logement</w:t>
            </w:r>
          </w:p>
        </w:tc>
        <w:tc>
          <w:tcPr>
            <w:tcW w:w="1594" w:type="dxa"/>
            <w:tcBorders>
              <w:top w:val="single" w:sz="4" w:space="0" w:color="auto"/>
              <w:bottom w:val="single" w:sz="4" w:space="0" w:color="auto"/>
            </w:tcBorders>
            <w:vAlign w:val="center"/>
          </w:tcPr>
          <w:p w:rsidR="00000000" w:rsidRDefault="00000000">
            <w:pPr>
              <w:autoSpaceDE w:val="0"/>
              <w:autoSpaceDN w:val="0"/>
              <w:adjustRightInd w:val="0"/>
              <w:spacing w:before="60" w:after="60"/>
              <w:ind w:left="110" w:hanging="110"/>
              <w:jc w:val="center"/>
              <w:rPr>
                <w:b/>
                <w:bCs/>
                <w:i/>
                <w:iCs/>
                <w:color w:val="000000"/>
                <w:sz w:val="20"/>
                <w:szCs w:val="22"/>
                <w:lang w:val="fr-FR"/>
              </w:rPr>
            </w:pPr>
            <w:r>
              <w:rPr>
                <w:b/>
                <w:bCs/>
                <w:i/>
                <w:iCs/>
                <w:color w:val="000000"/>
                <w:sz w:val="20"/>
                <w:szCs w:val="22"/>
                <w:lang w:val="fr-FR"/>
              </w:rPr>
              <w:t>Logement total</w:t>
            </w:r>
          </w:p>
        </w:tc>
      </w:tr>
      <w:tr w:rsidR="00000000">
        <w:tblPrEx>
          <w:tblCellMar>
            <w:top w:w="0" w:type="dxa"/>
            <w:bottom w:w="0" w:type="dxa"/>
          </w:tblCellMar>
        </w:tblPrEx>
        <w:trPr>
          <w:jc w:val="center"/>
        </w:trPr>
        <w:tc>
          <w:tcPr>
            <w:tcW w:w="1975" w:type="dxa"/>
            <w:tcBorders>
              <w:top w:val="single" w:sz="4" w:space="0" w:color="auto"/>
            </w:tcBorders>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Région de la Costa </w:t>
            </w:r>
          </w:p>
        </w:tc>
        <w:tc>
          <w:tcPr>
            <w:tcW w:w="950" w:type="dxa"/>
            <w:tcBorders>
              <w:top w:val="single" w:sz="4" w:space="0" w:color="auto"/>
            </w:tcBorders>
          </w:tcPr>
          <w:p w:rsidR="00000000" w:rsidRDefault="00000000">
            <w:pPr>
              <w:autoSpaceDE w:val="0"/>
              <w:autoSpaceDN w:val="0"/>
              <w:adjustRightInd w:val="0"/>
              <w:spacing w:before="60" w:after="60"/>
              <w:ind w:right="113"/>
              <w:jc w:val="right"/>
              <w:rPr>
                <w:color w:val="000000"/>
                <w:sz w:val="20"/>
                <w:szCs w:val="22"/>
                <w:lang w:val="fr-FR"/>
              </w:rPr>
            </w:pPr>
            <w:r>
              <w:rPr>
                <w:color w:val="000000"/>
                <w:sz w:val="20"/>
                <w:szCs w:val="22"/>
                <w:lang w:val="fr-FR"/>
              </w:rPr>
              <w:t>1 670</w:t>
            </w:r>
          </w:p>
        </w:tc>
        <w:tc>
          <w:tcPr>
            <w:tcW w:w="1593" w:type="dxa"/>
            <w:tcBorders>
              <w:top w:val="single" w:sz="4" w:space="0" w:color="auto"/>
            </w:tcBorders>
          </w:tcPr>
          <w:p w:rsidR="00000000" w:rsidRDefault="00000000">
            <w:pPr>
              <w:autoSpaceDE w:val="0"/>
              <w:autoSpaceDN w:val="0"/>
              <w:adjustRightInd w:val="0"/>
              <w:spacing w:before="60" w:after="60"/>
              <w:ind w:right="365"/>
              <w:jc w:val="right"/>
              <w:rPr>
                <w:color w:val="000000"/>
                <w:sz w:val="20"/>
                <w:szCs w:val="22"/>
                <w:lang w:val="fr-FR"/>
              </w:rPr>
            </w:pPr>
            <w:r>
              <w:rPr>
                <w:color w:val="000000"/>
                <w:sz w:val="20"/>
                <w:szCs w:val="22"/>
                <w:lang w:val="fr-FR"/>
              </w:rPr>
              <w:t xml:space="preserve">6 318 </w:t>
            </w:r>
          </w:p>
        </w:tc>
        <w:tc>
          <w:tcPr>
            <w:tcW w:w="1594" w:type="dxa"/>
            <w:tcBorders>
              <w:top w:val="single" w:sz="4" w:space="0" w:color="auto"/>
            </w:tcBorders>
          </w:tcPr>
          <w:p w:rsidR="00000000" w:rsidRDefault="00000000">
            <w:pPr>
              <w:autoSpaceDE w:val="0"/>
              <w:autoSpaceDN w:val="0"/>
              <w:adjustRightInd w:val="0"/>
              <w:spacing w:before="60" w:after="60"/>
              <w:ind w:right="365"/>
              <w:jc w:val="right"/>
              <w:rPr>
                <w:color w:val="000000"/>
                <w:sz w:val="20"/>
                <w:szCs w:val="22"/>
                <w:lang w:val="fr-FR"/>
              </w:rPr>
            </w:pPr>
            <w:r>
              <w:rPr>
                <w:color w:val="000000"/>
                <w:sz w:val="20"/>
                <w:szCs w:val="22"/>
                <w:lang w:val="fr-FR"/>
              </w:rPr>
              <w:t xml:space="preserve">330 </w:t>
            </w:r>
          </w:p>
        </w:tc>
        <w:tc>
          <w:tcPr>
            <w:tcW w:w="1593" w:type="dxa"/>
            <w:tcBorders>
              <w:top w:val="single" w:sz="4" w:space="0" w:color="auto"/>
            </w:tcBorders>
          </w:tcPr>
          <w:p w:rsidR="00000000" w:rsidRDefault="00000000">
            <w:pPr>
              <w:autoSpaceDE w:val="0"/>
              <w:autoSpaceDN w:val="0"/>
              <w:adjustRightInd w:val="0"/>
              <w:spacing w:before="60" w:after="60"/>
              <w:ind w:right="365"/>
              <w:jc w:val="right"/>
              <w:rPr>
                <w:color w:val="000000"/>
                <w:sz w:val="20"/>
                <w:szCs w:val="22"/>
                <w:lang w:val="fr-FR"/>
              </w:rPr>
            </w:pPr>
            <w:r>
              <w:rPr>
                <w:color w:val="000000"/>
                <w:sz w:val="20"/>
                <w:szCs w:val="22"/>
                <w:lang w:val="fr-FR"/>
              </w:rPr>
              <w:t xml:space="preserve">132 </w:t>
            </w:r>
          </w:p>
        </w:tc>
        <w:tc>
          <w:tcPr>
            <w:tcW w:w="1594" w:type="dxa"/>
            <w:tcBorders>
              <w:top w:val="single" w:sz="4" w:space="0" w:color="auto"/>
            </w:tcBorders>
          </w:tcPr>
          <w:p w:rsidR="00000000" w:rsidRDefault="00000000">
            <w:pPr>
              <w:autoSpaceDE w:val="0"/>
              <w:autoSpaceDN w:val="0"/>
              <w:adjustRightInd w:val="0"/>
              <w:spacing w:before="60" w:after="60"/>
              <w:ind w:right="365"/>
              <w:jc w:val="right"/>
              <w:rPr>
                <w:color w:val="000000"/>
                <w:sz w:val="20"/>
                <w:szCs w:val="22"/>
                <w:lang w:val="fr-FR"/>
              </w:rPr>
            </w:pPr>
            <w:r>
              <w:rPr>
                <w:color w:val="000000"/>
                <w:sz w:val="20"/>
                <w:szCs w:val="22"/>
                <w:lang w:val="fr-FR"/>
              </w:rPr>
              <w:t xml:space="preserve">8 450  </w:t>
            </w:r>
          </w:p>
        </w:tc>
      </w:tr>
      <w:tr w:rsidR="00000000">
        <w:tblPrEx>
          <w:tblCellMar>
            <w:top w:w="0" w:type="dxa"/>
            <w:bottom w:w="0" w:type="dxa"/>
          </w:tblCellMar>
        </w:tblPrEx>
        <w:trPr>
          <w:jc w:val="center"/>
        </w:trPr>
        <w:tc>
          <w:tcPr>
            <w:tcW w:w="1975"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Région de l’Oriente </w:t>
            </w:r>
          </w:p>
        </w:tc>
        <w:tc>
          <w:tcPr>
            <w:tcW w:w="950" w:type="dxa"/>
          </w:tcPr>
          <w:p w:rsidR="00000000" w:rsidRDefault="00000000">
            <w:pPr>
              <w:autoSpaceDE w:val="0"/>
              <w:autoSpaceDN w:val="0"/>
              <w:adjustRightInd w:val="0"/>
              <w:spacing w:before="60" w:after="60"/>
              <w:ind w:right="113"/>
              <w:jc w:val="right"/>
              <w:rPr>
                <w:color w:val="000000"/>
                <w:sz w:val="20"/>
                <w:szCs w:val="22"/>
                <w:lang w:val="fr-FR"/>
              </w:rPr>
            </w:pPr>
            <w:r>
              <w:rPr>
                <w:color w:val="000000"/>
                <w:sz w:val="20"/>
                <w:szCs w:val="22"/>
                <w:lang w:val="fr-FR"/>
              </w:rPr>
              <w:t xml:space="preserve">681 </w:t>
            </w:r>
          </w:p>
        </w:tc>
        <w:tc>
          <w:tcPr>
            <w:tcW w:w="1593" w:type="dxa"/>
          </w:tcPr>
          <w:p w:rsidR="00000000" w:rsidRDefault="00000000">
            <w:pPr>
              <w:autoSpaceDE w:val="0"/>
              <w:autoSpaceDN w:val="0"/>
              <w:adjustRightInd w:val="0"/>
              <w:spacing w:before="60" w:after="60"/>
              <w:ind w:right="365"/>
              <w:jc w:val="right"/>
              <w:rPr>
                <w:color w:val="000000"/>
                <w:sz w:val="20"/>
                <w:szCs w:val="22"/>
                <w:lang w:val="fr-FR"/>
              </w:rPr>
            </w:pPr>
            <w:r>
              <w:rPr>
                <w:color w:val="000000"/>
                <w:sz w:val="20"/>
                <w:szCs w:val="22"/>
                <w:lang w:val="fr-FR"/>
              </w:rPr>
              <w:t xml:space="preserve">85 </w:t>
            </w:r>
          </w:p>
        </w:tc>
        <w:tc>
          <w:tcPr>
            <w:tcW w:w="1594" w:type="dxa"/>
          </w:tcPr>
          <w:p w:rsidR="00000000" w:rsidRDefault="00000000">
            <w:pPr>
              <w:autoSpaceDE w:val="0"/>
              <w:autoSpaceDN w:val="0"/>
              <w:adjustRightInd w:val="0"/>
              <w:spacing w:before="60" w:after="60"/>
              <w:ind w:right="365"/>
              <w:jc w:val="right"/>
              <w:rPr>
                <w:color w:val="000000"/>
                <w:sz w:val="20"/>
                <w:szCs w:val="22"/>
                <w:lang w:val="fr-FR"/>
              </w:rPr>
            </w:pPr>
            <w:r>
              <w:rPr>
                <w:color w:val="000000"/>
                <w:sz w:val="20"/>
                <w:szCs w:val="22"/>
                <w:lang w:val="fr-FR"/>
              </w:rPr>
              <w:t xml:space="preserve">8 </w:t>
            </w:r>
          </w:p>
        </w:tc>
        <w:tc>
          <w:tcPr>
            <w:tcW w:w="1593" w:type="dxa"/>
          </w:tcPr>
          <w:p w:rsidR="00000000" w:rsidRDefault="00000000">
            <w:pPr>
              <w:autoSpaceDE w:val="0"/>
              <w:autoSpaceDN w:val="0"/>
              <w:adjustRightInd w:val="0"/>
              <w:spacing w:before="60" w:after="60"/>
              <w:ind w:right="365"/>
              <w:jc w:val="right"/>
              <w:rPr>
                <w:color w:val="000000"/>
                <w:sz w:val="20"/>
                <w:szCs w:val="22"/>
                <w:lang w:val="fr-FR"/>
              </w:rPr>
            </w:pPr>
            <w:r>
              <w:rPr>
                <w:color w:val="000000"/>
                <w:sz w:val="20"/>
                <w:szCs w:val="22"/>
                <w:lang w:val="fr-FR"/>
              </w:rPr>
              <w:t xml:space="preserve">38 </w:t>
            </w:r>
          </w:p>
        </w:tc>
        <w:tc>
          <w:tcPr>
            <w:tcW w:w="1594" w:type="dxa"/>
          </w:tcPr>
          <w:p w:rsidR="00000000" w:rsidRDefault="00000000">
            <w:pPr>
              <w:autoSpaceDE w:val="0"/>
              <w:autoSpaceDN w:val="0"/>
              <w:adjustRightInd w:val="0"/>
              <w:spacing w:before="60" w:after="60"/>
              <w:ind w:right="365"/>
              <w:jc w:val="right"/>
              <w:rPr>
                <w:color w:val="000000"/>
                <w:sz w:val="20"/>
                <w:szCs w:val="22"/>
                <w:lang w:val="fr-FR"/>
              </w:rPr>
            </w:pPr>
            <w:r>
              <w:rPr>
                <w:color w:val="000000"/>
                <w:sz w:val="20"/>
                <w:szCs w:val="22"/>
                <w:lang w:val="fr-FR"/>
              </w:rPr>
              <w:t xml:space="preserve">812  </w:t>
            </w:r>
          </w:p>
        </w:tc>
      </w:tr>
      <w:tr w:rsidR="00000000">
        <w:tblPrEx>
          <w:tblCellMar>
            <w:top w:w="0" w:type="dxa"/>
            <w:bottom w:w="0" w:type="dxa"/>
          </w:tblCellMar>
        </w:tblPrEx>
        <w:trPr>
          <w:jc w:val="center"/>
        </w:trPr>
        <w:tc>
          <w:tcPr>
            <w:tcW w:w="1975"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Région de la Sierra </w:t>
            </w:r>
          </w:p>
        </w:tc>
        <w:tc>
          <w:tcPr>
            <w:tcW w:w="950" w:type="dxa"/>
          </w:tcPr>
          <w:p w:rsidR="00000000" w:rsidRDefault="00000000">
            <w:pPr>
              <w:autoSpaceDE w:val="0"/>
              <w:autoSpaceDN w:val="0"/>
              <w:adjustRightInd w:val="0"/>
              <w:spacing w:before="60" w:after="60"/>
              <w:ind w:right="113"/>
              <w:jc w:val="right"/>
              <w:rPr>
                <w:color w:val="000000"/>
                <w:sz w:val="20"/>
                <w:szCs w:val="22"/>
                <w:lang w:val="fr-FR"/>
              </w:rPr>
            </w:pPr>
            <w:r>
              <w:rPr>
                <w:color w:val="000000"/>
                <w:sz w:val="20"/>
                <w:szCs w:val="22"/>
                <w:lang w:val="fr-FR"/>
              </w:rPr>
              <w:t xml:space="preserve">4 289 </w:t>
            </w:r>
          </w:p>
        </w:tc>
        <w:tc>
          <w:tcPr>
            <w:tcW w:w="1593" w:type="dxa"/>
          </w:tcPr>
          <w:p w:rsidR="00000000" w:rsidRDefault="00000000">
            <w:pPr>
              <w:autoSpaceDE w:val="0"/>
              <w:autoSpaceDN w:val="0"/>
              <w:adjustRightInd w:val="0"/>
              <w:spacing w:before="60" w:after="60"/>
              <w:ind w:right="365"/>
              <w:jc w:val="right"/>
              <w:rPr>
                <w:color w:val="000000"/>
                <w:sz w:val="20"/>
                <w:szCs w:val="22"/>
                <w:lang w:val="fr-FR"/>
              </w:rPr>
            </w:pPr>
            <w:r>
              <w:rPr>
                <w:color w:val="000000"/>
                <w:sz w:val="20"/>
                <w:szCs w:val="22"/>
                <w:lang w:val="fr-FR"/>
              </w:rPr>
              <w:t xml:space="preserve">1 496 </w:t>
            </w:r>
          </w:p>
        </w:tc>
        <w:tc>
          <w:tcPr>
            <w:tcW w:w="1594" w:type="dxa"/>
          </w:tcPr>
          <w:p w:rsidR="00000000" w:rsidRDefault="00000000">
            <w:pPr>
              <w:autoSpaceDE w:val="0"/>
              <w:autoSpaceDN w:val="0"/>
              <w:adjustRightInd w:val="0"/>
              <w:spacing w:before="60" w:after="60"/>
              <w:ind w:right="365"/>
              <w:jc w:val="right"/>
              <w:rPr>
                <w:color w:val="000000"/>
                <w:sz w:val="20"/>
                <w:szCs w:val="22"/>
                <w:lang w:val="fr-FR"/>
              </w:rPr>
            </w:pPr>
            <w:r>
              <w:rPr>
                <w:color w:val="000000"/>
                <w:sz w:val="20"/>
                <w:szCs w:val="22"/>
                <w:lang w:val="fr-FR"/>
              </w:rPr>
              <w:t xml:space="preserve">3 261 </w:t>
            </w:r>
          </w:p>
        </w:tc>
        <w:tc>
          <w:tcPr>
            <w:tcW w:w="1593" w:type="dxa"/>
          </w:tcPr>
          <w:p w:rsidR="00000000" w:rsidRDefault="00000000">
            <w:pPr>
              <w:autoSpaceDE w:val="0"/>
              <w:autoSpaceDN w:val="0"/>
              <w:adjustRightInd w:val="0"/>
              <w:spacing w:before="60" w:after="60"/>
              <w:ind w:right="365"/>
              <w:jc w:val="right"/>
              <w:rPr>
                <w:color w:val="000000"/>
                <w:sz w:val="20"/>
                <w:szCs w:val="22"/>
                <w:lang w:val="fr-FR"/>
              </w:rPr>
            </w:pPr>
            <w:r>
              <w:rPr>
                <w:color w:val="000000"/>
                <w:sz w:val="20"/>
                <w:szCs w:val="22"/>
                <w:lang w:val="fr-FR"/>
              </w:rPr>
              <w:t xml:space="preserve">862 </w:t>
            </w:r>
          </w:p>
        </w:tc>
        <w:tc>
          <w:tcPr>
            <w:tcW w:w="1594" w:type="dxa"/>
          </w:tcPr>
          <w:p w:rsidR="00000000" w:rsidRDefault="00000000">
            <w:pPr>
              <w:autoSpaceDE w:val="0"/>
              <w:autoSpaceDN w:val="0"/>
              <w:adjustRightInd w:val="0"/>
              <w:spacing w:before="60" w:after="60"/>
              <w:ind w:right="365"/>
              <w:jc w:val="right"/>
              <w:rPr>
                <w:color w:val="000000"/>
                <w:sz w:val="20"/>
                <w:szCs w:val="22"/>
                <w:lang w:val="fr-FR"/>
              </w:rPr>
            </w:pPr>
            <w:r>
              <w:rPr>
                <w:color w:val="000000"/>
                <w:sz w:val="20"/>
                <w:szCs w:val="22"/>
                <w:lang w:val="fr-FR"/>
              </w:rPr>
              <w:t xml:space="preserve">9 908  </w:t>
            </w:r>
          </w:p>
        </w:tc>
      </w:tr>
      <w:tr w:rsidR="00000000">
        <w:tblPrEx>
          <w:tblCellMar>
            <w:top w:w="0" w:type="dxa"/>
            <w:bottom w:w="0" w:type="dxa"/>
          </w:tblCellMar>
        </w:tblPrEx>
        <w:trPr>
          <w:jc w:val="center"/>
        </w:trPr>
        <w:tc>
          <w:tcPr>
            <w:tcW w:w="1975"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  Total national </w:t>
            </w:r>
          </w:p>
        </w:tc>
        <w:tc>
          <w:tcPr>
            <w:tcW w:w="950" w:type="dxa"/>
          </w:tcPr>
          <w:p w:rsidR="00000000" w:rsidRDefault="00000000">
            <w:pPr>
              <w:autoSpaceDE w:val="0"/>
              <w:autoSpaceDN w:val="0"/>
              <w:adjustRightInd w:val="0"/>
              <w:spacing w:before="60" w:after="60"/>
              <w:ind w:right="113"/>
              <w:jc w:val="right"/>
              <w:rPr>
                <w:color w:val="000000"/>
                <w:sz w:val="20"/>
                <w:szCs w:val="22"/>
                <w:lang w:val="fr-FR"/>
              </w:rPr>
            </w:pPr>
            <w:r>
              <w:rPr>
                <w:color w:val="000000"/>
                <w:sz w:val="20"/>
                <w:szCs w:val="22"/>
                <w:lang w:val="fr-FR"/>
              </w:rPr>
              <w:t xml:space="preserve">6 640 </w:t>
            </w:r>
          </w:p>
        </w:tc>
        <w:tc>
          <w:tcPr>
            <w:tcW w:w="1593" w:type="dxa"/>
          </w:tcPr>
          <w:p w:rsidR="00000000" w:rsidRDefault="00000000">
            <w:pPr>
              <w:autoSpaceDE w:val="0"/>
              <w:autoSpaceDN w:val="0"/>
              <w:adjustRightInd w:val="0"/>
              <w:spacing w:before="60" w:after="60"/>
              <w:ind w:right="365"/>
              <w:jc w:val="right"/>
              <w:rPr>
                <w:color w:val="000000"/>
                <w:sz w:val="20"/>
                <w:szCs w:val="22"/>
                <w:lang w:val="fr-FR"/>
              </w:rPr>
            </w:pPr>
            <w:r>
              <w:rPr>
                <w:color w:val="000000"/>
                <w:sz w:val="20"/>
                <w:szCs w:val="22"/>
                <w:lang w:val="fr-FR"/>
              </w:rPr>
              <w:t xml:space="preserve">7 899 </w:t>
            </w:r>
          </w:p>
        </w:tc>
        <w:tc>
          <w:tcPr>
            <w:tcW w:w="1594" w:type="dxa"/>
          </w:tcPr>
          <w:p w:rsidR="00000000" w:rsidRDefault="00000000">
            <w:pPr>
              <w:autoSpaceDE w:val="0"/>
              <w:autoSpaceDN w:val="0"/>
              <w:adjustRightInd w:val="0"/>
              <w:spacing w:before="60" w:after="60"/>
              <w:ind w:right="365"/>
              <w:jc w:val="right"/>
              <w:rPr>
                <w:color w:val="000000"/>
                <w:sz w:val="20"/>
                <w:szCs w:val="22"/>
                <w:lang w:val="fr-FR"/>
              </w:rPr>
            </w:pPr>
            <w:r>
              <w:rPr>
                <w:color w:val="000000"/>
                <w:sz w:val="20"/>
                <w:szCs w:val="22"/>
                <w:lang w:val="fr-FR"/>
              </w:rPr>
              <w:t xml:space="preserve">3 599 </w:t>
            </w:r>
          </w:p>
        </w:tc>
        <w:tc>
          <w:tcPr>
            <w:tcW w:w="1593" w:type="dxa"/>
          </w:tcPr>
          <w:p w:rsidR="00000000" w:rsidRDefault="00000000">
            <w:pPr>
              <w:autoSpaceDE w:val="0"/>
              <w:autoSpaceDN w:val="0"/>
              <w:adjustRightInd w:val="0"/>
              <w:spacing w:before="60" w:after="60"/>
              <w:ind w:right="365"/>
              <w:jc w:val="right"/>
              <w:rPr>
                <w:color w:val="000000"/>
                <w:sz w:val="20"/>
                <w:szCs w:val="22"/>
                <w:lang w:val="fr-FR"/>
              </w:rPr>
            </w:pPr>
            <w:r>
              <w:rPr>
                <w:color w:val="000000"/>
                <w:sz w:val="20"/>
                <w:szCs w:val="22"/>
                <w:lang w:val="fr-FR"/>
              </w:rPr>
              <w:t xml:space="preserve">1 032 </w:t>
            </w:r>
          </w:p>
        </w:tc>
        <w:tc>
          <w:tcPr>
            <w:tcW w:w="1594" w:type="dxa"/>
          </w:tcPr>
          <w:p w:rsidR="00000000" w:rsidRDefault="00000000">
            <w:pPr>
              <w:autoSpaceDE w:val="0"/>
              <w:autoSpaceDN w:val="0"/>
              <w:adjustRightInd w:val="0"/>
              <w:spacing w:before="60" w:after="60"/>
              <w:ind w:right="365"/>
              <w:jc w:val="right"/>
              <w:rPr>
                <w:color w:val="000000"/>
                <w:sz w:val="20"/>
                <w:szCs w:val="22"/>
                <w:lang w:val="fr-FR"/>
              </w:rPr>
            </w:pPr>
            <w:r>
              <w:rPr>
                <w:color w:val="000000"/>
                <w:sz w:val="20"/>
                <w:szCs w:val="22"/>
                <w:lang w:val="fr-FR"/>
              </w:rPr>
              <w:t xml:space="preserve">19 170  </w:t>
            </w:r>
          </w:p>
        </w:tc>
      </w:tr>
    </w:tbl>
    <w:p w:rsidR="00000000" w:rsidRDefault="00000000">
      <w:pPr>
        <w:autoSpaceDE w:val="0"/>
        <w:autoSpaceDN w:val="0"/>
        <w:adjustRightInd w:val="0"/>
        <w:spacing w:after="240"/>
        <w:rPr>
          <w:b/>
          <w:bCs/>
          <w:color w:val="000000"/>
          <w:sz w:val="20"/>
          <w:szCs w:val="22"/>
          <w:lang w:val="fr-FR"/>
        </w:rPr>
      </w:pPr>
    </w:p>
    <w:p w:rsidR="00000000" w:rsidRDefault="00000000">
      <w:pPr>
        <w:autoSpaceDE w:val="0"/>
        <w:autoSpaceDN w:val="0"/>
        <w:adjustRightInd w:val="0"/>
        <w:spacing w:before="60" w:after="60"/>
        <w:jc w:val="center"/>
        <w:rPr>
          <w:color w:val="000000"/>
          <w:sz w:val="20"/>
          <w:szCs w:val="22"/>
          <w:lang w:val="fr-FR"/>
        </w:rPr>
      </w:pPr>
      <w:r>
        <w:rPr>
          <w:b/>
          <w:bCs/>
          <w:color w:val="000000"/>
          <w:sz w:val="20"/>
          <w:szCs w:val="22"/>
          <w:lang w:val="fr-FR"/>
        </w:rPr>
        <w:br w:type="page"/>
        <w:t>Logement (janvier 1999-décembre 1999)</w:t>
      </w:r>
    </w:p>
    <w:tbl>
      <w:tblPr>
        <w:tblW w:w="9299"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283"/>
        <w:gridCol w:w="1435"/>
        <w:gridCol w:w="1719"/>
        <w:gridCol w:w="1263"/>
        <w:gridCol w:w="1149"/>
        <w:gridCol w:w="1450"/>
      </w:tblGrid>
      <w:tr w:rsidR="00000000">
        <w:tblPrEx>
          <w:tblCellMar>
            <w:top w:w="0" w:type="dxa"/>
            <w:bottom w:w="0" w:type="dxa"/>
          </w:tblCellMar>
        </w:tblPrEx>
        <w:trPr>
          <w:jc w:val="center"/>
        </w:trPr>
        <w:tc>
          <w:tcPr>
            <w:tcW w:w="2283"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Région</w:t>
            </w:r>
          </w:p>
        </w:tc>
        <w:tc>
          <w:tcPr>
            <w:tcW w:w="1435"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Secteur rural* (Nouveau logement et amélioration)</w:t>
            </w:r>
          </w:p>
        </w:tc>
        <w:tc>
          <w:tcPr>
            <w:tcW w:w="1719"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Secteur urbain marginal* (Nouveaux logements, améliorations)</w:t>
            </w:r>
          </w:p>
        </w:tc>
        <w:tc>
          <w:tcPr>
            <w:tcW w:w="1263"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Secteur urbain - SIV</w:t>
            </w:r>
          </w:p>
        </w:tc>
        <w:tc>
          <w:tcPr>
            <w:tcW w:w="1149"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Banque équatorienne du logement</w:t>
            </w:r>
          </w:p>
        </w:tc>
        <w:tc>
          <w:tcPr>
            <w:tcW w:w="145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Logement total</w:t>
            </w:r>
          </w:p>
        </w:tc>
      </w:tr>
      <w:tr w:rsidR="00000000">
        <w:tblPrEx>
          <w:tblCellMar>
            <w:top w:w="0" w:type="dxa"/>
            <w:bottom w:w="0" w:type="dxa"/>
          </w:tblCellMar>
        </w:tblPrEx>
        <w:trPr>
          <w:jc w:val="center"/>
        </w:trPr>
        <w:tc>
          <w:tcPr>
            <w:tcW w:w="2283" w:type="dxa"/>
            <w:tcBorders>
              <w:top w:val="single" w:sz="4" w:space="0" w:color="auto"/>
            </w:tcBorders>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Région de la Costa </w:t>
            </w:r>
          </w:p>
        </w:tc>
        <w:tc>
          <w:tcPr>
            <w:tcW w:w="1435" w:type="dxa"/>
            <w:tcBorders>
              <w:top w:val="single" w:sz="4" w:space="0" w:color="auto"/>
            </w:tcBorders>
          </w:tcPr>
          <w:p w:rsidR="00000000" w:rsidRDefault="00000000">
            <w:pPr>
              <w:autoSpaceDE w:val="0"/>
              <w:autoSpaceDN w:val="0"/>
              <w:adjustRightInd w:val="0"/>
              <w:spacing w:before="60" w:after="60"/>
              <w:ind w:right="465"/>
              <w:jc w:val="right"/>
              <w:rPr>
                <w:color w:val="000000"/>
                <w:sz w:val="20"/>
                <w:szCs w:val="22"/>
                <w:lang w:val="fr-FR"/>
              </w:rPr>
            </w:pPr>
            <w:r>
              <w:rPr>
                <w:color w:val="000000"/>
                <w:sz w:val="20"/>
                <w:szCs w:val="22"/>
                <w:lang w:val="fr-FR"/>
              </w:rPr>
              <w:t xml:space="preserve">7 220 </w:t>
            </w:r>
          </w:p>
        </w:tc>
        <w:tc>
          <w:tcPr>
            <w:tcW w:w="1719" w:type="dxa"/>
            <w:tcBorders>
              <w:top w:val="single" w:sz="4" w:space="0" w:color="auto"/>
            </w:tcBorders>
          </w:tcPr>
          <w:p w:rsidR="00000000" w:rsidRDefault="00000000">
            <w:pPr>
              <w:autoSpaceDE w:val="0"/>
              <w:autoSpaceDN w:val="0"/>
              <w:adjustRightInd w:val="0"/>
              <w:spacing w:before="60" w:after="60"/>
              <w:ind w:right="465"/>
              <w:jc w:val="right"/>
              <w:rPr>
                <w:color w:val="000000"/>
                <w:sz w:val="20"/>
                <w:szCs w:val="22"/>
                <w:lang w:val="fr-FR"/>
              </w:rPr>
            </w:pPr>
            <w:r>
              <w:rPr>
                <w:color w:val="000000"/>
                <w:sz w:val="20"/>
                <w:szCs w:val="22"/>
                <w:lang w:val="fr-FR"/>
              </w:rPr>
              <w:t xml:space="preserve">1 786 </w:t>
            </w:r>
          </w:p>
        </w:tc>
        <w:tc>
          <w:tcPr>
            <w:tcW w:w="1263" w:type="dxa"/>
            <w:tcBorders>
              <w:top w:val="single" w:sz="4" w:space="0" w:color="auto"/>
            </w:tcBorders>
          </w:tcPr>
          <w:p w:rsidR="00000000" w:rsidRDefault="00000000">
            <w:pPr>
              <w:autoSpaceDE w:val="0"/>
              <w:autoSpaceDN w:val="0"/>
              <w:adjustRightInd w:val="0"/>
              <w:spacing w:before="60" w:after="60"/>
              <w:ind w:right="285"/>
              <w:jc w:val="right"/>
              <w:rPr>
                <w:color w:val="000000"/>
                <w:sz w:val="20"/>
                <w:szCs w:val="22"/>
                <w:lang w:val="fr-FR"/>
              </w:rPr>
            </w:pPr>
            <w:r>
              <w:rPr>
                <w:color w:val="000000"/>
                <w:sz w:val="20"/>
                <w:szCs w:val="22"/>
                <w:lang w:val="fr-FR"/>
              </w:rPr>
              <w:t xml:space="preserve">7 890 </w:t>
            </w:r>
          </w:p>
        </w:tc>
        <w:tc>
          <w:tcPr>
            <w:tcW w:w="1149" w:type="dxa"/>
            <w:tcBorders>
              <w:top w:val="single" w:sz="4" w:space="0" w:color="auto"/>
            </w:tcBorders>
          </w:tcPr>
          <w:p w:rsidR="00000000" w:rsidRDefault="00000000">
            <w:pPr>
              <w:autoSpaceDE w:val="0"/>
              <w:autoSpaceDN w:val="0"/>
              <w:adjustRightInd w:val="0"/>
              <w:spacing w:before="60" w:after="60"/>
              <w:ind w:right="285"/>
              <w:jc w:val="right"/>
              <w:rPr>
                <w:color w:val="000000"/>
                <w:sz w:val="20"/>
                <w:szCs w:val="22"/>
                <w:lang w:val="fr-FR"/>
              </w:rPr>
            </w:pPr>
            <w:r>
              <w:rPr>
                <w:color w:val="000000"/>
                <w:sz w:val="20"/>
                <w:szCs w:val="22"/>
                <w:lang w:val="fr-FR"/>
              </w:rPr>
              <w:t xml:space="preserve">599 </w:t>
            </w:r>
          </w:p>
        </w:tc>
        <w:tc>
          <w:tcPr>
            <w:tcW w:w="1450" w:type="dxa"/>
            <w:tcBorders>
              <w:top w:val="single" w:sz="4" w:space="0" w:color="auto"/>
            </w:tcBorders>
          </w:tcPr>
          <w:p w:rsidR="00000000" w:rsidRDefault="00000000">
            <w:pPr>
              <w:autoSpaceDE w:val="0"/>
              <w:autoSpaceDN w:val="0"/>
              <w:adjustRightInd w:val="0"/>
              <w:spacing w:before="60" w:after="60"/>
              <w:ind w:right="285"/>
              <w:jc w:val="right"/>
              <w:rPr>
                <w:color w:val="000000"/>
                <w:sz w:val="20"/>
                <w:szCs w:val="22"/>
                <w:lang w:val="fr-FR"/>
              </w:rPr>
            </w:pPr>
            <w:r>
              <w:rPr>
                <w:color w:val="000000"/>
                <w:sz w:val="20"/>
                <w:szCs w:val="22"/>
                <w:lang w:val="fr-FR"/>
              </w:rPr>
              <w:t xml:space="preserve">17 495  </w:t>
            </w:r>
          </w:p>
        </w:tc>
      </w:tr>
      <w:tr w:rsidR="00000000">
        <w:tblPrEx>
          <w:tblCellMar>
            <w:top w:w="0" w:type="dxa"/>
            <w:bottom w:w="0" w:type="dxa"/>
          </w:tblCellMar>
        </w:tblPrEx>
        <w:trPr>
          <w:jc w:val="center"/>
        </w:trPr>
        <w:tc>
          <w:tcPr>
            <w:tcW w:w="2283"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Région de l’Oriente </w:t>
            </w:r>
          </w:p>
        </w:tc>
        <w:tc>
          <w:tcPr>
            <w:tcW w:w="1435" w:type="dxa"/>
          </w:tcPr>
          <w:p w:rsidR="00000000" w:rsidRDefault="00000000">
            <w:pPr>
              <w:autoSpaceDE w:val="0"/>
              <w:autoSpaceDN w:val="0"/>
              <w:adjustRightInd w:val="0"/>
              <w:spacing w:before="60" w:after="60"/>
              <w:ind w:right="465"/>
              <w:jc w:val="right"/>
              <w:rPr>
                <w:color w:val="000000"/>
                <w:sz w:val="20"/>
                <w:szCs w:val="22"/>
                <w:lang w:val="fr-FR"/>
              </w:rPr>
            </w:pPr>
            <w:r>
              <w:rPr>
                <w:color w:val="000000"/>
                <w:sz w:val="20"/>
                <w:szCs w:val="22"/>
                <w:lang w:val="fr-FR"/>
              </w:rPr>
              <w:t xml:space="preserve">977 </w:t>
            </w:r>
          </w:p>
        </w:tc>
        <w:tc>
          <w:tcPr>
            <w:tcW w:w="1719" w:type="dxa"/>
          </w:tcPr>
          <w:p w:rsidR="00000000" w:rsidRDefault="00000000">
            <w:pPr>
              <w:autoSpaceDE w:val="0"/>
              <w:autoSpaceDN w:val="0"/>
              <w:adjustRightInd w:val="0"/>
              <w:spacing w:before="60" w:after="60"/>
              <w:ind w:right="465"/>
              <w:jc w:val="right"/>
              <w:rPr>
                <w:color w:val="000000"/>
                <w:sz w:val="20"/>
                <w:szCs w:val="22"/>
                <w:lang w:val="fr-FR"/>
              </w:rPr>
            </w:pPr>
            <w:r>
              <w:rPr>
                <w:color w:val="000000"/>
                <w:sz w:val="20"/>
                <w:szCs w:val="22"/>
                <w:lang w:val="fr-FR"/>
              </w:rPr>
              <w:t xml:space="preserve">0 </w:t>
            </w:r>
          </w:p>
        </w:tc>
        <w:tc>
          <w:tcPr>
            <w:tcW w:w="1263" w:type="dxa"/>
          </w:tcPr>
          <w:p w:rsidR="00000000" w:rsidRDefault="00000000">
            <w:pPr>
              <w:autoSpaceDE w:val="0"/>
              <w:autoSpaceDN w:val="0"/>
              <w:adjustRightInd w:val="0"/>
              <w:spacing w:before="60" w:after="60"/>
              <w:ind w:right="285"/>
              <w:jc w:val="right"/>
              <w:rPr>
                <w:color w:val="000000"/>
                <w:sz w:val="20"/>
                <w:szCs w:val="22"/>
                <w:lang w:val="fr-FR"/>
              </w:rPr>
            </w:pPr>
            <w:r>
              <w:rPr>
                <w:color w:val="000000"/>
                <w:sz w:val="20"/>
                <w:szCs w:val="22"/>
                <w:lang w:val="fr-FR"/>
              </w:rPr>
              <w:t xml:space="preserve">805 </w:t>
            </w:r>
          </w:p>
        </w:tc>
        <w:tc>
          <w:tcPr>
            <w:tcW w:w="1149" w:type="dxa"/>
          </w:tcPr>
          <w:p w:rsidR="00000000" w:rsidRDefault="00000000">
            <w:pPr>
              <w:autoSpaceDE w:val="0"/>
              <w:autoSpaceDN w:val="0"/>
              <w:adjustRightInd w:val="0"/>
              <w:spacing w:before="60" w:after="60"/>
              <w:ind w:right="285"/>
              <w:jc w:val="right"/>
              <w:rPr>
                <w:color w:val="000000"/>
                <w:sz w:val="20"/>
                <w:szCs w:val="22"/>
                <w:lang w:val="fr-FR"/>
              </w:rPr>
            </w:pPr>
            <w:r>
              <w:rPr>
                <w:color w:val="000000"/>
                <w:sz w:val="20"/>
                <w:szCs w:val="22"/>
                <w:lang w:val="fr-FR"/>
              </w:rPr>
              <w:t xml:space="preserve">29 </w:t>
            </w:r>
          </w:p>
        </w:tc>
        <w:tc>
          <w:tcPr>
            <w:tcW w:w="1450" w:type="dxa"/>
          </w:tcPr>
          <w:p w:rsidR="00000000" w:rsidRDefault="00000000">
            <w:pPr>
              <w:autoSpaceDE w:val="0"/>
              <w:autoSpaceDN w:val="0"/>
              <w:adjustRightInd w:val="0"/>
              <w:spacing w:before="60" w:after="60"/>
              <w:ind w:right="285"/>
              <w:jc w:val="right"/>
              <w:rPr>
                <w:color w:val="000000"/>
                <w:sz w:val="20"/>
                <w:szCs w:val="22"/>
                <w:lang w:val="fr-FR"/>
              </w:rPr>
            </w:pPr>
            <w:r>
              <w:rPr>
                <w:color w:val="000000"/>
                <w:sz w:val="20"/>
                <w:szCs w:val="22"/>
                <w:lang w:val="fr-FR"/>
              </w:rPr>
              <w:t xml:space="preserve">1 811  </w:t>
            </w:r>
          </w:p>
        </w:tc>
      </w:tr>
      <w:tr w:rsidR="00000000">
        <w:tblPrEx>
          <w:tblCellMar>
            <w:top w:w="0" w:type="dxa"/>
            <w:bottom w:w="0" w:type="dxa"/>
          </w:tblCellMar>
        </w:tblPrEx>
        <w:trPr>
          <w:jc w:val="center"/>
        </w:trPr>
        <w:tc>
          <w:tcPr>
            <w:tcW w:w="2283"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Région de la Sierra </w:t>
            </w:r>
          </w:p>
        </w:tc>
        <w:tc>
          <w:tcPr>
            <w:tcW w:w="1435" w:type="dxa"/>
          </w:tcPr>
          <w:p w:rsidR="00000000" w:rsidRDefault="00000000">
            <w:pPr>
              <w:autoSpaceDE w:val="0"/>
              <w:autoSpaceDN w:val="0"/>
              <w:adjustRightInd w:val="0"/>
              <w:spacing w:before="60" w:after="60"/>
              <w:ind w:right="465"/>
              <w:jc w:val="right"/>
              <w:rPr>
                <w:color w:val="000000"/>
                <w:sz w:val="20"/>
                <w:szCs w:val="22"/>
                <w:lang w:val="fr-FR"/>
              </w:rPr>
            </w:pPr>
            <w:r>
              <w:rPr>
                <w:color w:val="000000"/>
                <w:sz w:val="20"/>
                <w:szCs w:val="22"/>
                <w:lang w:val="fr-FR"/>
              </w:rPr>
              <w:t xml:space="preserve">4 611 </w:t>
            </w:r>
          </w:p>
        </w:tc>
        <w:tc>
          <w:tcPr>
            <w:tcW w:w="1719" w:type="dxa"/>
          </w:tcPr>
          <w:p w:rsidR="00000000" w:rsidRDefault="00000000">
            <w:pPr>
              <w:autoSpaceDE w:val="0"/>
              <w:autoSpaceDN w:val="0"/>
              <w:adjustRightInd w:val="0"/>
              <w:spacing w:before="60" w:after="60"/>
              <w:ind w:right="465"/>
              <w:jc w:val="right"/>
              <w:rPr>
                <w:color w:val="000000"/>
                <w:sz w:val="20"/>
                <w:szCs w:val="22"/>
                <w:lang w:val="fr-FR"/>
              </w:rPr>
            </w:pPr>
            <w:r>
              <w:rPr>
                <w:color w:val="000000"/>
                <w:sz w:val="20"/>
                <w:szCs w:val="22"/>
                <w:lang w:val="fr-FR"/>
              </w:rPr>
              <w:t xml:space="preserve">456 </w:t>
            </w:r>
          </w:p>
        </w:tc>
        <w:tc>
          <w:tcPr>
            <w:tcW w:w="1263" w:type="dxa"/>
          </w:tcPr>
          <w:p w:rsidR="00000000" w:rsidRDefault="00000000">
            <w:pPr>
              <w:autoSpaceDE w:val="0"/>
              <w:autoSpaceDN w:val="0"/>
              <w:adjustRightInd w:val="0"/>
              <w:spacing w:before="60" w:after="60"/>
              <w:ind w:right="285"/>
              <w:jc w:val="right"/>
              <w:rPr>
                <w:color w:val="000000"/>
                <w:sz w:val="20"/>
                <w:szCs w:val="22"/>
                <w:lang w:val="fr-FR"/>
              </w:rPr>
            </w:pPr>
            <w:r>
              <w:rPr>
                <w:color w:val="000000"/>
                <w:sz w:val="20"/>
                <w:szCs w:val="22"/>
                <w:lang w:val="fr-FR"/>
              </w:rPr>
              <w:t xml:space="preserve">12 639 </w:t>
            </w:r>
          </w:p>
        </w:tc>
        <w:tc>
          <w:tcPr>
            <w:tcW w:w="1149" w:type="dxa"/>
          </w:tcPr>
          <w:p w:rsidR="00000000" w:rsidRDefault="00000000">
            <w:pPr>
              <w:autoSpaceDE w:val="0"/>
              <w:autoSpaceDN w:val="0"/>
              <w:adjustRightInd w:val="0"/>
              <w:spacing w:before="60" w:after="60"/>
              <w:ind w:right="285"/>
              <w:jc w:val="right"/>
              <w:rPr>
                <w:color w:val="000000"/>
                <w:sz w:val="20"/>
                <w:szCs w:val="22"/>
                <w:lang w:val="fr-FR"/>
              </w:rPr>
            </w:pPr>
            <w:r>
              <w:rPr>
                <w:color w:val="000000"/>
                <w:sz w:val="20"/>
                <w:szCs w:val="22"/>
                <w:lang w:val="fr-FR"/>
              </w:rPr>
              <w:t xml:space="preserve">675 </w:t>
            </w:r>
          </w:p>
        </w:tc>
        <w:tc>
          <w:tcPr>
            <w:tcW w:w="1450" w:type="dxa"/>
          </w:tcPr>
          <w:p w:rsidR="00000000" w:rsidRDefault="00000000">
            <w:pPr>
              <w:autoSpaceDE w:val="0"/>
              <w:autoSpaceDN w:val="0"/>
              <w:adjustRightInd w:val="0"/>
              <w:spacing w:before="60" w:after="60"/>
              <w:ind w:right="285"/>
              <w:jc w:val="right"/>
              <w:rPr>
                <w:color w:val="000000"/>
                <w:sz w:val="20"/>
                <w:szCs w:val="22"/>
                <w:lang w:val="fr-FR"/>
              </w:rPr>
            </w:pPr>
            <w:r>
              <w:rPr>
                <w:color w:val="000000"/>
                <w:sz w:val="20"/>
                <w:szCs w:val="22"/>
                <w:lang w:val="fr-FR"/>
              </w:rPr>
              <w:t xml:space="preserve">18 381  </w:t>
            </w:r>
          </w:p>
        </w:tc>
      </w:tr>
      <w:tr w:rsidR="00000000">
        <w:tblPrEx>
          <w:tblCellMar>
            <w:top w:w="0" w:type="dxa"/>
            <w:bottom w:w="0" w:type="dxa"/>
          </w:tblCellMar>
        </w:tblPrEx>
        <w:trPr>
          <w:jc w:val="center"/>
        </w:trPr>
        <w:tc>
          <w:tcPr>
            <w:tcW w:w="2283"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  Total national </w:t>
            </w:r>
          </w:p>
        </w:tc>
        <w:tc>
          <w:tcPr>
            <w:tcW w:w="1435" w:type="dxa"/>
          </w:tcPr>
          <w:p w:rsidR="00000000" w:rsidRDefault="00000000">
            <w:pPr>
              <w:autoSpaceDE w:val="0"/>
              <w:autoSpaceDN w:val="0"/>
              <w:adjustRightInd w:val="0"/>
              <w:spacing w:before="60" w:after="60"/>
              <w:ind w:right="465"/>
              <w:jc w:val="right"/>
              <w:rPr>
                <w:color w:val="000000"/>
                <w:sz w:val="20"/>
                <w:szCs w:val="22"/>
                <w:lang w:val="fr-FR"/>
              </w:rPr>
            </w:pPr>
            <w:r>
              <w:rPr>
                <w:color w:val="000000"/>
                <w:sz w:val="20"/>
                <w:szCs w:val="22"/>
                <w:lang w:val="fr-FR"/>
              </w:rPr>
              <w:t xml:space="preserve">12 808 </w:t>
            </w:r>
          </w:p>
        </w:tc>
        <w:tc>
          <w:tcPr>
            <w:tcW w:w="1719" w:type="dxa"/>
          </w:tcPr>
          <w:p w:rsidR="00000000" w:rsidRDefault="00000000">
            <w:pPr>
              <w:autoSpaceDE w:val="0"/>
              <w:autoSpaceDN w:val="0"/>
              <w:adjustRightInd w:val="0"/>
              <w:spacing w:before="60" w:after="60"/>
              <w:ind w:right="465"/>
              <w:jc w:val="right"/>
              <w:rPr>
                <w:color w:val="000000"/>
                <w:sz w:val="20"/>
                <w:szCs w:val="22"/>
                <w:lang w:val="fr-FR"/>
              </w:rPr>
            </w:pPr>
            <w:r>
              <w:rPr>
                <w:color w:val="000000"/>
                <w:sz w:val="20"/>
                <w:szCs w:val="22"/>
                <w:lang w:val="fr-FR"/>
              </w:rPr>
              <w:t xml:space="preserve">2 242 </w:t>
            </w:r>
          </w:p>
        </w:tc>
        <w:tc>
          <w:tcPr>
            <w:tcW w:w="1263" w:type="dxa"/>
          </w:tcPr>
          <w:p w:rsidR="00000000" w:rsidRDefault="00000000">
            <w:pPr>
              <w:autoSpaceDE w:val="0"/>
              <w:autoSpaceDN w:val="0"/>
              <w:adjustRightInd w:val="0"/>
              <w:spacing w:before="60" w:after="60"/>
              <w:ind w:right="285"/>
              <w:jc w:val="right"/>
              <w:rPr>
                <w:color w:val="000000"/>
                <w:sz w:val="20"/>
                <w:szCs w:val="22"/>
                <w:lang w:val="fr-FR"/>
              </w:rPr>
            </w:pPr>
            <w:r>
              <w:rPr>
                <w:color w:val="000000"/>
                <w:sz w:val="20"/>
                <w:szCs w:val="22"/>
                <w:lang w:val="fr-FR"/>
              </w:rPr>
              <w:t xml:space="preserve">21 334 </w:t>
            </w:r>
          </w:p>
        </w:tc>
        <w:tc>
          <w:tcPr>
            <w:tcW w:w="1149" w:type="dxa"/>
          </w:tcPr>
          <w:p w:rsidR="00000000" w:rsidRDefault="00000000">
            <w:pPr>
              <w:autoSpaceDE w:val="0"/>
              <w:autoSpaceDN w:val="0"/>
              <w:adjustRightInd w:val="0"/>
              <w:spacing w:before="60" w:after="60"/>
              <w:ind w:right="285"/>
              <w:jc w:val="right"/>
              <w:rPr>
                <w:color w:val="000000"/>
                <w:sz w:val="20"/>
                <w:szCs w:val="22"/>
                <w:lang w:val="fr-FR"/>
              </w:rPr>
            </w:pPr>
            <w:r>
              <w:rPr>
                <w:color w:val="000000"/>
                <w:sz w:val="20"/>
                <w:szCs w:val="22"/>
                <w:lang w:val="fr-FR"/>
              </w:rPr>
              <w:t xml:space="preserve">1 303 </w:t>
            </w:r>
          </w:p>
        </w:tc>
        <w:tc>
          <w:tcPr>
            <w:tcW w:w="1450" w:type="dxa"/>
          </w:tcPr>
          <w:p w:rsidR="00000000" w:rsidRDefault="00000000">
            <w:pPr>
              <w:autoSpaceDE w:val="0"/>
              <w:autoSpaceDN w:val="0"/>
              <w:adjustRightInd w:val="0"/>
              <w:spacing w:before="60" w:after="60"/>
              <w:ind w:right="285"/>
              <w:jc w:val="right"/>
              <w:rPr>
                <w:color w:val="000000"/>
                <w:sz w:val="20"/>
                <w:szCs w:val="22"/>
                <w:lang w:val="fr-FR"/>
              </w:rPr>
            </w:pPr>
            <w:r>
              <w:rPr>
                <w:color w:val="000000"/>
                <w:sz w:val="20"/>
                <w:szCs w:val="22"/>
                <w:lang w:val="fr-FR"/>
              </w:rPr>
              <w:t xml:space="preserve">37 687  </w:t>
            </w:r>
          </w:p>
        </w:tc>
      </w:tr>
      <w:tr w:rsidR="00000000">
        <w:tblPrEx>
          <w:tblCellMar>
            <w:top w:w="0" w:type="dxa"/>
            <w:bottom w:w="0" w:type="dxa"/>
          </w:tblCellMar>
        </w:tblPrEx>
        <w:trPr>
          <w:jc w:val="center"/>
        </w:trPr>
        <w:tc>
          <w:tcPr>
            <w:tcW w:w="2283"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  Période totale 1998-1999 </w:t>
            </w:r>
          </w:p>
        </w:tc>
        <w:tc>
          <w:tcPr>
            <w:tcW w:w="1435" w:type="dxa"/>
          </w:tcPr>
          <w:p w:rsidR="00000000" w:rsidRDefault="00000000">
            <w:pPr>
              <w:autoSpaceDE w:val="0"/>
              <w:autoSpaceDN w:val="0"/>
              <w:adjustRightInd w:val="0"/>
              <w:spacing w:before="60" w:after="60"/>
              <w:ind w:right="465"/>
              <w:jc w:val="right"/>
              <w:rPr>
                <w:color w:val="000000"/>
                <w:sz w:val="20"/>
                <w:szCs w:val="22"/>
                <w:lang w:val="fr-FR"/>
              </w:rPr>
            </w:pPr>
            <w:r>
              <w:rPr>
                <w:color w:val="000000"/>
                <w:sz w:val="20"/>
                <w:szCs w:val="22"/>
                <w:lang w:val="fr-FR"/>
              </w:rPr>
              <w:t xml:space="preserve">19 448 </w:t>
            </w:r>
          </w:p>
        </w:tc>
        <w:tc>
          <w:tcPr>
            <w:tcW w:w="1719" w:type="dxa"/>
          </w:tcPr>
          <w:p w:rsidR="00000000" w:rsidRDefault="00000000">
            <w:pPr>
              <w:autoSpaceDE w:val="0"/>
              <w:autoSpaceDN w:val="0"/>
              <w:adjustRightInd w:val="0"/>
              <w:spacing w:before="60" w:after="60"/>
              <w:ind w:right="465"/>
              <w:jc w:val="right"/>
              <w:rPr>
                <w:color w:val="000000"/>
                <w:sz w:val="20"/>
                <w:szCs w:val="22"/>
                <w:lang w:val="fr-FR"/>
              </w:rPr>
            </w:pPr>
            <w:r>
              <w:rPr>
                <w:color w:val="000000"/>
                <w:sz w:val="20"/>
                <w:szCs w:val="22"/>
                <w:lang w:val="fr-FR"/>
              </w:rPr>
              <w:t xml:space="preserve">10 141 </w:t>
            </w:r>
          </w:p>
        </w:tc>
        <w:tc>
          <w:tcPr>
            <w:tcW w:w="1263" w:type="dxa"/>
          </w:tcPr>
          <w:p w:rsidR="00000000" w:rsidRDefault="00000000">
            <w:pPr>
              <w:autoSpaceDE w:val="0"/>
              <w:autoSpaceDN w:val="0"/>
              <w:adjustRightInd w:val="0"/>
              <w:spacing w:before="60" w:after="60"/>
              <w:ind w:right="285"/>
              <w:jc w:val="right"/>
              <w:rPr>
                <w:color w:val="000000"/>
                <w:sz w:val="20"/>
                <w:szCs w:val="22"/>
                <w:lang w:val="fr-FR"/>
              </w:rPr>
            </w:pPr>
            <w:r>
              <w:rPr>
                <w:color w:val="000000"/>
                <w:sz w:val="20"/>
                <w:szCs w:val="22"/>
                <w:lang w:val="fr-FR"/>
              </w:rPr>
              <w:t xml:space="preserve">24 933  </w:t>
            </w:r>
          </w:p>
        </w:tc>
        <w:tc>
          <w:tcPr>
            <w:tcW w:w="1149" w:type="dxa"/>
          </w:tcPr>
          <w:p w:rsidR="00000000" w:rsidRDefault="00000000">
            <w:pPr>
              <w:autoSpaceDE w:val="0"/>
              <w:autoSpaceDN w:val="0"/>
              <w:adjustRightInd w:val="0"/>
              <w:spacing w:before="60" w:after="60"/>
              <w:ind w:right="285"/>
              <w:jc w:val="right"/>
              <w:rPr>
                <w:color w:val="000000"/>
                <w:sz w:val="20"/>
                <w:szCs w:val="22"/>
                <w:lang w:val="fr-FR"/>
              </w:rPr>
            </w:pPr>
            <w:r>
              <w:rPr>
                <w:color w:val="000000"/>
                <w:sz w:val="20"/>
                <w:szCs w:val="22"/>
                <w:lang w:val="fr-FR"/>
              </w:rPr>
              <w:t xml:space="preserve">2 b335 </w:t>
            </w:r>
          </w:p>
        </w:tc>
        <w:tc>
          <w:tcPr>
            <w:tcW w:w="1450" w:type="dxa"/>
          </w:tcPr>
          <w:p w:rsidR="00000000" w:rsidRDefault="00000000">
            <w:pPr>
              <w:autoSpaceDE w:val="0"/>
              <w:autoSpaceDN w:val="0"/>
              <w:adjustRightInd w:val="0"/>
              <w:spacing w:before="60" w:after="60"/>
              <w:ind w:right="285"/>
              <w:jc w:val="right"/>
              <w:rPr>
                <w:color w:val="000000"/>
                <w:sz w:val="20"/>
                <w:szCs w:val="22"/>
                <w:lang w:val="fr-FR"/>
              </w:rPr>
            </w:pPr>
            <w:r>
              <w:rPr>
                <w:color w:val="000000"/>
                <w:sz w:val="20"/>
                <w:szCs w:val="22"/>
                <w:lang w:val="fr-FR"/>
              </w:rPr>
              <w:t xml:space="preserve">56 857  </w:t>
            </w:r>
          </w:p>
        </w:tc>
      </w:tr>
    </w:tbl>
    <w:p w:rsidR="00000000" w:rsidRDefault="00000000">
      <w:pPr>
        <w:autoSpaceDE w:val="0"/>
        <w:autoSpaceDN w:val="0"/>
        <w:adjustRightInd w:val="0"/>
        <w:spacing w:before="60" w:after="40"/>
        <w:ind w:left="567"/>
        <w:rPr>
          <w:color w:val="000000"/>
          <w:sz w:val="20"/>
          <w:szCs w:val="22"/>
          <w:lang w:val="fr-FR"/>
        </w:rPr>
      </w:pPr>
      <w:r>
        <w:rPr>
          <w:i/>
          <w:iCs/>
          <w:color w:val="000000"/>
          <w:sz w:val="20"/>
          <w:szCs w:val="22"/>
          <w:lang w:val="fr-FR"/>
        </w:rPr>
        <w:t>Source :</w:t>
      </w:r>
      <w:r>
        <w:rPr>
          <w:color w:val="000000"/>
          <w:sz w:val="20"/>
          <w:szCs w:val="22"/>
          <w:lang w:val="fr-FR"/>
        </w:rPr>
        <w:t xml:space="preserve"> Direction de la planification - Ministère du développement urbain et du logement.  </w:t>
      </w:r>
    </w:p>
    <w:p w:rsidR="00000000" w:rsidRDefault="00000000">
      <w:pPr>
        <w:spacing w:before="60" w:after="360"/>
        <w:ind w:left="567"/>
        <w:rPr>
          <w:color w:val="000000"/>
          <w:sz w:val="20"/>
          <w:szCs w:val="22"/>
          <w:lang w:val="fr-FR"/>
        </w:rPr>
      </w:pPr>
      <w:r>
        <w:rPr>
          <w:color w:val="000000"/>
          <w:sz w:val="20"/>
          <w:szCs w:val="22"/>
          <w:lang w:val="fr-FR"/>
        </w:rPr>
        <w:t>* Allocations versées.</w:t>
      </w:r>
    </w:p>
    <w:p w:rsidR="00000000" w:rsidRDefault="00000000">
      <w:pPr>
        <w:spacing w:after="240"/>
        <w:rPr>
          <w:iCs/>
          <w:color w:val="000000"/>
          <w:lang w:val="fr-FR"/>
        </w:rPr>
      </w:pPr>
      <w:r>
        <w:rPr>
          <w:i/>
          <w:iCs/>
          <w:color w:val="000000"/>
          <w:lang w:val="fr-FR"/>
        </w:rPr>
        <w:t>Coopération internationale</w:t>
      </w:r>
    </w:p>
    <w:p w:rsidR="00000000" w:rsidRDefault="00000000">
      <w:pPr>
        <w:spacing w:after="240"/>
        <w:rPr>
          <w:iCs/>
          <w:color w:val="000000"/>
          <w:lang w:val="fr-FR"/>
        </w:rPr>
      </w:pPr>
      <w:r>
        <w:rPr>
          <w:iCs/>
          <w:color w:val="000000"/>
          <w:lang w:val="fr-FR"/>
        </w:rPr>
        <w:t>376.</w:t>
      </w:r>
      <w:r>
        <w:rPr>
          <w:iCs/>
          <w:color w:val="000000"/>
          <w:lang w:val="fr-FR"/>
        </w:rPr>
        <w:tab/>
        <w:t>Pour améliorer l'accès au logement de la population équatorienne à faible revenu, améliorer l'efficacité et l'équité des investissements publics dans le secteur du logement et encourager la participation du secteur privé, le gouvernement, par l'intermédiaire du MIDUVI, et avec la collaboration de la Banque interaméricaine de développement, a décidé de mettre en oeuvre le Programme d'appui au secteur du logement.</w:t>
      </w:r>
    </w:p>
    <w:p w:rsidR="00000000" w:rsidRDefault="00000000">
      <w:pPr>
        <w:spacing w:after="240"/>
        <w:rPr>
          <w:b/>
          <w:lang w:val="fr-FR"/>
        </w:rPr>
      </w:pPr>
      <w:r>
        <w:rPr>
          <w:b/>
          <w:lang w:val="fr-FR"/>
        </w:rPr>
        <w:t>Article 12</w:t>
      </w:r>
    </w:p>
    <w:p w:rsidR="00000000" w:rsidRDefault="00000000">
      <w:pPr>
        <w:spacing w:after="240"/>
        <w:rPr>
          <w:lang w:val="fr-FR"/>
        </w:rPr>
      </w:pPr>
      <w:r>
        <w:rPr>
          <w:b/>
          <w:lang w:val="fr-FR"/>
        </w:rPr>
        <w:t>1.</w:t>
      </w:r>
      <w:r>
        <w:rPr>
          <w:b/>
          <w:lang w:val="fr-FR"/>
        </w:rPr>
        <w:tab/>
        <w:t>Politiques de santé</w:t>
      </w:r>
    </w:p>
    <w:p w:rsidR="00000000" w:rsidRDefault="00000000">
      <w:pPr>
        <w:spacing w:after="240"/>
        <w:rPr>
          <w:lang w:val="fr-FR"/>
        </w:rPr>
      </w:pPr>
      <w:r>
        <w:rPr>
          <w:lang w:val="fr-FR"/>
        </w:rPr>
        <w:t>377.</w:t>
      </w:r>
      <w:r>
        <w:rPr>
          <w:lang w:val="fr-FR"/>
        </w:rPr>
        <w:tab/>
        <w:t>La situation sanitaire actuelle du pays a été influencée, en particulier au cours des deux dernières décennies, par un ensemble de réalités et d'événements qui se sont traduits par une régression dans le domaine de la santé, composante fondamentale du développement social et économique national.  On peut affirmer qu'il y a une régression, non pas parce que les indicateurs de mortalité, de morbidité et autres indicateurs sont plus mauvais qu'il y a dix ans, mais tout simplement parce qu'ils restent élevés.  La couverture et la qualité des soins ne se sont pas améliorées, l'inégalité s'est accentuée et l'absence de solidarité est devenue plus flagrante.  Tout cela a été aggravé par l'absence d'une bonne gestion du secteur aux différents niveaux et par le style (partisan et personnalisé) avec laquelle il a été géré.</w:t>
      </w:r>
    </w:p>
    <w:p w:rsidR="00000000" w:rsidRDefault="00000000">
      <w:pPr>
        <w:spacing w:after="240"/>
        <w:rPr>
          <w:lang w:val="fr-FR"/>
        </w:rPr>
      </w:pPr>
      <w:r>
        <w:rPr>
          <w:lang w:val="fr-FR"/>
        </w:rPr>
        <w:t>378.</w:t>
      </w:r>
      <w:r>
        <w:rPr>
          <w:lang w:val="fr-FR"/>
        </w:rPr>
        <w:tab/>
        <w:t>La Constitution adoptée par l'Assemblée constituante en 1998 proclame les principes d'une véritable politique de l’État dans le domaine de la santé, à savoir l’universalité, l’intégralité, la solidarité, la qualité et l’efficacité, sur lesquels doit être fondé l'ensemble du nouveau processus de mise en oeuvre d’un véritable Système national de santé</w:t>
      </w:r>
      <w:r>
        <w:rPr>
          <w:rStyle w:val="FootnoteReference"/>
          <w:b/>
          <w:lang w:val="fr-FR"/>
        </w:rPr>
        <w:footnoteReference w:id="49"/>
      </w:r>
      <w:r>
        <w:rPr>
          <w:lang w:val="fr-FR"/>
        </w:rPr>
        <w:t>.</w:t>
      </w:r>
    </w:p>
    <w:p w:rsidR="00000000" w:rsidRDefault="00000000">
      <w:pPr>
        <w:spacing w:after="240"/>
        <w:rPr>
          <w:lang w:val="fr-FR"/>
        </w:rPr>
      </w:pPr>
      <w:r>
        <w:rPr>
          <w:lang w:val="fr-FR"/>
        </w:rPr>
        <w:t>379.</w:t>
      </w:r>
      <w:r>
        <w:rPr>
          <w:lang w:val="fr-FR"/>
        </w:rPr>
        <w:tab/>
        <w:t>L'évaluation de la situation en matière de santé que fait le Ministère de la santé dans le Plan national relatif à la santé mentale montre que les conditions socio-économiques que connaît le pays contribuent à définir un profil épidémiologique complexe, dans laquelle coexistent des maladies infectieuses et contagieuses, parasitaires, chroniques et dégénératives, des carences nutritionnelles graves, la néoplasie, les accidents de la circulation et la violence sous toutes ses formes.  La recrudescence de la tuberculose, manifestation évidente de la pauvreté, les taux de suicide en hausse, en particulier parmi les adolescents, la présence endémique du choléra et de la fièvre dengue, les taux élevés de paludisme et l'accroissement des problèmes psychosociaux, tels que l'alcoolisme, la toxicomanie, la maltraitance de l'enfant et de la femme et d'autres problèmes de violence, sont préoccupants</w:t>
      </w:r>
      <w:r>
        <w:rPr>
          <w:rStyle w:val="FootnoteReference"/>
          <w:b/>
          <w:lang w:val="fr-FR"/>
        </w:rPr>
        <w:footnoteReference w:id="50"/>
      </w:r>
      <w:r>
        <w:rPr>
          <w:lang w:val="fr-FR"/>
        </w:rPr>
        <w:t>.</w:t>
      </w:r>
    </w:p>
    <w:p w:rsidR="00000000" w:rsidRDefault="00000000">
      <w:pPr>
        <w:spacing w:after="240"/>
        <w:rPr>
          <w:lang w:val="fr-FR"/>
        </w:rPr>
      </w:pPr>
      <w:r>
        <w:rPr>
          <w:lang w:val="fr-FR"/>
        </w:rPr>
        <w:t>380.</w:t>
      </w:r>
      <w:r>
        <w:rPr>
          <w:lang w:val="fr-FR"/>
        </w:rPr>
        <w:tab/>
        <w:t>La répartition des risques de maladie et de décès n'est pas uniforme en Équateur; les indices montrent qu'ils sont plus élevés dans les zones urbaines marginales et dans les zones rurales, en particulier celles où est concentrée la population autochtone.  Par exemple, pour chaque décès d'enfants dans la province de Guayas ou de Pichincha, on en compte trois dans la province du Chimborazo</w:t>
      </w:r>
      <w:r>
        <w:rPr>
          <w:rStyle w:val="FootnoteReference"/>
          <w:b/>
          <w:lang w:val="fr-FR"/>
        </w:rPr>
        <w:footnoteReference w:id="51"/>
      </w:r>
      <w:r>
        <w:rPr>
          <w:lang w:val="fr-FR"/>
        </w:rPr>
        <w:t>; cette tendance est la même pour ce qui est de la morbidité, de l'accès aux services de santé, de la scolarité, etc.</w:t>
      </w:r>
      <w:r>
        <w:rPr>
          <w:rStyle w:val="FootnoteReference"/>
          <w:b/>
          <w:lang w:val="fr-FR"/>
        </w:rPr>
        <w:footnoteReference w:id="52"/>
      </w:r>
    </w:p>
    <w:p w:rsidR="00000000" w:rsidRDefault="00000000">
      <w:pPr>
        <w:spacing w:after="240"/>
        <w:rPr>
          <w:lang w:val="fr-FR"/>
        </w:rPr>
      </w:pPr>
      <w:r>
        <w:rPr>
          <w:lang w:val="fr-FR"/>
        </w:rPr>
        <w:t>381.</w:t>
      </w:r>
      <w:r>
        <w:rPr>
          <w:lang w:val="fr-FR"/>
        </w:rPr>
        <w:tab/>
        <w:t>Il est indiqué dans le Plan national pour la santé mentale que les consultations pour des problèmes de santé mentale, en particulier pour dépression, épilepsie (avec ses problèmes psychosociaux) et alcoolisme, sont de plus en plus fréquentes.</w:t>
      </w:r>
    </w:p>
    <w:p w:rsidR="00000000" w:rsidRDefault="00000000">
      <w:pPr>
        <w:spacing w:after="360"/>
        <w:rPr>
          <w:lang w:val="fr-FR"/>
        </w:rPr>
      </w:pPr>
      <w:r>
        <w:rPr>
          <w:lang w:val="fr-FR"/>
        </w:rPr>
        <w:t>382.</w:t>
      </w:r>
      <w:r>
        <w:rPr>
          <w:lang w:val="fr-FR"/>
        </w:rPr>
        <w:tab/>
        <w:t>Des études nationales montrent que jusqu'à 25 % des consultations relatives à un problème quelconque de santé ont des composantes psychopathologiques ou requièrent une intervention concernant la santé mentale; ce pourcentage est encore plus élevé dans le cas des patients internés, qui sont à l'origine d'une demande croissante de soins.</w:t>
      </w:r>
    </w:p>
    <w:p w:rsidR="00000000" w:rsidRDefault="00000000">
      <w:pPr>
        <w:autoSpaceDE w:val="0"/>
        <w:autoSpaceDN w:val="0"/>
        <w:adjustRightInd w:val="0"/>
        <w:spacing w:after="240"/>
        <w:jc w:val="center"/>
        <w:rPr>
          <w:color w:val="000000"/>
          <w:sz w:val="20"/>
          <w:szCs w:val="22"/>
          <w:lang w:val="fr-FR"/>
        </w:rPr>
      </w:pPr>
      <w:r>
        <w:rPr>
          <w:b/>
          <w:bCs/>
          <w:color w:val="000000"/>
          <w:sz w:val="20"/>
          <w:szCs w:val="22"/>
          <w:lang w:val="fr-FR"/>
        </w:rPr>
        <w:t xml:space="preserve">Taux d'incidence annuelle de certains troubles mentaux en Équateur (1994-1998)  </w:t>
      </w:r>
    </w:p>
    <w:tbl>
      <w:tblPr>
        <w:tblW w:w="8505"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621"/>
        <w:gridCol w:w="996"/>
        <w:gridCol w:w="1024"/>
        <w:gridCol w:w="969"/>
        <w:gridCol w:w="996"/>
        <w:gridCol w:w="969"/>
        <w:gridCol w:w="930"/>
      </w:tblGrid>
      <w:tr w:rsidR="00000000">
        <w:tblPrEx>
          <w:tblCellMar>
            <w:top w:w="0" w:type="dxa"/>
            <w:bottom w:w="0" w:type="dxa"/>
          </w:tblCellMar>
        </w:tblPrEx>
        <w:trPr>
          <w:jc w:val="center"/>
        </w:trPr>
        <w:tc>
          <w:tcPr>
            <w:tcW w:w="2603"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Problèmes mentaux</w:t>
            </w:r>
          </w:p>
        </w:tc>
        <w:tc>
          <w:tcPr>
            <w:tcW w:w="989"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1994</w:t>
            </w:r>
          </w:p>
        </w:tc>
        <w:tc>
          <w:tcPr>
            <w:tcW w:w="1017"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1995</w:t>
            </w:r>
          </w:p>
        </w:tc>
        <w:tc>
          <w:tcPr>
            <w:tcW w:w="962"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1996</w:t>
            </w:r>
          </w:p>
        </w:tc>
        <w:tc>
          <w:tcPr>
            <w:tcW w:w="989"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1997</w:t>
            </w:r>
          </w:p>
        </w:tc>
        <w:tc>
          <w:tcPr>
            <w:tcW w:w="962"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1998</w:t>
            </w:r>
          </w:p>
        </w:tc>
        <w:tc>
          <w:tcPr>
            <w:tcW w:w="924"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2000</w:t>
            </w:r>
          </w:p>
        </w:tc>
      </w:tr>
      <w:tr w:rsidR="00000000">
        <w:tblPrEx>
          <w:tblCellMar>
            <w:top w:w="0" w:type="dxa"/>
            <w:bottom w:w="0" w:type="dxa"/>
          </w:tblCellMar>
        </w:tblPrEx>
        <w:trPr>
          <w:jc w:val="center"/>
        </w:trPr>
        <w:tc>
          <w:tcPr>
            <w:tcW w:w="2603" w:type="dxa"/>
            <w:tcBorders>
              <w:top w:val="single" w:sz="4" w:space="0" w:color="auto"/>
            </w:tcBorders>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Pharmacodépendance </w:t>
            </w:r>
          </w:p>
        </w:tc>
        <w:tc>
          <w:tcPr>
            <w:tcW w:w="989" w:type="dxa"/>
            <w:tcBorders>
              <w:top w:val="single" w:sz="4" w:space="0" w:color="auto"/>
            </w:tcBorders>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1,69 </w:t>
            </w:r>
          </w:p>
        </w:tc>
        <w:tc>
          <w:tcPr>
            <w:tcW w:w="1017" w:type="dxa"/>
            <w:tcBorders>
              <w:top w:val="single" w:sz="4" w:space="0" w:color="auto"/>
            </w:tcBorders>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2,67 </w:t>
            </w:r>
          </w:p>
        </w:tc>
        <w:tc>
          <w:tcPr>
            <w:tcW w:w="962" w:type="dxa"/>
            <w:tcBorders>
              <w:top w:val="single" w:sz="4" w:space="0" w:color="auto"/>
            </w:tcBorders>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2,42 </w:t>
            </w:r>
          </w:p>
        </w:tc>
        <w:tc>
          <w:tcPr>
            <w:tcW w:w="989" w:type="dxa"/>
            <w:tcBorders>
              <w:top w:val="single" w:sz="4" w:space="0" w:color="auto"/>
            </w:tcBorders>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2,11 </w:t>
            </w:r>
          </w:p>
        </w:tc>
        <w:tc>
          <w:tcPr>
            <w:tcW w:w="962" w:type="dxa"/>
            <w:tcBorders>
              <w:top w:val="single" w:sz="4" w:space="0" w:color="auto"/>
            </w:tcBorders>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1,87 </w:t>
            </w:r>
          </w:p>
        </w:tc>
        <w:tc>
          <w:tcPr>
            <w:tcW w:w="924" w:type="dxa"/>
            <w:tcBorders>
              <w:top w:val="single" w:sz="4" w:space="0" w:color="auto"/>
            </w:tcBorders>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2,01  </w:t>
            </w:r>
          </w:p>
        </w:tc>
      </w:tr>
      <w:tr w:rsidR="00000000">
        <w:tblPrEx>
          <w:tblCellMar>
            <w:top w:w="0" w:type="dxa"/>
            <w:bottom w:w="0" w:type="dxa"/>
          </w:tblCellMar>
        </w:tblPrEx>
        <w:trPr>
          <w:jc w:val="center"/>
        </w:trPr>
        <w:tc>
          <w:tcPr>
            <w:tcW w:w="260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Alcoolisme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23,28 </w:t>
            </w:r>
          </w:p>
        </w:tc>
        <w:tc>
          <w:tcPr>
            <w:tcW w:w="1017"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25,29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25,81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21,50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18,52 </w:t>
            </w:r>
          </w:p>
        </w:tc>
        <w:tc>
          <w:tcPr>
            <w:tcW w:w="924"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19,82  </w:t>
            </w:r>
          </w:p>
        </w:tc>
      </w:tr>
      <w:tr w:rsidR="00000000">
        <w:tblPrEx>
          <w:tblCellMar>
            <w:top w:w="0" w:type="dxa"/>
            <w:bottom w:w="0" w:type="dxa"/>
          </w:tblCellMar>
        </w:tblPrEx>
        <w:trPr>
          <w:jc w:val="center"/>
        </w:trPr>
        <w:tc>
          <w:tcPr>
            <w:tcW w:w="260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Dépression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29,76 </w:t>
            </w:r>
          </w:p>
        </w:tc>
        <w:tc>
          <w:tcPr>
            <w:tcW w:w="1017"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31,89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38,65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31,78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31,12 </w:t>
            </w:r>
          </w:p>
        </w:tc>
        <w:tc>
          <w:tcPr>
            <w:tcW w:w="924"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32,03  </w:t>
            </w:r>
          </w:p>
        </w:tc>
      </w:tr>
      <w:tr w:rsidR="00000000">
        <w:tblPrEx>
          <w:tblCellMar>
            <w:top w:w="0" w:type="dxa"/>
            <w:bottom w:w="0" w:type="dxa"/>
          </w:tblCellMar>
        </w:tblPrEx>
        <w:trPr>
          <w:jc w:val="center"/>
        </w:trPr>
        <w:tc>
          <w:tcPr>
            <w:tcW w:w="260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Tentative de suicide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6,73 </w:t>
            </w:r>
          </w:p>
        </w:tc>
        <w:tc>
          <w:tcPr>
            <w:tcW w:w="1017"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7,75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8,80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9,96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9,09 </w:t>
            </w:r>
          </w:p>
        </w:tc>
        <w:tc>
          <w:tcPr>
            <w:tcW w:w="924"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9,89  </w:t>
            </w:r>
          </w:p>
        </w:tc>
      </w:tr>
      <w:tr w:rsidR="00000000">
        <w:tblPrEx>
          <w:tblCellMar>
            <w:top w:w="0" w:type="dxa"/>
            <w:bottom w:w="0" w:type="dxa"/>
          </w:tblCellMar>
        </w:tblPrEx>
        <w:trPr>
          <w:jc w:val="center"/>
        </w:trPr>
        <w:tc>
          <w:tcPr>
            <w:tcW w:w="260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Suicide consommé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0,70 </w:t>
            </w:r>
          </w:p>
        </w:tc>
        <w:tc>
          <w:tcPr>
            <w:tcW w:w="1017"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1,00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0,65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0,77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0,67 </w:t>
            </w:r>
          </w:p>
        </w:tc>
        <w:tc>
          <w:tcPr>
            <w:tcW w:w="924"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0,71  </w:t>
            </w:r>
          </w:p>
        </w:tc>
      </w:tr>
      <w:tr w:rsidR="00000000">
        <w:tblPrEx>
          <w:tblCellMar>
            <w:top w:w="0" w:type="dxa"/>
            <w:bottom w:w="0" w:type="dxa"/>
          </w:tblCellMar>
        </w:tblPrEx>
        <w:trPr>
          <w:jc w:val="center"/>
        </w:trPr>
        <w:tc>
          <w:tcPr>
            <w:tcW w:w="260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Violence et maltraitance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33,07 </w:t>
            </w:r>
          </w:p>
        </w:tc>
        <w:tc>
          <w:tcPr>
            <w:tcW w:w="1017"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35,12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27,91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33,63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35,28 </w:t>
            </w:r>
          </w:p>
        </w:tc>
        <w:tc>
          <w:tcPr>
            <w:tcW w:w="924"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34,02  </w:t>
            </w:r>
          </w:p>
        </w:tc>
      </w:tr>
      <w:tr w:rsidR="00000000">
        <w:tblPrEx>
          <w:tblCellMar>
            <w:top w:w="0" w:type="dxa"/>
            <w:bottom w:w="0" w:type="dxa"/>
          </w:tblCellMar>
        </w:tblPrEx>
        <w:trPr>
          <w:jc w:val="center"/>
        </w:trPr>
        <w:tc>
          <w:tcPr>
            <w:tcW w:w="260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Psychose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3,70 </w:t>
            </w:r>
          </w:p>
        </w:tc>
        <w:tc>
          <w:tcPr>
            <w:tcW w:w="1017"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3,72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5,48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5,58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4,21 </w:t>
            </w:r>
          </w:p>
        </w:tc>
        <w:tc>
          <w:tcPr>
            <w:tcW w:w="924"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4,77  </w:t>
            </w:r>
          </w:p>
        </w:tc>
      </w:tr>
      <w:tr w:rsidR="00000000">
        <w:tblPrEx>
          <w:tblCellMar>
            <w:top w:w="0" w:type="dxa"/>
            <w:bottom w:w="0" w:type="dxa"/>
          </w:tblCellMar>
        </w:tblPrEx>
        <w:trPr>
          <w:jc w:val="center"/>
        </w:trPr>
        <w:tc>
          <w:tcPr>
            <w:tcW w:w="260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Démence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0,98 </w:t>
            </w:r>
          </w:p>
        </w:tc>
        <w:tc>
          <w:tcPr>
            <w:tcW w:w="1017"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1,12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1,36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1,04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0,72 </w:t>
            </w:r>
          </w:p>
        </w:tc>
        <w:tc>
          <w:tcPr>
            <w:tcW w:w="924"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0,89  </w:t>
            </w:r>
          </w:p>
        </w:tc>
      </w:tr>
      <w:tr w:rsidR="00000000">
        <w:tblPrEx>
          <w:tblCellMar>
            <w:top w:w="0" w:type="dxa"/>
            <w:bottom w:w="0" w:type="dxa"/>
          </w:tblCellMar>
        </w:tblPrEx>
        <w:trPr>
          <w:jc w:val="center"/>
        </w:trPr>
        <w:tc>
          <w:tcPr>
            <w:tcW w:w="260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Retard mental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4,58 </w:t>
            </w:r>
          </w:p>
        </w:tc>
        <w:tc>
          <w:tcPr>
            <w:tcW w:w="1017"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4,66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5,75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4,49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4,67 </w:t>
            </w:r>
          </w:p>
        </w:tc>
        <w:tc>
          <w:tcPr>
            <w:tcW w:w="924"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4,87  </w:t>
            </w:r>
          </w:p>
        </w:tc>
      </w:tr>
      <w:tr w:rsidR="00000000">
        <w:tblPrEx>
          <w:tblCellMar>
            <w:top w:w="0" w:type="dxa"/>
            <w:bottom w:w="0" w:type="dxa"/>
          </w:tblCellMar>
        </w:tblPrEx>
        <w:trPr>
          <w:jc w:val="center"/>
        </w:trPr>
        <w:tc>
          <w:tcPr>
            <w:tcW w:w="2603"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Épilepsie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25,78 </w:t>
            </w:r>
          </w:p>
        </w:tc>
        <w:tc>
          <w:tcPr>
            <w:tcW w:w="1017"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29,90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33,43 </w:t>
            </w:r>
          </w:p>
        </w:tc>
        <w:tc>
          <w:tcPr>
            <w:tcW w:w="989"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23,07 </w:t>
            </w:r>
          </w:p>
        </w:tc>
        <w:tc>
          <w:tcPr>
            <w:tcW w:w="962"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23,24 </w:t>
            </w:r>
          </w:p>
        </w:tc>
        <w:tc>
          <w:tcPr>
            <w:tcW w:w="924" w:type="dxa"/>
          </w:tcPr>
          <w:p w:rsidR="00000000" w:rsidRDefault="00000000">
            <w:pPr>
              <w:tabs>
                <w:tab w:val="decimal" w:pos="444"/>
              </w:tabs>
              <w:autoSpaceDE w:val="0"/>
              <w:autoSpaceDN w:val="0"/>
              <w:adjustRightInd w:val="0"/>
              <w:spacing w:before="40" w:after="40"/>
              <w:rPr>
                <w:color w:val="000000"/>
                <w:sz w:val="20"/>
                <w:szCs w:val="22"/>
                <w:lang w:val="fr-FR"/>
              </w:rPr>
            </w:pPr>
            <w:r>
              <w:rPr>
                <w:color w:val="000000"/>
                <w:sz w:val="20"/>
                <w:szCs w:val="22"/>
                <w:lang w:val="fr-FR"/>
              </w:rPr>
              <w:t xml:space="preserve">23,22  </w:t>
            </w:r>
          </w:p>
        </w:tc>
      </w:tr>
    </w:tbl>
    <w:p w:rsidR="00000000" w:rsidRDefault="00000000">
      <w:pPr>
        <w:autoSpaceDE w:val="0"/>
        <w:autoSpaceDN w:val="0"/>
        <w:adjustRightInd w:val="0"/>
        <w:spacing w:before="80" w:after="40"/>
        <w:ind w:left="567"/>
        <w:rPr>
          <w:color w:val="000000"/>
          <w:sz w:val="20"/>
          <w:szCs w:val="22"/>
          <w:lang w:val="fr-FR"/>
        </w:rPr>
      </w:pPr>
      <w:r>
        <w:rPr>
          <w:i/>
          <w:iCs/>
          <w:color w:val="000000"/>
          <w:sz w:val="20"/>
          <w:szCs w:val="22"/>
          <w:lang w:val="fr-FR"/>
        </w:rPr>
        <w:t>Source :</w:t>
      </w:r>
      <w:r>
        <w:rPr>
          <w:color w:val="000000"/>
          <w:sz w:val="20"/>
          <w:szCs w:val="22"/>
          <w:lang w:val="fr-FR"/>
        </w:rPr>
        <w:t xml:space="preserve">  Direction nationale d'épidémiologie – Ministère de la santé, 1998-2000.  </w:t>
      </w:r>
    </w:p>
    <w:p w:rsidR="00000000" w:rsidRDefault="00000000">
      <w:pPr>
        <w:autoSpaceDE w:val="0"/>
        <w:autoSpaceDN w:val="0"/>
        <w:adjustRightInd w:val="0"/>
        <w:spacing w:after="240"/>
        <w:ind w:left="567"/>
        <w:rPr>
          <w:color w:val="000000"/>
          <w:sz w:val="20"/>
          <w:szCs w:val="22"/>
          <w:lang w:val="fr-FR"/>
        </w:rPr>
      </w:pPr>
      <w:r>
        <w:rPr>
          <w:i/>
          <w:iCs/>
          <w:color w:val="000000"/>
          <w:sz w:val="20"/>
          <w:szCs w:val="22"/>
          <w:lang w:val="fr-FR"/>
        </w:rPr>
        <w:t>Note :</w:t>
      </w:r>
      <w:r>
        <w:rPr>
          <w:color w:val="000000"/>
          <w:sz w:val="20"/>
          <w:szCs w:val="22"/>
          <w:lang w:val="fr-FR"/>
        </w:rPr>
        <w:t xml:space="preserve">  Taux pour 100.000 habitants.  </w:t>
      </w:r>
    </w:p>
    <w:p w:rsidR="00000000" w:rsidRDefault="00000000">
      <w:pPr>
        <w:spacing w:after="240"/>
        <w:rPr>
          <w:color w:val="000000"/>
          <w:lang w:val="fr-FR"/>
        </w:rPr>
      </w:pPr>
      <w:r>
        <w:rPr>
          <w:color w:val="000000"/>
          <w:lang w:val="fr-FR"/>
        </w:rPr>
        <w:t>383.</w:t>
      </w:r>
      <w:r>
        <w:rPr>
          <w:color w:val="000000"/>
          <w:lang w:val="fr-FR"/>
        </w:rPr>
        <w:tab/>
        <w:t>Il n’est pas facile, sur la base des rapports du système national de surveillance épidémiologique du Ministère de la santé et du travail des équipes de santé, d'identifier les problèmes de santé mentale.  On peut faire certaines observations :</w:t>
      </w:r>
    </w:p>
    <w:p w:rsidR="00000000" w:rsidRDefault="00000000">
      <w:pPr>
        <w:numPr>
          <w:ilvl w:val="0"/>
          <w:numId w:val="68"/>
        </w:numPr>
        <w:spacing w:after="240"/>
        <w:rPr>
          <w:color w:val="000000"/>
          <w:lang w:val="fr-FR"/>
        </w:rPr>
      </w:pPr>
      <w:r>
        <w:rPr>
          <w:color w:val="000000"/>
          <w:lang w:val="fr-FR"/>
        </w:rPr>
        <w:t>Le profil épidémiologique de la santé mentale en Équateur se caractérise par un accroissement constant des pathologies provoquées par des conflits psychosociaux tels que la violence sous toutes ses formes (violence à l'encontre des enfants et des femmes, homicides, bandes de jeunes), la dépression et le suicide, les troubles associés au stress, à l'alcoolisme et à la pharmacodépendance.</w:t>
      </w:r>
    </w:p>
    <w:p w:rsidR="00000000" w:rsidRDefault="00000000">
      <w:pPr>
        <w:numPr>
          <w:ilvl w:val="0"/>
          <w:numId w:val="68"/>
        </w:numPr>
        <w:spacing w:after="240"/>
        <w:rPr>
          <w:color w:val="000000"/>
          <w:lang w:val="fr-FR"/>
        </w:rPr>
      </w:pPr>
      <w:r>
        <w:rPr>
          <w:color w:val="000000"/>
          <w:lang w:val="fr-FR"/>
        </w:rPr>
        <w:t>Il y a une forte persistance des pathologies associées à des lésions organiques comme l'épilepsie ou le retard mental et un accroissement du nombre de démences.  Il y a prévalence, comparable à ce que l’on observe dans des conditions internationalement similaires, de maladies psychiatriques classiques : schizophrénie, psychoses affectives et autres psychoses.</w:t>
      </w:r>
    </w:p>
    <w:p w:rsidR="00000000" w:rsidRDefault="00000000">
      <w:pPr>
        <w:spacing w:after="240"/>
        <w:rPr>
          <w:color w:val="000000"/>
          <w:lang w:val="fr-FR"/>
        </w:rPr>
      </w:pPr>
      <w:r>
        <w:rPr>
          <w:color w:val="000000"/>
          <w:lang w:val="fr-FR"/>
        </w:rPr>
        <w:t>384.</w:t>
      </w:r>
      <w:r>
        <w:rPr>
          <w:color w:val="000000"/>
          <w:lang w:val="fr-FR"/>
        </w:rPr>
        <w:tab/>
        <w:t>Comme l'ont montré les études épidémiologiques, les profils santé-maladie sont toujours étroitement liés aux processus sociaux, de sorte qu'en période de crise sociale, politique et économique, l'appauvrissement de la population, l'instabilité politique, le chômage ont conjointement un lourd impact sur la santé de la population.  On peut donc en déduire que les changements survenus dans le pays au cours des dix dernières années, et en particulier au cours des deux dernières, ont gravement affecté la situation de la population et nuit à sa santé.  De ce fait, s'il y a actuellement une forte pénurie de ressources spécialisées et des insuffisances dans la formation des équipes de santé dans le secteur des soins primaires, la situation sera encore plus grave dans les années à venir.  Les organismes internationaux recommandent d'accroître pour l'an 2000 les effectifs du personnel spécialisé chargé des soins et du rétablissement en matière de santé mentale, car, vu les changements démographiques, le nombre total de cas de schizophrénie dans les catégories de la population à faible revenu va augmenter de 45 %, les troubles mentaux vont doubler et l'accroissement de la violence sociale aura des conséquences imprévisibles</w:t>
      </w:r>
      <w:r>
        <w:rPr>
          <w:rStyle w:val="FootnoteReference"/>
          <w:b/>
          <w:color w:val="000000"/>
          <w:lang w:val="fr-FR"/>
        </w:rPr>
        <w:footnoteReference w:id="53"/>
      </w:r>
      <w:r>
        <w:rPr>
          <w:color w:val="000000"/>
          <w:lang w:val="fr-FR"/>
        </w:rPr>
        <w:t>.</w:t>
      </w:r>
    </w:p>
    <w:p w:rsidR="00000000" w:rsidRDefault="00000000">
      <w:pPr>
        <w:spacing w:after="240"/>
        <w:rPr>
          <w:color w:val="000000"/>
          <w:lang w:val="fr-FR"/>
        </w:rPr>
      </w:pPr>
      <w:r>
        <w:rPr>
          <w:b/>
          <w:color w:val="000000"/>
          <w:lang w:val="fr-FR"/>
        </w:rPr>
        <w:t>Soins de santé primaires</w:t>
      </w:r>
    </w:p>
    <w:p w:rsidR="00000000" w:rsidRDefault="00000000">
      <w:pPr>
        <w:spacing w:after="240"/>
        <w:rPr>
          <w:color w:val="000000"/>
          <w:lang w:val="fr-FR"/>
        </w:rPr>
      </w:pPr>
      <w:r>
        <w:rPr>
          <w:color w:val="000000"/>
          <w:lang w:val="fr-FR"/>
        </w:rPr>
        <w:t>385.</w:t>
      </w:r>
      <w:r>
        <w:rPr>
          <w:color w:val="000000"/>
          <w:lang w:val="fr-FR"/>
        </w:rPr>
        <w:tab/>
        <w:t>Le Ministère de la santé considère la santé comme la base du développement humain durable et, par conséquent, comme une priorité du gouvernement.  La santé est du domaine de la responsabilité publique, de même qu'un droit ou un devoir du citoyen; elle doit être perçue dans une perspective intégrée, comme la résultante d'actions intersectorielles touchant la promotion et l'attention médicale, conformément aux principes d'équité, d'universalité, de solidarité et de qualité.</w:t>
      </w:r>
    </w:p>
    <w:p w:rsidR="00000000" w:rsidRDefault="00000000">
      <w:pPr>
        <w:spacing w:after="240"/>
        <w:rPr>
          <w:color w:val="000000"/>
          <w:lang w:val="fr-FR"/>
        </w:rPr>
      </w:pPr>
      <w:r>
        <w:rPr>
          <w:color w:val="000000"/>
          <w:lang w:val="fr-FR"/>
        </w:rPr>
        <w:t>386.</w:t>
      </w:r>
      <w:r>
        <w:rPr>
          <w:color w:val="000000"/>
          <w:lang w:val="fr-FR"/>
        </w:rPr>
        <w:tab/>
        <w:t>La vision d'une société en bonne santé est celle d'une société où toutes les personnes, sans aucune discrimination, jouissent du bien-être physique, psychique et social, vivent dans un milieu familial et social propice à leur épanouissement et dans un environnement non pollué, bénéficient d’une alimentation et d’une nutrition adéquates et ont accès à la communication et à l'éducation en matière de santé et à des services médicaux de qualité.</w:t>
      </w:r>
    </w:p>
    <w:p w:rsidR="00000000" w:rsidRDefault="00000000">
      <w:pPr>
        <w:spacing w:after="240"/>
        <w:rPr>
          <w:color w:val="000000"/>
          <w:lang w:val="fr-FR"/>
        </w:rPr>
      </w:pPr>
      <w:r>
        <w:rPr>
          <w:color w:val="000000"/>
          <w:lang w:val="fr-FR"/>
        </w:rPr>
        <w:br w:type="page"/>
        <w:t>387.</w:t>
      </w:r>
      <w:r>
        <w:rPr>
          <w:color w:val="000000"/>
          <w:lang w:val="fr-FR"/>
        </w:rPr>
        <w:tab/>
        <w:t>Pour atteindre les objectifs susmentionnés, diverses stratégies sont proposées :</w:t>
      </w:r>
    </w:p>
    <w:p w:rsidR="00000000" w:rsidRDefault="00000000">
      <w:pPr>
        <w:numPr>
          <w:ilvl w:val="0"/>
          <w:numId w:val="70"/>
        </w:numPr>
        <w:spacing w:after="240"/>
        <w:rPr>
          <w:color w:val="000000"/>
          <w:lang w:val="fr-FR"/>
        </w:rPr>
      </w:pPr>
      <w:r>
        <w:rPr>
          <w:color w:val="000000"/>
          <w:lang w:val="fr-FR"/>
        </w:rPr>
        <w:t>Valorisation politique du social et de la santé, et leur intégration à la stratégie générale de développement économique et social du pays;</w:t>
      </w:r>
    </w:p>
    <w:p w:rsidR="00000000" w:rsidRDefault="00000000">
      <w:pPr>
        <w:numPr>
          <w:ilvl w:val="0"/>
          <w:numId w:val="70"/>
        </w:numPr>
        <w:spacing w:after="240"/>
        <w:rPr>
          <w:color w:val="000000"/>
          <w:lang w:val="fr-FR"/>
        </w:rPr>
      </w:pPr>
      <w:r>
        <w:rPr>
          <w:color w:val="000000"/>
          <w:lang w:val="fr-FR"/>
        </w:rPr>
        <w:t>Promotion des processus de réforme du secteur de la santé, en tenant compte des politiques qui ont fait l’objet d’un consensus et des propositions qui se sont avérées techniquement et financièrement viables;</w:t>
      </w:r>
    </w:p>
    <w:p w:rsidR="00000000" w:rsidRDefault="00000000">
      <w:pPr>
        <w:numPr>
          <w:ilvl w:val="0"/>
          <w:numId w:val="70"/>
        </w:numPr>
        <w:spacing w:after="240"/>
        <w:ind w:right="-307"/>
        <w:rPr>
          <w:color w:val="000000"/>
          <w:lang w:val="fr-FR"/>
        </w:rPr>
      </w:pPr>
      <w:r>
        <w:rPr>
          <w:color w:val="000000"/>
          <w:lang w:val="fr-FR"/>
        </w:rPr>
        <w:t>Renforcement du nouveau rôle moteur de l’État, qui encourage les modèles de santé qui tendent à intégrer la promotion aux soins médicaux à tous les niveaux ― personnel, familial et communautaire ― et qui sont viables des point de vue social, politique et économique;</w:t>
      </w:r>
    </w:p>
    <w:p w:rsidR="00000000" w:rsidRDefault="00000000">
      <w:pPr>
        <w:numPr>
          <w:ilvl w:val="0"/>
          <w:numId w:val="70"/>
        </w:numPr>
        <w:spacing w:after="240"/>
        <w:rPr>
          <w:color w:val="000000"/>
          <w:lang w:val="fr-FR"/>
        </w:rPr>
      </w:pPr>
      <w:r>
        <w:rPr>
          <w:color w:val="000000"/>
          <w:lang w:val="fr-FR"/>
        </w:rPr>
        <w:t>Gestion décentralisée, déconcentrée et participative;</w:t>
      </w:r>
    </w:p>
    <w:p w:rsidR="00000000" w:rsidRDefault="00000000">
      <w:pPr>
        <w:numPr>
          <w:ilvl w:val="0"/>
          <w:numId w:val="70"/>
        </w:numPr>
        <w:spacing w:after="240"/>
        <w:rPr>
          <w:color w:val="000000"/>
          <w:lang w:val="fr-FR"/>
        </w:rPr>
      </w:pPr>
      <w:r>
        <w:rPr>
          <w:color w:val="000000"/>
          <w:lang w:val="fr-FR"/>
        </w:rPr>
        <w:t>Organisation du Système national de santé qui permet d'optimiser les efforts et les ressources en vue d'améliorer la couverture et la qualité des services.</w:t>
      </w:r>
    </w:p>
    <w:p w:rsidR="00000000" w:rsidRDefault="00000000">
      <w:pPr>
        <w:spacing w:after="240"/>
        <w:rPr>
          <w:color w:val="000000"/>
          <w:lang w:val="fr-FR"/>
        </w:rPr>
      </w:pPr>
      <w:r>
        <w:rPr>
          <w:i/>
          <w:color w:val="000000"/>
          <w:lang w:val="fr-FR"/>
        </w:rPr>
        <w:t>Budget de la santé</w:t>
      </w:r>
    </w:p>
    <w:p w:rsidR="00000000" w:rsidRDefault="00000000">
      <w:pPr>
        <w:spacing w:after="240"/>
        <w:rPr>
          <w:color w:val="000000"/>
          <w:lang w:val="fr-FR"/>
        </w:rPr>
      </w:pPr>
      <w:r>
        <w:rPr>
          <w:color w:val="000000"/>
          <w:lang w:val="fr-FR"/>
        </w:rPr>
        <w:t>388.</w:t>
      </w:r>
      <w:r>
        <w:rPr>
          <w:color w:val="000000"/>
          <w:lang w:val="fr-FR"/>
        </w:rPr>
        <w:tab/>
        <w:t>Le budget de la santé a toujours été insuffisant par rapport aux besoins, et on observe une certaine stagnation, voire une baisse, au cours de la dernière décennie.</w:t>
      </w:r>
    </w:p>
    <w:p w:rsidR="00000000" w:rsidRDefault="00000000">
      <w:pPr>
        <w:pStyle w:val="BodyText"/>
        <w:spacing w:after="240"/>
        <w:jc w:val="left"/>
        <w:rPr>
          <w:u w:val="none"/>
          <w:lang w:val="fr-FR"/>
        </w:rPr>
      </w:pPr>
      <w:r>
        <w:rPr>
          <w:u w:val="none"/>
          <w:lang w:val="fr-FR"/>
        </w:rPr>
        <w:t>389.</w:t>
      </w:r>
      <w:r>
        <w:rPr>
          <w:u w:val="none"/>
          <w:lang w:val="fr-FR"/>
        </w:rPr>
        <w:tab/>
        <w:t>Les ressources du budget général de l’État allouées au secteur de la santé ont atteint 972 400 000 000 de sucres en 1998, soit 4,71 % des dépenses totales et 0,91 % du PIB.  Les crédits de la santé n’ont donc même pas atteint 1 % du PIB, ce qui montre clairement que pour les gouvernements, les fonds consacrés à ce secteur restent considérés comme des dépenses, plutôt que comme un investissement, ce qui revient à oublier qu'un peuple sain est un peuple productif et que l'accroissement de la production est ce qui permettra un développement soutenu de l'économie nationale et, par suite, un progrès pour tous les Équatoriens.</w:t>
      </w:r>
    </w:p>
    <w:p w:rsidR="00000000" w:rsidRDefault="00000000">
      <w:pPr>
        <w:spacing w:after="480"/>
        <w:rPr>
          <w:iCs/>
          <w:color w:val="000000"/>
          <w:lang w:val="fr-FR"/>
        </w:rPr>
      </w:pPr>
      <w:r>
        <w:rPr>
          <w:iCs/>
          <w:color w:val="000000"/>
          <w:lang w:val="fr-FR"/>
        </w:rPr>
        <w:t>390.</w:t>
      </w:r>
      <w:r>
        <w:rPr>
          <w:iCs/>
          <w:color w:val="000000"/>
          <w:lang w:val="fr-FR"/>
        </w:rPr>
        <w:tab/>
        <w:t>Au cours de la période 1990-1998, la part des dépenses de santé dans le PIB a diminué, passant de 1,20 % en 1997 à 0,91 % en 1998, de même que leur part dans le budget total (sauf en 1996), qui est tombée de 8,16 % à 4,71 %.</w:t>
      </w:r>
    </w:p>
    <w:p w:rsidR="00000000" w:rsidRDefault="00000000">
      <w:pPr>
        <w:autoSpaceDE w:val="0"/>
        <w:autoSpaceDN w:val="0"/>
        <w:adjustRightInd w:val="0"/>
        <w:jc w:val="center"/>
        <w:rPr>
          <w:b/>
          <w:bCs/>
          <w:color w:val="000000"/>
          <w:sz w:val="20"/>
          <w:szCs w:val="22"/>
          <w:lang w:val="fr-FR"/>
        </w:rPr>
      </w:pPr>
      <w:r>
        <w:rPr>
          <w:b/>
          <w:bCs/>
          <w:color w:val="000000"/>
          <w:sz w:val="20"/>
          <w:szCs w:val="22"/>
          <w:lang w:val="fr-FR"/>
        </w:rPr>
        <w:t xml:space="preserve">Dépenses effectives consacrées au secteur de la santé, 1990-1998 </w:t>
      </w:r>
    </w:p>
    <w:p w:rsidR="00000000" w:rsidRDefault="00000000">
      <w:pPr>
        <w:autoSpaceDE w:val="0"/>
        <w:autoSpaceDN w:val="0"/>
        <w:adjustRightInd w:val="0"/>
        <w:spacing w:after="80"/>
        <w:jc w:val="center"/>
        <w:rPr>
          <w:i/>
          <w:iCs/>
          <w:color w:val="000000"/>
          <w:sz w:val="20"/>
          <w:szCs w:val="22"/>
          <w:lang w:val="fr-FR"/>
        </w:rPr>
      </w:pPr>
      <w:r>
        <w:rPr>
          <w:i/>
          <w:iCs/>
          <w:color w:val="000000"/>
          <w:sz w:val="20"/>
          <w:szCs w:val="22"/>
          <w:lang w:val="fr-FR"/>
        </w:rPr>
        <w:t xml:space="preserve">(En milliards de sucres, en pourcentage du PIB)  </w:t>
      </w:r>
    </w:p>
    <w:tbl>
      <w:tblPr>
        <w:tblW w:w="924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351"/>
        <w:gridCol w:w="714"/>
        <w:gridCol w:w="764"/>
        <w:gridCol w:w="764"/>
        <w:gridCol w:w="739"/>
        <w:gridCol w:w="739"/>
        <w:gridCol w:w="790"/>
        <w:gridCol w:w="788"/>
        <w:gridCol w:w="788"/>
        <w:gridCol w:w="805"/>
      </w:tblGrid>
      <w:tr w:rsidR="00000000">
        <w:tblPrEx>
          <w:tblCellMar>
            <w:top w:w="0" w:type="dxa"/>
            <w:bottom w:w="0" w:type="dxa"/>
          </w:tblCellMar>
        </w:tblPrEx>
        <w:trPr>
          <w:jc w:val="center"/>
        </w:trPr>
        <w:tc>
          <w:tcPr>
            <w:tcW w:w="2149"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Secteur de la santé</w:t>
            </w:r>
          </w:p>
        </w:tc>
        <w:tc>
          <w:tcPr>
            <w:tcW w:w="653"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1990</w:t>
            </w:r>
          </w:p>
        </w:tc>
        <w:tc>
          <w:tcPr>
            <w:tcW w:w="698"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1991</w:t>
            </w:r>
          </w:p>
        </w:tc>
        <w:tc>
          <w:tcPr>
            <w:tcW w:w="698"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1992</w:t>
            </w:r>
          </w:p>
        </w:tc>
        <w:tc>
          <w:tcPr>
            <w:tcW w:w="675"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1993</w:t>
            </w:r>
          </w:p>
        </w:tc>
        <w:tc>
          <w:tcPr>
            <w:tcW w:w="675"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1994</w:t>
            </w:r>
          </w:p>
        </w:tc>
        <w:tc>
          <w:tcPr>
            <w:tcW w:w="722"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1995</w:t>
            </w:r>
          </w:p>
        </w:tc>
        <w:tc>
          <w:tcPr>
            <w:tcW w:w="72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1996*</w:t>
            </w:r>
          </w:p>
        </w:tc>
        <w:tc>
          <w:tcPr>
            <w:tcW w:w="720"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1997*</w:t>
            </w:r>
          </w:p>
        </w:tc>
        <w:tc>
          <w:tcPr>
            <w:tcW w:w="736" w:type="dxa"/>
            <w:tcBorders>
              <w:top w:val="single" w:sz="4" w:space="0" w:color="auto"/>
              <w:bottom w:val="single" w:sz="4" w:space="0" w:color="auto"/>
            </w:tcBorders>
            <w:vAlign w:val="center"/>
          </w:tcPr>
          <w:p w:rsidR="00000000" w:rsidRDefault="00000000">
            <w:pPr>
              <w:autoSpaceDE w:val="0"/>
              <w:autoSpaceDN w:val="0"/>
              <w:adjustRightInd w:val="0"/>
              <w:spacing w:before="80" w:after="80"/>
              <w:jc w:val="center"/>
              <w:rPr>
                <w:b/>
                <w:bCs/>
                <w:i/>
                <w:iCs/>
                <w:color w:val="000000"/>
                <w:sz w:val="20"/>
                <w:szCs w:val="22"/>
                <w:lang w:val="fr-FR"/>
              </w:rPr>
            </w:pPr>
            <w:r>
              <w:rPr>
                <w:b/>
                <w:bCs/>
                <w:i/>
                <w:iCs/>
                <w:color w:val="000000"/>
                <w:sz w:val="20"/>
                <w:szCs w:val="22"/>
                <w:lang w:val="fr-FR"/>
              </w:rPr>
              <w:t>1998*</w:t>
            </w:r>
          </w:p>
        </w:tc>
      </w:tr>
      <w:tr w:rsidR="00000000">
        <w:tblPrEx>
          <w:tblCellMar>
            <w:top w:w="0" w:type="dxa"/>
            <w:bottom w:w="0" w:type="dxa"/>
          </w:tblCellMar>
        </w:tblPrEx>
        <w:trPr>
          <w:jc w:val="center"/>
        </w:trPr>
        <w:tc>
          <w:tcPr>
            <w:tcW w:w="2149" w:type="dxa"/>
            <w:tcBorders>
              <w:top w:val="single" w:sz="4" w:space="0" w:color="auto"/>
            </w:tcBorders>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Sucres </w:t>
            </w:r>
          </w:p>
        </w:tc>
        <w:tc>
          <w:tcPr>
            <w:tcW w:w="653" w:type="dxa"/>
            <w:tcBorders>
              <w:top w:val="single" w:sz="4" w:space="0" w:color="auto"/>
            </w:tcBorders>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98,5 </w:t>
            </w:r>
          </w:p>
        </w:tc>
        <w:tc>
          <w:tcPr>
            <w:tcW w:w="698" w:type="dxa"/>
            <w:tcBorders>
              <w:top w:val="single" w:sz="4" w:space="0" w:color="auto"/>
            </w:tcBorders>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110,0 </w:t>
            </w:r>
          </w:p>
        </w:tc>
        <w:tc>
          <w:tcPr>
            <w:tcW w:w="698" w:type="dxa"/>
            <w:tcBorders>
              <w:top w:val="single" w:sz="4" w:space="0" w:color="auto"/>
            </w:tcBorders>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200,4 </w:t>
            </w:r>
          </w:p>
        </w:tc>
        <w:tc>
          <w:tcPr>
            <w:tcW w:w="675" w:type="dxa"/>
            <w:tcBorders>
              <w:top w:val="single" w:sz="4" w:space="0" w:color="auto"/>
            </w:tcBorders>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207,3 </w:t>
            </w:r>
          </w:p>
        </w:tc>
        <w:tc>
          <w:tcPr>
            <w:tcW w:w="675" w:type="dxa"/>
            <w:tcBorders>
              <w:top w:val="single" w:sz="4" w:space="0" w:color="auto"/>
            </w:tcBorders>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279,2 </w:t>
            </w:r>
          </w:p>
        </w:tc>
        <w:tc>
          <w:tcPr>
            <w:tcW w:w="722" w:type="dxa"/>
            <w:tcBorders>
              <w:top w:val="single" w:sz="4" w:space="0" w:color="auto"/>
            </w:tcBorders>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497,2 </w:t>
            </w:r>
          </w:p>
        </w:tc>
        <w:tc>
          <w:tcPr>
            <w:tcW w:w="720" w:type="dxa"/>
            <w:tcBorders>
              <w:top w:val="single" w:sz="4" w:space="0" w:color="auto"/>
            </w:tcBorders>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627,6 </w:t>
            </w:r>
          </w:p>
        </w:tc>
        <w:tc>
          <w:tcPr>
            <w:tcW w:w="720" w:type="dxa"/>
            <w:tcBorders>
              <w:top w:val="single" w:sz="4" w:space="0" w:color="auto"/>
            </w:tcBorders>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735,4 </w:t>
            </w:r>
          </w:p>
        </w:tc>
        <w:tc>
          <w:tcPr>
            <w:tcW w:w="736" w:type="dxa"/>
            <w:tcBorders>
              <w:top w:val="single" w:sz="4" w:space="0" w:color="auto"/>
            </w:tcBorders>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972,4  </w:t>
            </w:r>
          </w:p>
        </w:tc>
      </w:tr>
      <w:tr w:rsidR="00000000">
        <w:tblPrEx>
          <w:tblCellMar>
            <w:top w:w="0" w:type="dxa"/>
            <w:bottom w:w="0" w:type="dxa"/>
          </w:tblCellMar>
        </w:tblPrEx>
        <w:trPr>
          <w:jc w:val="center"/>
        </w:trPr>
        <w:tc>
          <w:tcPr>
            <w:tcW w:w="2149"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Pourcentage du PIB </w:t>
            </w:r>
          </w:p>
        </w:tc>
        <w:tc>
          <w:tcPr>
            <w:tcW w:w="653" w:type="dxa"/>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1,20 </w:t>
            </w:r>
          </w:p>
        </w:tc>
        <w:tc>
          <w:tcPr>
            <w:tcW w:w="698" w:type="dxa"/>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0,89 </w:t>
            </w:r>
          </w:p>
        </w:tc>
        <w:tc>
          <w:tcPr>
            <w:tcW w:w="698" w:type="dxa"/>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1,03 </w:t>
            </w:r>
          </w:p>
        </w:tc>
        <w:tc>
          <w:tcPr>
            <w:tcW w:w="675" w:type="dxa"/>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0,76 </w:t>
            </w:r>
          </w:p>
        </w:tc>
        <w:tc>
          <w:tcPr>
            <w:tcW w:w="675" w:type="dxa"/>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0,77 </w:t>
            </w:r>
          </w:p>
        </w:tc>
        <w:tc>
          <w:tcPr>
            <w:tcW w:w="722" w:type="dxa"/>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1,08 </w:t>
            </w:r>
          </w:p>
        </w:tc>
        <w:tc>
          <w:tcPr>
            <w:tcW w:w="720" w:type="dxa"/>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1,03 </w:t>
            </w:r>
          </w:p>
        </w:tc>
        <w:tc>
          <w:tcPr>
            <w:tcW w:w="720" w:type="dxa"/>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0,93 </w:t>
            </w:r>
          </w:p>
        </w:tc>
        <w:tc>
          <w:tcPr>
            <w:tcW w:w="736" w:type="dxa"/>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0,91  </w:t>
            </w:r>
          </w:p>
        </w:tc>
      </w:tr>
      <w:tr w:rsidR="00000000">
        <w:tblPrEx>
          <w:tblCellMar>
            <w:top w:w="0" w:type="dxa"/>
            <w:bottom w:w="0" w:type="dxa"/>
          </w:tblCellMar>
        </w:tblPrEx>
        <w:trPr>
          <w:jc w:val="center"/>
        </w:trPr>
        <w:tc>
          <w:tcPr>
            <w:tcW w:w="2149" w:type="dxa"/>
            <w:vAlign w:val="center"/>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Pourcentage des dépenses budgétaires totales </w:t>
            </w:r>
          </w:p>
        </w:tc>
        <w:tc>
          <w:tcPr>
            <w:tcW w:w="653" w:type="dxa"/>
            <w:vAlign w:val="center"/>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8,16 </w:t>
            </w:r>
          </w:p>
        </w:tc>
        <w:tc>
          <w:tcPr>
            <w:tcW w:w="698" w:type="dxa"/>
            <w:vAlign w:val="center"/>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6,69 </w:t>
            </w:r>
          </w:p>
        </w:tc>
        <w:tc>
          <w:tcPr>
            <w:tcW w:w="698" w:type="dxa"/>
            <w:vAlign w:val="center"/>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7,87 </w:t>
            </w:r>
          </w:p>
        </w:tc>
        <w:tc>
          <w:tcPr>
            <w:tcW w:w="675" w:type="dxa"/>
            <w:vAlign w:val="center"/>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5,51 </w:t>
            </w:r>
          </w:p>
        </w:tc>
        <w:tc>
          <w:tcPr>
            <w:tcW w:w="675" w:type="dxa"/>
            <w:vAlign w:val="center"/>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5,05 </w:t>
            </w:r>
          </w:p>
        </w:tc>
        <w:tc>
          <w:tcPr>
            <w:tcW w:w="722" w:type="dxa"/>
            <w:vAlign w:val="center"/>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5,88 </w:t>
            </w:r>
          </w:p>
        </w:tc>
        <w:tc>
          <w:tcPr>
            <w:tcW w:w="720" w:type="dxa"/>
            <w:vAlign w:val="center"/>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7,62 </w:t>
            </w:r>
          </w:p>
        </w:tc>
        <w:tc>
          <w:tcPr>
            <w:tcW w:w="720" w:type="dxa"/>
            <w:vAlign w:val="center"/>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7,44 </w:t>
            </w:r>
          </w:p>
        </w:tc>
        <w:tc>
          <w:tcPr>
            <w:tcW w:w="736" w:type="dxa"/>
            <w:vAlign w:val="center"/>
          </w:tcPr>
          <w:p w:rsidR="00000000" w:rsidRDefault="00000000">
            <w:pPr>
              <w:tabs>
                <w:tab w:val="decimal" w:pos="374"/>
              </w:tabs>
              <w:autoSpaceDE w:val="0"/>
              <w:autoSpaceDN w:val="0"/>
              <w:adjustRightInd w:val="0"/>
              <w:spacing w:before="60" w:after="60"/>
              <w:rPr>
                <w:color w:val="000000"/>
                <w:sz w:val="20"/>
                <w:szCs w:val="22"/>
                <w:lang w:val="fr-FR"/>
              </w:rPr>
            </w:pPr>
            <w:r>
              <w:rPr>
                <w:color w:val="000000"/>
                <w:sz w:val="20"/>
                <w:szCs w:val="22"/>
                <w:lang w:val="fr-FR"/>
              </w:rPr>
              <w:t xml:space="preserve">4,71  </w:t>
            </w:r>
          </w:p>
        </w:tc>
      </w:tr>
    </w:tbl>
    <w:p w:rsidR="00000000" w:rsidRDefault="00000000">
      <w:pPr>
        <w:spacing w:before="80" w:after="40"/>
        <w:ind w:left="360"/>
        <w:rPr>
          <w:color w:val="000000"/>
          <w:sz w:val="20"/>
          <w:szCs w:val="22"/>
          <w:lang w:val="fr-FR"/>
        </w:rPr>
      </w:pPr>
      <w:r>
        <w:rPr>
          <w:i/>
          <w:iCs/>
          <w:color w:val="000000"/>
          <w:sz w:val="20"/>
          <w:szCs w:val="22"/>
          <w:lang w:val="fr-FR"/>
        </w:rPr>
        <w:t xml:space="preserve">Source :  </w:t>
      </w:r>
      <w:r>
        <w:rPr>
          <w:color w:val="000000"/>
          <w:sz w:val="20"/>
          <w:szCs w:val="22"/>
          <w:lang w:val="fr-FR"/>
        </w:rPr>
        <w:t>Ministère des finances et du crédit public.</w:t>
      </w:r>
    </w:p>
    <w:p w:rsidR="00000000" w:rsidRDefault="00000000">
      <w:pPr>
        <w:spacing w:after="240"/>
        <w:ind w:left="360"/>
        <w:rPr>
          <w:color w:val="000000"/>
          <w:sz w:val="20"/>
          <w:szCs w:val="22"/>
          <w:lang w:val="fr-FR"/>
        </w:rPr>
      </w:pPr>
      <w:r>
        <w:rPr>
          <w:color w:val="000000"/>
          <w:sz w:val="20"/>
          <w:szCs w:val="22"/>
          <w:lang w:val="fr-FR"/>
        </w:rPr>
        <w:t>* Données provisoires.</w:t>
      </w:r>
    </w:p>
    <w:p w:rsidR="00000000" w:rsidRDefault="00000000">
      <w:pPr>
        <w:spacing w:after="240"/>
        <w:rPr>
          <w:iCs/>
          <w:color w:val="000000"/>
          <w:lang w:val="fr-FR"/>
        </w:rPr>
      </w:pPr>
      <w:r>
        <w:rPr>
          <w:iCs/>
          <w:color w:val="000000"/>
          <w:lang w:val="fr-FR"/>
        </w:rPr>
        <w:t>391.</w:t>
      </w:r>
      <w:r>
        <w:rPr>
          <w:iCs/>
          <w:color w:val="000000"/>
          <w:lang w:val="fr-FR"/>
        </w:rPr>
        <w:tab/>
        <w:t>Lorsqu’on examine plus en détail l’évolution des dépenses de l’État dans les différents secteurs au cours des deux derniers semestres de 2002, on note à nouveau une diminution dans l'éducation, la santé et des travaux publics.  L'investissement public dans la voirie, s'ajoutant au bon fonctionnement de la majeure partie des concessions routières dans le pays, a permis de restaurer une bonne partie du réseau routier qui se trouvait en très mauvais état.  Cela permettra de réduire les dépenses dans les travaux publics et aura un important impact politique.  Toutefois, l'essentiel des dépenses consacrées à l'éducation et à la santé est absorbé par les rémunérations, et la réduction de ces dépenses traduit surtout des retards dans le versement de ces rémunérations.  Cette situation est insoutenable à terme et ne peut que déboucher sur une intensification des conflits sociaux.</w:t>
      </w:r>
    </w:p>
    <w:p w:rsidR="00000000" w:rsidRDefault="00000000">
      <w:pPr>
        <w:spacing w:after="240"/>
        <w:rPr>
          <w:iCs/>
          <w:color w:val="000000"/>
          <w:lang w:val="fr-FR"/>
        </w:rPr>
      </w:pPr>
      <w:r>
        <w:rPr>
          <w:i/>
          <w:iCs/>
          <w:color w:val="000000"/>
          <w:lang w:val="fr-FR"/>
        </w:rPr>
        <w:t>Taux de mortalité infantile</w:t>
      </w:r>
    </w:p>
    <w:p w:rsidR="00000000" w:rsidRDefault="00000000">
      <w:pPr>
        <w:spacing w:after="240"/>
        <w:rPr>
          <w:iCs/>
          <w:color w:val="000000"/>
          <w:lang w:val="fr-FR"/>
        </w:rPr>
      </w:pPr>
      <w:r>
        <w:rPr>
          <w:iCs/>
          <w:color w:val="000000"/>
          <w:lang w:val="fr-FR"/>
        </w:rPr>
        <w:t>392.</w:t>
      </w:r>
      <w:r>
        <w:rPr>
          <w:iCs/>
          <w:color w:val="000000"/>
          <w:lang w:val="fr-FR"/>
        </w:rPr>
        <w:tab/>
        <w:t>L'enquête ENDEMAIN-94 révèle une tendance à la baisse de la mortalité infantile en Équateur; lorsqu'on compare les résultats de l'enquête ENDESA-87, qui établissait à 58 pour 1000 le taux de mortalité pour la période quinquennale 1982-1987, et l'enquête ENDEMAIN-94, où ce taux était de 40 pour 1000, on note une réduction du taux de mortalité infantile, bien que ce taux reste élevé.  Les statistiques montrent que la moyenne des décès infantiles pour 1000 naissances vivantes a diminué de 31 % en sept ans</w:t>
      </w:r>
      <w:r>
        <w:rPr>
          <w:rStyle w:val="FootnoteReference"/>
          <w:b/>
          <w:iCs/>
          <w:color w:val="000000"/>
          <w:lang w:val="fr-FR"/>
        </w:rPr>
        <w:footnoteReference w:id="54"/>
      </w:r>
      <w:r>
        <w:rPr>
          <w:iCs/>
          <w:color w:val="000000"/>
          <w:lang w:val="fr-FR"/>
        </w:rPr>
        <w:t>.</w:t>
      </w:r>
    </w:p>
    <w:p w:rsidR="00000000" w:rsidRDefault="00000000">
      <w:pPr>
        <w:spacing w:after="240"/>
        <w:rPr>
          <w:iCs/>
          <w:color w:val="000000"/>
          <w:lang w:val="fr-FR"/>
        </w:rPr>
      </w:pPr>
      <w:r>
        <w:rPr>
          <w:iCs/>
          <w:color w:val="000000"/>
          <w:lang w:val="fr-FR"/>
        </w:rPr>
        <w:t>393.</w:t>
      </w:r>
      <w:r>
        <w:rPr>
          <w:iCs/>
          <w:color w:val="000000"/>
          <w:lang w:val="fr-FR"/>
        </w:rPr>
        <w:tab/>
        <w:t>D'après l'enquête ENDEMAIN-99, la mortalité infantile en Équateur est de 30 pour 1000 naissances en 1999 : la mortalité infantile urbaine est de 22 pour 1000 naissances vivantes, soit un peu plus de la moitié de la mortalité infantile rurale (40 pour 1000).</w:t>
      </w:r>
    </w:p>
    <w:p w:rsidR="00000000" w:rsidRDefault="00000000">
      <w:pPr>
        <w:spacing w:after="240"/>
        <w:rPr>
          <w:iCs/>
          <w:color w:val="000000"/>
          <w:lang w:val="fr-FR"/>
        </w:rPr>
      </w:pPr>
      <w:r>
        <w:rPr>
          <w:iCs/>
          <w:color w:val="000000"/>
          <w:lang w:val="fr-FR"/>
        </w:rPr>
        <w:t>394.</w:t>
      </w:r>
      <w:r>
        <w:rPr>
          <w:iCs/>
          <w:color w:val="000000"/>
          <w:lang w:val="fr-FR"/>
        </w:rPr>
        <w:tab/>
        <w:t>En 2000, cette mortalité a diminué, passant, selon la Division de statistiques du Ministère de la santé, à 27 pour 1000 naissances vivantes; il convient de noter que dans cette statistique n'ont pas été incluses les inscriptions tardives de naissances vivantes.</w:t>
      </w:r>
    </w:p>
    <w:p w:rsidR="00000000" w:rsidRDefault="00000000">
      <w:pPr>
        <w:spacing w:after="240"/>
        <w:rPr>
          <w:iCs/>
          <w:color w:val="000000"/>
          <w:lang w:val="fr-FR"/>
        </w:rPr>
      </w:pPr>
      <w:r>
        <w:rPr>
          <w:iCs/>
          <w:color w:val="000000"/>
          <w:lang w:val="fr-FR"/>
        </w:rPr>
        <w:t>395.</w:t>
      </w:r>
      <w:r>
        <w:rPr>
          <w:iCs/>
          <w:color w:val="000000"/>
          <w:lang w:val="fr-FR"/>
        </w:rPr>
        <w:tab/>
        <w:t>La concentration de la mortalité infantile urbaine, 68 % de mortalité néonatale comparée à 60 % dans le secteur rural, est influencée par la différence de degré de développement dans chacun de ces contextes.</w:t>
      </w:r>
    </w:p>
    <w:p w:rsidR="00000000" w:rsidRDefault="00000000">
      <w:pPr>
        <w:spacing w:after="240"/>
        <w:rPr>
          <w:iCs/>
          <w:color w:val="000000"/>
          <w:lang w:val="fr-FR"/>
        </w:rPr>
      </w:pPr>
      <w:r>
        <w:rPr>
          <w:iCs/>
          <w:color w:val="000000"/>
          <w:lang w:val="fr-FR"/>
        </w:rPr>
        <w:t>396.</w:t>
      </w:r>
      <w:r>
        <w:rPr>
          <w:iCs/>
          <w:color w:val="000000"/>
          <w:lang w:val="fr-FR"/>
        </w:rPr>
        <w:tab/>
        <w:t>Cet aspect se retrouve dans les indicateurs de mortalité infantile, qui sont presque quatre fois moins élevés dans les zones urbaines, et dans les registres de mortalité des enfants de 0 à 4 ans, qui sont deux fois plus élevées dans les zones rurales.</w:t>
      </w:r>
    </w:p>
    <w:p w:rsidR="00000000" w:rsidRDefault="00000000">
      <w:pPr>
        <w:spacing w:after="240"/>
        <w:rPr>
          <w:iCs/>
          <w:color w:val="000000"/>
          <w:lang w:val="fr-FR"/>
        </w:rPr>
      </w:pPr>
      <w:r>
        <w:rPr>
          <w:iCs/>
          <w:color w:val="000000"/>
          <w:lang w:val="fr-FR"/>
        </w:rPr>
        <w:t>397.  La mortalité infantile dans la région de la Costa (25 pour 1000) est moindre que dans la Sierra et dans la région amazonienne (34 et 38 pour 1000, respectivement); dans l'enquête, aucun cas de décès d'enfants de moins d'un an n’est enregistré pour la région insulaire, situation que confirment les statistiques de l’état civil où l’on relève trois décès pour l'année 1997</w:t>
      </w:r>
      <w:r>
        <w:rPr>
          <w:rStyle w:val="FootnoteReference"/>
          <w:b/>
          <w:iCs/>
          <w:color w:val="000000"/>
          <w:lang w:val="fr-FR"/>
        </w:rPr>
        <w:footnoteReference w:id="55"/>
      </w:r>
      <w:r>
        <w:rPr>
          <w:iCs/>
          <w:color w:val="000000"/>
          <w:lang w:val="fr-FR"/>
        </w:rPr>
        <w:t>.</w:t>
      </w:r>
    </w:p>
    <w:p w:rsidR="00000000" w:rsidRDefault="00000000">
      <w:pPr>
        <w:autoSpaceDE w:val="0"/>
        <w:autoSpaceDN w:val="0"/>
        <w:adjustRightInd w:val="0"/>
        <w:spacing w:after="80"/>
        <w:jc w:val="center"/>
        <w:rPr>
          <w:b/>
          <w:bCs/>
          <w:color w:val="000000"/>
          <w:sz w:val="20"/>
          <w:szCs w:val="22"/>
          <w:lang w:val="fr-FR"/>
        </w:rPr>
      </w:pPr>
      <w:r>
        <w:rPr>
          <w:b/>
          <w:bCs/>
          <w:color w:val="000000"/>
          <w:spacing w:val="-6"/>
          <w:sz w:val="20"/>
          <w:szCs w:val="22"/>
          <w:lang w:val="fr-FR"/>
        </w:rPr>
        <w:br w:type="page"/>
        <w:t xml:space="preserve">Taux de mortalité infantile et post-infantile, selon diverses </w:t>
      </w:r>
      <w:r>
        <w:rPr>
          <w:b/>
          <w:bCs/>
          <w:color w:val="000000"/>
          <w:sz w:val="20"/>
          <w:szCs w:val="22"/>
          <w:lang w:val="fr-FR"/>
        </w:rPr>
        <w:t xml:space="preserve">enquêtes  </w:t>
      </w:r>
    </w:p>
    <w:tbl>
      <w:tblPr>
        <w:tblW w:w="924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2615"/>
        <w:gridCol w:w="1260"/>
        <w:gridCol w:w="1440"/>
        <w:gridCol w:w="1080"/>
        <w:gridCol w:w="1440"/>
        <w:gridCol w:w="1407"/>
      </w:tblGrid>
      <w:tr w:rsidR="00000000">
        <w:tblPrEx>
          <w:tblCellMar>
            <w:top w:w="0" w:type="dxa"/>
            <w:bottom w:w="0" w:type="dxa"/>
          </w:tblCellMar>
        </w:tblPrEx>
        <w:trPr>
          <w:jc w:val="center"/>
        </w:trPr>
        <w:tc>
          <w:tcPr>
            <w:tcW w:w="2615"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Enquête</w:t>
            </w:r>
          </w:p>
        </w:tc>
        <w:tc>
          <w:tcPr>
            <w:tcW w:w="1260"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Mortalité néonatale</w:t>
            </w:r>
          </w:p>
        </w:tc>
        <w:tc>
          <w:tcPr>
            <w:tcW w:w="1440"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Mortalité postnéonatale</w:t>
            </w:r>
          </w:p>
        </w:tc>
        <w:tc>
          <w:tcPr>
            <w:tcW w:w="1080"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Mortalité infantile</w:t>
            </w:r>
          </w:p>
        </w:tc>
        <w:tc>
          <w:tcPr>
            <w:tcW w:w="1440"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Mortalité post-infantile</w:t>
            </w:r>
          </w:p>
        </w:tc>
        <w:tc>
          <w:tcPr>
            <w:tcW w:w="1407"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Mortalité des enfants de moins de 5 ans</w:t>
            </w:r>
          </w:p>
        </w:tc>
      </w:tr>
      <w:tr w:rsidR="00000000">
        <w:tblPrEx>
          <w:tblCellMar>
            <w:top w:w="0" w:type="dxa"/>
            <w:bottom w:w="0" w:type="dxa"/>
          </w:tblCellMar>
        </w:tblPrEx>
        <w:trPr>
          <w:jc w:val="center"/>
        </w:trPr>
        <w:tc>
          <w:tcPr>
            <w:tcW w:w="2615" w:type="dxa"/>
            <w:tcBorders>
              <w:top w:val="single" w:sz="4" w:space="0" w:color="auto"/>
            </w:tcBorders>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ENDESA (82-87) </w:t>
            </w:r>
          </w:p>
        </w:tc>
        <w:tc>
          <w:tcPr>
            <w:tcW w:w="1260" w:type="dxa"/>
            <w:tcBorders>
              <w:top w:val="single" w:sz="4" w:space="0" w:color="auto"/>
            </w:tcBorders>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36 </w:t>
            </w:r>
          </w:p>
        </w:tc>
        <w:tc>
          <w:tcPr>
            <w:tcW w:w="1440" w:type="dxa"/>
            <w:tcBorders>
              <w:top w:val="single" w:sz="4" w:space="0" w:color="auto"/>
            </w:tcBorders>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22 </w:t>
            </w:r>
          </w:p>
        </w:tc>
        <w:tc>
          <w:tcPr>
            <w:tcW w:w="1080" w:type="dxa"/>
            <w:tcBorders>
              <w:top w:val="single" w:sz="4" w:space="0" w:color="auto"/>
            </w:tcBorders>
          </w:tcPr>
          <w:p w:rsidR="00000000" w:rsidRDefault="00000000">
            <w:pPr>
              <w:autoSpaceDE w:val="0"/>
              <w:autoSpaceDN w:val="0"/>
              <w:adjustRightInd w:val="0"/>
              <w:spacing w:before="20" w:after="40"/>
              <w:ind w:right="340"/>
              <w:jc w:val="right"/>
              <w:rPr>
                <w:color w:val="000000"/>
                <w:sz w:val="20"/>
                <w:szCs w:val="22"/>
                <w:lang w:val="fr-FR"/>
              </w:rPr>
            </w:pPr>
            <w:r>
              <w:rPr>
                <w:color w:val="000000"/>
                <w:sz w:val="20"/>
                <w:szCs w:val="22"/>
                <w:lang w:val="fr-FR"/>
              </w:rPr>
              <w:t xml:space="preserve">58 </w:t>
            </w:r>
          </w:p>
        </w:tc>
        <w:tc>
          <w:tcPr>
            <w:tcW w:w="1440" w:type="dxa"/>
            <w:tcBorders>
              <w:top w:val="single" w:sz="4" w:space="0" w:color="auto"/>
            </w:tcBorders>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25 </w:t>
            </w:r>
          </w:p>
        </w:tc>
        <w:tc>
          <w:tcPr>
            <w:tcW w:w="1407" w:type="dxa"/>
            <w:tcBorders>
              <w:top w:val="single" w:sz="4" w:space="0" w:color="auto"/>
            </w:tcBorders>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82  </w:t>
            </w:r>
          </w:p>
        </w:tc>
      </w:tr>
      <w:tr w:rsidR="00000000">
        <w:tblPrEx>
          <w:tblCellMar>
            <w:top w:w="0" w:type="dxa"/>
            <w:bottom w:w="0" w:type="dxa"/>
          </w:tblCellMar>
        </w:tblPrEx>
        <w:trPr>
          <w:jc w:val="center"/>
        </w:trPr>
        <w:tc>
          <w:tcPr>
            <w:tcW w:w="2615" w:type="dxa"/>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ENDEMAIN-89 (87) * </w:t>
            </w:r>
          </w:p>
        </w:tc>
        <w:tc>
          <w:tcPr>
            <w:tcW w:w="1260" w:type="dxa"/>
          </w:tcPr>
          <w:p w:rsidR="00000000" w:rsidRDefault="00000000">
            <w:pPr>
              <w:autoSpaceDE w:val="0"/>
              <w:autoSpaceDN w:val="0"/>
              <w:adjustRightInd w:val="0"/>
              <w:spacing w:before="20" w:after="40"/>
              <w:ind w:right="567"/>
              <w:jc w:val="right"/>
              <w:rPr>
                <w:color w:val="000000"/>
                <w:sz w:val="20"/>
                <w:szCs w:val="22"/>
                <w:lang w:val="fr-FR"/>
              </w:rPr>
            </w:pPr>
          </w:p>
        </w:tc>
        <w:tc>
          <w:tcPr>
            <w:tcW w:w="1440" w:type="dxa"/>
          </w:tcPr>
          <w:p w:rsidR="00000000" w:rsidRDefault="00000000">
            <w:pPr>
              <w:autoSpaceDE w:val="0"/>
              <w:autoSpaceDN w:val="0"/>
              <w:adjustRightInd w:val="0"/>
              <w:spacing w:before="20" w:after="40"/>
              <w:ind w:right="567"/>
              <w:jc w:val="right"/>
              <w:rPr>
                <w:color w:val="000000"/>
                <w:sz w:val="20"/>
                <w:szCs w:val="22"/>
                <w:lang w:val="fr-FR"/>
              </w:rPr>
            </w:pPr>
          </w:p>
        </w:tc>
        <w:tc>
          <w:tcPr>
            <w:tcW w:w="1080" w:type="dxa"/>
          </w:tcPr>
          <w:p w:rsidR="00000000" w:rsidRDefault="00000000">
            <w:pPr>
              <w:autoSpaceDE w:val="0"/>
              <w:autoSpaceDN w:val="0"/>
              <w:adjustRightInd w:val="0"/>
              <w:spacing w:before="20" w:after="40"/>
              <w:ind w:right="340"/>
              <w:jc w:val="right"/>
              <w:rPr>
                <w:color w:val="000000"/>
                <w:sz w:val="20"/>
                <w:szCs w:val="22"/>
                <w:lang w:val="fr-FR"/>
              </w:rPr>
            </w:pPr>
            <w:r>
              <w:rPr>
                <w:color w:val="000000"/>
                <w:sz w:val="20"/>
                <w:szCs w:val="22"/>
                <w:lang w:val="fr-FR"/>
              </w:rPr>
              <w:t xml:space="preserve">53 </w:t>
            </w:r>
          </w:p>
        </w:tc>
        <w:tc>
          <w:tcPr>
            <w:tcW w:w="1440"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17 </w:t>
            </w:r>
          </w:p>
        </w:tc>
        <w:tc>
          <w:tcPr>
            <w:tcW w:w="1407"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70  </w:t>
            </w:r>
          </w:p>
        </w:tc>
      </w:tr>
      <w:tr w:rsidR="00000000">
        <w:tblPrEx>
          <w:tblCellMar>
            <w:top w:w="0" w:type="dxa"/>
            <w:bottom w:w="0" w:type="dxa"/>
          </w:tblCellMar>
        </w:tblPrEx>
        <w:trPr>
          <w:jc w:val="center"/>
        </w:trPr>
        <w:tc>
          <w:tcPr>
            <w:tcW w:w="2615" w:type="dxa"/>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ENDEMAIN-94 (89-94) </w:t>
            </w:r>
          </w:p>
        </w:tc>
        <w:tc>
          <w:tcPr>
            <w:tcW w:w="1260"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22 </w:t>
            </w:r>
          </w:p>
        </w:tc>
        <w:tc>
          <w:tcPr>
            <w:tcW w:w="1440"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18 </w:t>
            </w:r>
          </w:p>
        </w:tc>
        <w:tc>
          <w:tcPr>
            <w:tcW w:w="1080" w:type="dxa"/>
          </w:tcPr>
          <w:p w:rsidR="00000000" w:rsidRDefault="00000000">
            <w:pPr>
              <w:autoSpaceDE w:val="0"/>
              <w:autoSpaceDN w:val="0"/>
              <w:adjustRightInd w:val="0"/>
              <w:spacing w:before="20" w:after="40"/>
              <w:ind w:right="340"/>
              <w:jc w:val="right"/>
              <w:rPr>
                <w:color w:val="000000"/>
                <w:sz w:val="20"/>
                <w:szCs w:val="22"/>
                <w:lang w:val="fr-FR"/>
              </w:rPr>
            </w:pPr>
            <w:r>
              <w:rPr>
                <w:color w:val="000000"/>
                <w:sz w:val="20"/>
                <w:szCs w:val="22"/>
                <w:lang w:val="fr-FR"/>
              </w:rPr>
              <w:t xml:space="preserve">40 </w:t>
            </w:r>
          </w:p>
        </w:tc>
        <w:tc>
          <w:tcPr>
            <w:tcW w:w="1440"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12 </w:t>
            </w:r>
          </w:p>
        </w:tc>
        <w:tc>
          <w:tcPr>
            <w:tcW w:w="1407"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51  </w:t>
            </w:r>
          </w:p>
        </w:tc>
      </w:tr>
      <w:tr w:rsidR="00000000">
        <w:tblPrEx>
          <w:tblCellMar>
            <w:top w:w="0" w:type="dxa"/>
            <w:bottom w:w="0" w:type="dxa"/>
          </w:tblCellMar>
        </w:tblPrEx>
        <w:trPr>
          <w:jc w:val="center"/>
        </w:trPr>
        <w:tc>
          <w:tcPr>
            <w:tcW w:w="2615" w:type="dxa"/>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ENDEMAIN-99 </w:t>
            </w:r>
          </w:p>
        </w:tc>
        <w:tc>
          <w:tcPr>
            <w:tcW w:w="1260"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19 </w:t>
            </w:r>
          </w:p>
        </w:tc>
        <w:tc>
          <w:tcPr>
            <w:tcW w:w="1440"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11 </w:t>
            </w:r>
          </w:p>
        </w:tc>
        <w:tc>
          <w:tcPr>
            <w:tcW w:w="1080" w:type="dxa"/>
          </w:tcPr>
          <w:p w:rsidR="00000000" w:rsidRDefault="00000000">
            <w:pPr>
              <w:autoSpaceDE w:val="0"/>
              <w:autoSpaceDN w:val="0"/>
              <w:adjustRightInd w:val="0"/>
              <w:spacing w:before="20" w:after="40"/>
              <w:ind w:right="340"/>
              <w:jc w:val="right"/>
              <w:rPr>
                <w:color w:val="000000"/>
                <w:sz w:val="20"/>
                <w:szCs w:val="22"/>
                <w:lang w:val="fr-FR"/>
              </w:rPr>
            </w:pPr>
            <w:r>
              <w:rPr>
                <w:color w:val="000000"/>
                <w:sz w:val="20"/>
                <w:szCs w:val="22"/>
                <w:lang w:val="fr-FR"/>
              </w:rPr>
              <w:t xml:space="preserve">30 </w:t>
            </w:r>
          </w:p>
        </w:tc>
        <w:tc>
          <w:tcPr>
            <w:tcW w:w="1440"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9 </w:t>
            </w:r>
          </w:p>
        </w:tc>
        <w:tc>
          <w:tcPr>
            <w:tcW w:w="1407"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39  </w:t>
            </w:r>
          </w:p>
        </w:tc>
      </w:tr>
    </w:tbl>
    <w:p w:rsidR="00000000" w:rsidRDefault="00000000">
      <w:pPr>
        <w:autoSpaceDE w:val="0"/>
        <w:autoSpaceDN w:val="0"/>
        <w:adjustRightInd w:val="0"/>
        <w:spacing w:before="80" w:after="40"/>
        <w:ind w:left="567"/>
        <w:rPr>
          <w:color w:val="000000"/>
          <w:sz w:val="20"/>
          <w:szCs w:val="22"/>
          <w:lang w:val="fr-FR"/>
        </w:rPr>
      </w:pPr>
      <w:r>
        <w:rPr>
          <w:i/>
          <w:iCs/>
          <w:color w:val="000000"/>
          <w:sz w:val="20"/>
          <w:szCs w:val="22"/>
          <w:lang w:val="fr-FR"/>
        </w:rPr>
        <w:t>Source :</w:t>
      </w:r>
      <w:r>
        <w:rPr>
          <w:color w:val="000000"/>
          <w:sz w:val="20"/>
          <w:szCs w:val="22"/>
          <w:lang w:val="fr-FR"/>
        </w:rPr>
        <w:t xml:space="preserve"> ENDEMAIN-94, ENDEMAIN-99.  </w:t>
      </w:r>
    </w:p>
    <w:p w:rsidR="00000000" w:rsidRDefault="00000000">
      <w:pPr>
        <w:spacing w:after="360"/>
        <w:ind w:left="567"/>
        <w:rPr>
          <w:color w:val="000000"/>
          <w:sz w:val="20"/>
          <w:szCs w:val="22"/>
          <w:lang w:val="fr-FR"/>
        </w:rPr>
      </w:pPr>
      <w:r>
        <w:rPr>
          <w:color w:val="000000"/>
          <w:sz w:val="20"/>
          <w:szCs w:val="22"/>
          <w:lang w:val="fr-FR"/>
        </w:rPr>
        <w:t>* Méthode indirecte 1989.</w:t>
      </w:r>
    </w:p>
    <w:p w:rsidR="00000000" w:rsidRDefault="00000000">
      <w:pPr>
        <w:spacing w:after="240"/>
        <w:rPr>
          <w:iCs/>
          <w:color w:val="000000"/>
          <w:lang w:val="fr-FR"/>
        </w:rPr>
      </w:pPr>
      <w:r>
        <w:rPr>
          <w:iCs/>
          <w:color w:val="000000"/>
          <w:lang w:val="fr-FR"/>
        </w:rPr>
        <w:t>398.</w:t>
      </w:r>
      <w:r>
        <w:rPr>
          <w:iCs/>
          <w:color w:val="000000"/>
          <w:lang w:val="fr-FR"/>
        </w:rPr>
        <w:tab/>
        <w:t>D'après l'enquête ENDEMAIN-94, la mortalité infantile urbaine est de 30 pour 1000 naissances vivantes, soit un peu moins de la moitié de la mortalité infantile rurale, qui atteint 52 pour 1000 naissances vivantes.  De même, la plus forte concentration de décès au cours de la période néonatale dans les zones urbaines ― 60 % de la mortalité infantile, contre 54 % dans les zones rurales ― reflète précisément les conditions locales existant dans ces deux types de contextes</w:t>
      </w:r>
      <w:r>
        <w:rPr>
          <w:rStyle w:val="FootnoteReference"/>
          <w:b/>
          <w:iCs/>
          <w:color w:val="000000"/>
          <w:lang w:val="fr-FR"/>
        </w:rPr>
        <w:footnoteReference w:id="56"/>
      </w:r>
      <w:r>
        <w:rPr>
          <w:iCs/>
          <w:color w:val="000000"/>
          <w:lang w:val="fr-FR"/>
        </w:rPr>
        <w:t>.</w:t>
      </w:r>
    </w:p>
    <w:p w:rsidR="00000000" w:rsidRDefault="00000000">
      <w:pPr>
        <w:autoSpaceDE w:val="0"/>
        <w:autoSpaceDN w:val="0"/>
        <w:adjustRightInd w:val="0"/>
        <w:jc w:val="center"/>
        <w:rPr>
          <w:b/>
          <w:bCs/>
          <w:color w:val="000000"/>
          <w:sz w:val="20"/>
          <w:szCs w:val="22"/>
          <w:lang w:val="fr-FR"/>
        </w:rPr>
      </w:pPr>
      <w:r>
        <w:rPr>
          <w:b/>
          <w:bCs/>
          <w:color w:val="000000"/>
          <w:sz w:val="20"/>
          <w:szCs w:val="22"/>
          <w:lang w:val="fr-FR"/>
        </w:rPr>
        <w:t xml:space="preserve">Taux de mortalité infantile et post-infantile </w:t>
      </w:r>
    </w:p>
    <w:p w:rsidR="00000000" w:rsidRDefault="00000000">
      <w:pPr>
        <w:autoSpaceDE w:val="0"/>
        <w:autoSpaceDN w:val="0"/>
        <w:adjustRightInd w:val="0"/>
        <w:spacing w:after="80"/>
        <w:jc w:val="center"/>
        <w:rPr>
          <w:i/>
          <w:iCs/>
          <w:color w:val="000000"/>
          <w:sz w:val="20"/>
          <w:szCs w:val="22"/>
          <w:lang w:val="fr-FR"/>
        </w:rPr>
      </w:pPr>
      <w:r>
        <w:rPr>
          <w:i/>
          <w:iCs/>
          <w:color w:val="000000"/>
          <w:sz w:val="20"/>
          <w:szCs w:val="22"/>
          <w:lang w:val="fr-FR"/>
        </w:rPr>
        <w:t xml:space="preserve">(Enquête 1989-1994)  </w:t>
      </w:r>
    </w:p>
    <w:tbl>
      <w:tblPr>
        <w:tblW w:w="924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715"/>
        <w:gridCol w:w="1260"/>
        <w:gridCol w:w="1080"/>
        <w:gridCol w:w="1440"/>
        <w:gridCol w:w="2160"/>
        <w:gridCol w:w="1587"/>
      </w:tblGrid>
      <w:tr w:rsidR="00000000">
        <w:tblPrEx>
          <w:tblCellMar>
            <w:top w:w="0" w:type="dxa"/>
            <w:bottom w:w="0" w:type="dxa"/>
          </w:tblCellMar>
        </w:tblPrEx>
        <w:trPr>
          <w:cantSplit/>
          <w:jc w:val="center"/>
        </w:trPr>
        <w:tc>
          <w:tcPr>
            <w:tcW w:w="1715" w:type="dxa"/>
            <w:tcBorders>
              <w:top w:val="single" w:sz="4" w:space="0" w:color="auto"/>
              <w:bottom w:val="nil"/>
            </w:tcBorders>
            <w:vAlign w:val="center"/>
          </w:tcPr>
          <w:p w:rsidR="00000000" w:rsidRDefault="00000000">
            <w:pPr>
              <w:autoSpaceDE w:val="0"/>
              <w:autoSpaceDN w:val="0"/>
              <w:adjustRightInd w:val="0"/>
              <w:spacing w:before="40" w:after="40"/>
              <w:jc w:val="center"/>
              <w:rPr>
                <w:b/>
                <w:bCs/>
                <w:i/>
                <w:iCs/>
                <w:color w:val="000000"/>
                <w:sz w:val="18"/>
                <w:szCs w:val="22"/>
                <w:lang w:val="fr-FR"/>
              </w:rPr>
            </w:pPr>
          </w:p>
        </w:tc>
        <w:tc>
          <w:tcPr>
            <w:tcW w:w="1260" w:type="dxa"/>
            <w:vMerge w:val="restart"/>
            <w:tcBorders>
              <w:top w:val="single" w:sz="4" w:space="0" w:color="auto"/>
              <w:bottom w:val="single" w:sz="4" w:space="0" w:color="auto"/>
              <w:right w:val="nil"/>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Totale</w:t>
            </w:r>
          </w:p>
        </w:tc>
        <w:tc>
          <w:tcPr>
            <w:tcW w:w="2520" w:type="dxa"/>
            <w:gridSpan w:val="2"/>
            <w:tcBorders>
              <w:top w:val="single" w:sz="4" w:space="0" w:color="auto"/>
              <w:left w:val="nil"/>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Mortalité infantile</w:t>
            </w:r>
          </w:p>
        </w:tc>
        <w:tc>
          <w:tcPr>
            <w:tcW w:w="2160" w:type="dxa"/>
            <w:vMerge w:val="restart"/>
            <w:tcBorders>
              <w:top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 xml:space="preserve">Mortalité post-infantile </w:t>
            </w:r>
            <w:r>
              <w:rPr>
                <w:b/>
                <w:bCs/>
                <w:i/>
                <w:iCs/>
                <w:color w:val="000000"/>
                <w:sz w:val="18"/>
                <w:szCs w:val="22"/>
                <w:lang w:val="fr-FR"/>
              </w:rPr>
              <w:br/>
              <w:t>(enfants de 1 à 4 ans)</w:t>
            </w:r>
          </w:p>
        </w:tc>
        <w:tc>
          <w:tcPr>
            <w:tcW w:w="1587" w:type="dxa"/>
            <w:vMerge w:val="restart"/>
            <w:tcBorders>
              <w:top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Total (enfants</w:t>
            </w:r>
            <w:r>
              <w:rPr>
                <w:b/>
                <w:bCs/>
                <w:i/>
                <w:iCs/>
                <w:color w:val="000000"/>
                <w:sz w:val="18"/>
                <w:szCs w:val="22"/>
                <w:lang w:val="fr-FR"/>
              </w:rPr>
              <w:br/>
              <w:t>Sde 0 à 4 ans)</w:t>
            </w:r>
          </w:p>
        </w:tc>
      </w:tr>
      <w:tr w:rsidR="00000000">
        <w:tblPrEx>
          <w:tblCellMar>
            <w:top w:w="0" w:type="dxa"/>
            <w:bottom w:w="0" w:type="dxa"/>
          </w:tblCellMar>
        </w:tblPrEx>
        <w:trPr>
          <w:cantSplit/>
          <w:jc w:val="center"/>
        </w:trPr>
        <w:tc>
          <w:tcPr>
            <w:tcW w:w="1715" w:type="dxa"/>
            <w:tcBorders>
              <w:top w:val="nil"/>
            </w:tcBorders>
          </w:tcPr>
          <w:p w:rsidR="00000000" w:rsidRDefault="00000000">
            <w:pPr>
              <w:autoSpaceDE w:val="0"/>
              <w:autoSpaceDN w:val="0"/>
              <w:adjustRightInd w:val="0"/>
              <w:spacing w:before="40" w:after="40"/>
              <w:rPr>
                <w:color w:val="000000"/>
                <w:sz w:val="18"/>
                <w:szCs w:val="22"/>
                <w:lang w:val="fr-FR"/>
              </w:rPr>
            </w:pPr>
          </w:p>
        </w:tc>
        <w:tc>
          <w:tcPr>
            <w:tcW w:w="1260" w:type="dxa"/>
            <w:vMerge/>
            <w:tcBorders>
              <w:top w:val="nil"/>
              <w:bottom w:val="single" w:sz="4" w:space="0" w:color="auto"/>
              <w:right w:val="nil"/>
            </w:tcBorders>
          </w:tcPr>
          <w:p w:rsidR="00000000" w:rsidRDefault="00000000">
            <w:pPr>
              <w:autoSpaceDE w:val="0"/>
              <w:autoSpaceDN w:val="0"/>
              <w:adjustRightInd w:val="0"/>
              <w:spacing w:before="40" w:after="40"/>
              <w:rPr>
                <w:color w:val="000000"/>
                <w:sz w:val="18"/>
                <w:szCs w:val="22"/>
                <w:lang w:val="fr-FR"/>
              </w:rPr>
            </w:pPr>
          </w:p>
        </w:tc>
        <w:tc>
          <w:tcPr>
            <w:tcW w:w="1080" w:type="dxa"/>
            <w:tcBorders>
              <w:top w:val="single" w:sz="4" w:space="0" w:color="auto"/>
              <w:left w:val="nil"/>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Néonatale</w:t>
            </w:r>
          </w:p>
        </w:tc>
        <w:tc>
          <w:tcPr>
            <w:tcW w:w="1440"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Postnéonatale</w:t>
            </w:r>
          </w:p>
        </w:tc>
        <w:tc>
          <w:tcPr>
            <w:tcW w:w="2160" w:type="dxa"/>
            <w:vMerge/>
            <w:tcBorders>
              <w:bottom w:val="single" w:sz="4" w:space="0" w:color="auto"/>
            </w:tcBorders>
          </w:tcPr>
          <w:p w:rsidR="00000000" w:rsidRDefault="00000000">
            <w:pPr>
              <w:autoSpaceDE w:val="0"/>
              <w:autoSpaceDN w:val="0"/>
              <w:adjustRightInd w:val="0"/>
              <w:spacing w:before="40" w:after="40"/>
              <w:rPr>
                <w:color w:val="000000"/>
                <w:sz w:val="18"/>
                <w:szCs w:val="22"/>
                <w:lang w:val="fr-FR"/>
              </w:rPr>
            </w:pPr>
          </w:p>
        </w:tc>
        <w:tc>
          <w:tcPr>
            <w:tcW w:w="1587" w:type="dxa"/>
            <w:vMerge/>
            <w:tcBorders>
              <w:bottom w:val="single" w:sz="4" w:space="0" w:color="auto"/>
            </w:tcBorders>
          </w:tcPr>
          <w:p w:rsidR="00000000" w:rsidRDefault="00000000">
            <w:pPr>
              <w:autoSpaceDE w:val="0"/>
              <w:autoSpaceDN w:val="0"/>
              <w:adjustRightInd w:val="0"/>
              <w:spacing w:before="40" w:after="40"/>
              <w:rPr>
                <w:color w:val="000000"/>
                <w:sz w:val="18"/>
                <w:szCs w:val="22"/>
                <w:lang w:val="fr-FR"/>
              </w:rPr>
            </w:pPr>
          </w:p>
        </w:tc>
      </w:tr>
      <w:tr w:rsidR="00000000">
        <w:tblPrEx>
          <w:tblCellMar>
            <w:top w:w="0" w:type="dxa"/>
            <w:bottom w:w="0" w:type="dxa"/>
          </w:tblCellMar>
        </w:tblPrEx>
        <w:trPr>
          <w:jc w:val="center"/>
        </w:trPr>
        <w:tc>
          <w:tcPr>
            <w:tcW w:w="1715"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Total </w:t>
            </w:r>
          </w:p>
        </w:tc>
        <w:tc>
          <w:tcPr>
            <w:tcW w:w="1260" w:type="dxa"/>
            <w:tcBorders>
              <w:top w:val="single" w:sz="4" w:space="0" w:color="auto"/>
            </w:tcBorders>
          </w:tcPr>
          <w:p w:rsidR="00000000" w:rsidRDefault="00000000">
            <w:pPr>
              <w:autoSpaceDE w:val="0"/>
              <w:autoSpaceDN w:val="0"/>
              <w:adjustRightInd w:val="0"/>
              <w:spacing w:before="20" w:after="20"/>
              <w:ind w:right="454"/>
              <w:jc w:val="right"/>
              <w:rPr>
                <w:color w:val="000000"/>
                <w:sz w:val="20"/>
                <w:szCs w:val="22"/>
                <w:lang w:val="fr-FR"/>
              </w:rPr>
            </w:pPr>
            <w:r>
              <w:rPr>
                <w:color w:val="000000"/>
                <w:sz w:val="20"/>
                <w:szCs w:val="22"/>
                <w:lang w:val="fr-FR"/>
              </w:rPr>
              <w:t xml:space="preserve">40 </w:t>
            </w:r>
          </w:p>
        </w:tc>
        <w:tc>
          <w:tcPr>
            <w:tcW w:w="1080" w:type="dxa"/>
            <w:tcBorders>
              <w:top w:val="single" w:sz="4" w:space="0" w:color="auto"/>
            </w:tcBorders>
          </w:tcPr>
          <w:p w:rsidR="00000000" w:rsidRDefault="00000000">
            <w:pPr>
              <w:autoSpaceDE w:val="0"/>
              <w:autoSpaceDN w:val="0"/>
              <w:adjustRightInd w:val="0"/>
              <w:spacing w:before="20" w:after="20"/>
              <w:ind w:right="454"/>
              <w:jc w:val="right"/>
              <w:rPr>
                <w:color w:val="000000"/>
                <w:sz w:val="20"/>
                <w:szCs w:val="22"/>
                <w:lang w:val="fr-FR"/>
              </w:rPr>
            </w:pPr>
            <w:r>
              <w:rPr>
                <w:color w:val="000000"/>
                <w:sz w:val="20"/>
                <w:szCs w:val="22"/>
                <w:lang w:val="fr-FR"/>
              </w:rPr>
              <w:t xml:space="preserve">22 </w:t>
            </w:r>
          </w:p>
        </w:tc>
        <w:tc>
          <w:tcPr>
            <w:tcW w:w="1440" w:type="dxa"/>
            <w:tcBorders>
              <w:top w:val="single" w:sz="4" w:space="0" w:color="auto"/>
            </w:tcBorders>
          </w:tcPr>
          <w:p w:rsidR="00000000" w:rsidRDefault="00000000">
            <w:pPr>
              <w:autoSpaceDE w:val="0"/>
              <w:autoSpaceDN w:val="0"/>
              <w:adjustRightInd w:val="0"/>
              <w:spacing w:before="20" w:after="20"/>
              <w:ind w:right="680"/>
              <w:jc w:val="right"/>
              <w:rPr>
                <w:color w:val="000000"/>
                <w:sz w:val="20"/>
                <w:szCs w:val="22"/>
                <w:lang w:val="fr-FR"/>
              </w:rPr>
            </w:pPr>
            <w:r>
              <w:rPr>
                <w:color w:val="000000"/>
                <w:sz w:val="20"/>
                <w:szCs w:val="22"/>
                <w:lang w:val="fr-FR"/>
              </w:rPr>
              <w:t xml:space="preserve">18 </w:t>
            </w:r>
          </w:p>
        </w:tc>
        <w:tc>
          <w:tcPr>
            <w:tcW w:w="2160" w:type="dxa"/>
            <w:tcBorders>
              <w:top w:val="single" w:sz="4" w:space="0" w:color="auto"/>
            </w:tcBorders>
          </w:tcPr>
          <w:p w:rsidR="00000000" w:rsidRDefault="00000000">
            <w:pPr>
              <w:autoSpaceDE w:val="0"/>
              <w:autoSpaceDN w:val="0"/>
              <w:adjustRightInd w:val="0"/>
              <w:spacing w:before="20" w:after="20"/>
              <w:ind w:right="680"/>
              <w:jc w:val="right"/>
              <w:rPr>
                <w:color w:val="000000"/>
                <w:sz w:val="20"/>
                <w:szCs w:val="22"/>
                <w:lang w:val="fr-FR"/>
              </w:rPr>
            </w:pPr>
            <w:r>
              <w:rPr>
                <w:color w:val="000000"/>
                <w:sz w:val="20"/>
                <w:szCs w:val="22"/>
                <w:lang w:val="fr-FR"/>
              </w:rPr>
              <w:t xml:space="preserve">12 </w:t>
            </w:r>
          </w:p>
        </w:tc>
        <w:tc>
          <w:tcPr>
            <w:tcW w:w="1587" w:type="dxa"/>
            <w:tcBorders>
              <w:top w:val="single" w:sz="4" w:space="0" w:color="auto"/>
            </w:tcBorders>
          </w:tcPr>
          <w:p w:rsidR="00000000" w:rsidRDefault="00000000">
            <w:pPr>
              <w:autoSpaceDE w:val="0"/>
              <w:autoSpaceDN w:val="0"/>
              <w:adjustRightInd w:val="0"/>
              <w:spacing w:before="20" w:after="20"/>
              <w:ind w:right="680"/>
              <w:jc w:val="right"/>
              <w:rPr>
                <w:color w:val="000000"/>
                <w:sz w:val="20"/>
                <w:szCs w:val="22"/>
                <w:lang w:val="fr-FR"/>
              </w:rPr>
            </w:pPr>
            <w:r>
              <w:rPr>
                <w:color w:val="000000"/>
                <w:sz w:val="20"/>
                <w:szCs w:val="22"/>
                <w:lang w:val="fr-FR"/>
              </w:rPr>
              <w:t xml:space="preserve">51  </w:t>
            </w:r>
          </w:p>
        </w:tc>
      </w:tr>
      <w:tr w:rsidR="00000000">
        <w:tblPrEx>
          <w:tblCellMar>
            <w:top w:w="0" w:type="dxa"/>
            <w:bottom w:w="0" w:type="dxa"/>
          </w:tblCellMar>
        </w:tblPrEx>
        <w:trPr>
          <w:jc w:val="center"/>
        </w:trPr>
        <w:tc>
          <w:tcPr>
            <w:tcW w:w="1715"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Secteur urbain </w:t>
            </w:r>
          </w:p>
        </w:tc>
        <w:tc>
          <w:tcPr>
            <w:tcW w:w="1260" w:type="dxa"/>
          </w:tcPr>
          <w:p w:rsidR="00000000" w:rsidRDefault="00000000">
            <w:pPr>
              <w:autoSpaceDE w:val="0"/>
              <w:autoSpaceDN w:val="0"/>
              <w:adjustRightInd w:val="0"/>
              <w:spacing w:before="20" w:after="20"/>
              <w:ind w:right="454"/>
              <w:jc w:val="right"/>
              <w:rPr>
                <w:color w:val="000000"/>
                <w:sz w:val="20"/>
                <w:szCs w:val="22"/>
                <w:lang w:val="fr-FR"/>
              </w:rPr>
            </w:pPr>
            <w:r>
              <w:rPr>
                <w:color w:val="000000"/>
                <w:sz w:val="20"/>
                <w:szCs w:val="22"/>
                <w:lang w:val="fr-FR"/>
              </w:rPr>
              <w:t xml:space="preserve">30 </w:t>
            </w:r>
          </w:p>
        </w:tc>
        <w:tc>
          <w:tcPr>
            <w:tcW w:w="1080" w:type="dxa"/>
          </w:tcPr>
          <w:p w:rsidR="00000000" w:rsidRDefault="00000000">
            <w:pPr>
              <w:autoSpaceDE w:val="0"/>
              <w:autoSpaceDN w:val="0"/>
              <w:adjustRightInd w:val="0"/>
              <w:spacing w:before="20" w:after="20"/>
              <w:ind w:right="454"/>
              <w:jc w:val="right"/>
              <w:rPr>
                <w:color w:val="000000"/>
                <w:sz w:val="20"/>
                <w:szCs w:val="22"/>
                <w:lang w:val="fr-FR"/>
              </w:rPr>
            </w:pPr>
            <w:r>
              <w:rPr>
                <w:color w:val="000000"/>
                <w:sz w:val="20"/>
                <w:szCs w:val="22"/>
                <w:lang w:val="fr-FR"/>
              </w:rPr>
              <w:t xml:space="preserve">18 </w:t>
            </w:r>
          </w:p>
        </w:tc>
        <w:tc>
          <w:tcPr>
            <w:tcW w:w="1440" w:type="dxa"/>
          </w:tcPr>
          <w:p w:rsidR="00000000" w:rsidRDefault="00000000">
            <w:pPr>
              <w:autoSpaceDE w:val="0"/>
              <w:autoSpaceDN w:val="0"/>
              <w:adjustRightInd w:val="0"/>
              <w:spacing w:before="20" w:after="20"/>
              <w:ind w:right="680"/>
              <w:jc w:val="right"/>
              <w:rPr>
                <w:color w:val="000000"/>
                <w:sz w:val="20"/>
                <w:szCs w:val="22"/>
                <w:lang w:val="fr-FR"/>
              </w:rPr>
            </w:pPr>
            <w:r>
              <w:rPr>
                <w:color w:val="000000"/>
                <w:sz w:val="20"/>
                <w:szCs w:val="22"/>
                <w:lang w:val="fr-FR"/>
              </w:rPr>
              <w:t xml:space="preserve">12 </w:t>
            </w:r>
          </w:p>
        </w:tc>
        <w:tc>
          <w:tcPr>
            <w:tcW w:w="2160" w:type="dxa"/>
          </w:tcPr>
          <w:p w:rsidR="00000000" w:rsidRDefault="00000000">
            <w:pPr>
              <w:autoSpaceDE w:val="0"/>
              <w:autoSpaceDN w:val="0"/>
              <w:adjustRightInd w:val="0"/>
              <w:spacing w:before="20" w:after="20"/>
              <w:ind w:right="680"/>
              <w:jc w:val="right"/>
              <w:rPr>
                <w:color w:val="000000"/>
                <w:sz w:val="20"/>
                <w:szCs w:val="22"/>
                <w:lang w:val="fr-FR"/>
              </w:rPr>
            </w:pPr>
            <w:r>
              <w:rPr>
                <w:color w:val="000000"/>
                <w:sz w:val="20"/>
                <w:szCs w:val="22"/>
                <w:lang w:val="fr-FR"/>
              </w:rPr>
              <w:t xml:space="preserve">7 </w:t>
            </w:r>
          </w:p>
        </w:tc>
        <w:tc>
          <w:tcPr>
            <w:tcW w:w="1587" w:type="dxa"/>
          </w:tcPr>
          <w:p w:rsidR="00000000" w:rsidRDefault="00000000">
            <w:pPr>
              <w:autoSpaceDE w:val="0"/>
              <w:autoSpaceDN w:val="0"/>
              <w:adjustRightInd w:val="0"/>
              <w:spacing w:before="20" w:after="20"/>
              <w:ind w:right="680"/>
              <w:jc w:val="right"/>
              <w:rPr>
                <w:color w:val="000000"/>
                <w:sz w:val="20"/>
                <w:szCs w:val="22"/>
                <w:lang w:val="fr-FR"/>
              </w:rPr>
            </w:pPr>
            <w:r>
              <w:rPr>
                <w:color w:val="000000"/>
                <w:sz w:val="20"/>
                <w:szCs w:val="22"/>
                <w:lang w:val="fr-FR"/>
              </w:rPr>
              <w:t xml:space="preserve">35  </w:t>
            </w:r>
          </w:p>
        </w:tc>
      </w:tr>
      <w:tr w:rsidR="00000000">
        <w:tblPrEx>
          <w:tblCellMar>
            <w:top w:w="0" w:type="dxa"/>
            <w:bottom w:w="0" w:type="dxa"/>
          </w:tblCellMar>
        </w:tblPrEx>
        <w:trPr>
          <w:jc w:val="center"/>
        </w:trPr>
        <w:tc>
          <w:tcPr>
            <w:tcW w:w="1715"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Secteur rural </w:t>
            </w:r>
          </w:p>
        </w:tc>
        <w:tc>
          <w:tcPr>
            <w:tcW w:w="1260" w:type="dxa"/>
          </w:tcPr>
          <w:p w:rsidR="00000000" w:rsidRDefault="00000000">
            <w:pPr>
              <w:autoSpaceDE w:val="0"/>
              <w:autoSpaceDN w:val="0"/>
              <w:adjustRightInd w:val="0"/>
              <w:spacing w:before="20" w:after="20"/>
              <w:ind w:right="454"/>
              <w:jc w:val="right"/>
              <w:rPr>
                <w:color w:val="000000"/>
                <w:sz w:val="20"/>
                <w:szCs w:val="22"/>
                <w:lang w:val="fr-FR"/>
              </w:rPr>
            </w:pPr>
            <w:r>
              <w:rPr>
                <w:color w:val="000000"/>
                <w:sz w:val="20"/>
                <w:szCs w:val="22"/>
                <w:lang w:val="fr-FR"/>
              </w:rPr>
              <w:t xml:space="preserve">52 </w:t>
            </w:r>
          </w:p>
        </w:tc>
        <w:tc>
          <w:tcPr>
            <w:tcW w:w="1080" w:type="dxa"/>
          </w:tcPr>
          <w:p w:rsidR="00000000" w:rsidRDefault="00000000">
            <w:pPr>
              <w:autoSpaceDE w:val="0"/>
              <w:autoSpaceDN w:val="0"/>
              <w:adjustRightInd w:val="0"/>
              <w:spacing w:before="20" w:after="20"/>
              <w:ind w:right="454"/>
              <w:jc w:val="right"/>
              <w:rPr>
                <w:color w:val="000000"/>
                <w:sz w:val="20"/>
                <w:szCs w:val="22"/>
                <w:lang w:val="fr-FR"/>
              </w:rPr>
            </w:pPr>
            <w:r>
              <w:rPr>
                <w:color w:val="000000"/>
                <w:sz w:val="20"/>
                <w:szCs w:val="22"/>
                <w:lang w:val="fr-FR"/>
              </w:rPr>
              <w:t xml:space="preserve">28 </w:t>
            </w:r>
          </w:p>
        </w:tc>
        <w:tc>
          <w:tcPr>
            <w:tcW w:w="1440" w:type="dxa"/>
          </w:tcPr>
          <w:p w:rsidR="00000000" w:rsidRDefault="00000000">
            <w:pPr>
              <w:autoSpaceDE w:val="0"/>
              <w:autoSpaceDN w:val="0"/>
              <w:adjustRightInd w:val="0"/>
              <w:spacing w:before="20" w:after="20"/>
              <w:ind w:right="680"/>
              <w:jc w:val="right"/>
              <w:rPr>
                <w:color w:val="000000"/>
                <w:sz w:val="20"/>
                <w:szCs w:val="22"/>
                <w:lang w:val="fr-FR"/>
              </w:rPr>
            </w:pPr>
            <w:r>
              <w:rPr>
                <w:color w:val="000000"/>
                <w:sz w:val="20"/>
                <w:szCs w:val="22"/>
                <w:lang w:val="fr-FR"/>
              </w:rPr>
              <w:t xml:space="preserve">24 </w:t>
            </w:r>
          </w:p>
        </w:tc>
        <w:tc>
          <w:tcPr>
            <w:tcW w:w="2160" w:type="dxa"/>
          </w:tcPr>
          <w:p w:rsidR="00000000" w:rsidRDefault="00000000">
            <w:pPr>
              <w:autoSpaceDE w:val="0"/>
              <w:autoSpaceDN w:val="0"/>
              <w:adjustRightInd w:val="0"/>
              <w:spacing w:before="20" w:after="20"/>
              <w:ind w:right="680"/>
              <w:jc w:val="right"/>
              <w:rPr>
                <w:color w:val="000000"/>
                <w:sz w:val="20"/>
                <w:szCs w:val="22"/>
                <w:lang w:val="fr-FR"/>
              </w:rPr>
            </w:pPr>
            <w:r>
              <w:rPr>
                <w:color w:val="000000"/>
                <w:sz w:val="20"/>
                <w:szCs w:val="22"/>
                <w:lang w:val="fr-FR"/>
              </w:rPr>
              <w:t xml:space="preserve">16 </w:t>
            </w:r>
          </w:p>
        </w:tc>
        <w:tc>
          <w:tcPr>
            <w:tcW w:w="1587" w:type="dxa"/>
          </w:tcPr>
          <w:p w:rsidR="00000000" w:rsidRDefault="00000000">
            <w:pPr>
              <w:autoSpaceDE w:val="0"/>
              <w:autoSpaceDN w:val="0"/>
              <w:adjustRightInd w:val="0"/>
              <w:spacing w:before="20" w:after="20"/>
              <w:ind w:right="680"/>
              <w:jc w:val="right"/>
              <w:rPr>
                <w:color w:val="000000"/>
                <w:sz w:val="20"/>
                <w:szCs w:val="22"/>
                <w:lang w:val="fr-FR"/>
              </w:rPr>
            </w:pPr>
            <w:r>
              <w:rPr>
                <w:color w:val="000000"/>
                <w:sz w:val="20"/>
                <w:szCs w:val="22"/>
                <w:lang w:val="fr-FR"/>
              </w:rPr>
              <w:t xml:space="preserve">67  </w:t>
            </w:r>
          </w:p>
        </w:tc>
      </w:tr>
    </w:tbl>
    <w:p w:rsidR="00000000" w:rsidRDefault="00000000">
      <w:pPr>
        <w:autoSpaceDE w:val="0"/>
        <w:autoSpaceDN w:val="0"/>
        <w:adjustRightInd w:val="0"/>
        <w:spacing w:before="80" w:after="360"/>
        <w:ind w:left="567"/>
        <w:rPr>
          <w:color w:val="000000"/>
          <w:sz w:val="20"/>
          <w:szCs w:val="22"/>
          <w:lang w:val="fr-FR"/>
        </w:rPr>
      </w:pPr>
      <w:r>
        <w:rPr>
          <w:i/>
          <w:iCs/>
          <w:color w:val="000000"/>
          <w:sz w:val="20"/>
          <w:szCs w:val="22"/>
          <w:lang w:val="fr-FR"/>
        </w:rPr>
        <w:t>Source :</w:t>
      </w:r>
      <w:r>
        <w:rPr>
          <w:color w:val="000000"/>
          <w:sz w:val="20"/>
          <w:szCs w:val="22"/>
          <w:lang w:val="fr-FR"/>
        </w:rPr>
        <w:t xml:space="preserve"> ENDEMAIN-94.</w:t>
      </w:r>
    </w:p>
    <w:p w:rsidR="00000000" w:rsidRDefault="00000000">
      <w:pPr>
        <w:autoSpaceDE w:val="0"/>
        <w:autoSpaceDN w:val="0"/>
        <w:adjustRightInd w:val="0"/>
        <w:jc w:val="center"/>
        <w:rPr>
          <w:b/>
          <w:bCs/>
          <w:color w:val="000000"/>
          <w:sz w:val="20"/>
          <w:szCs w:val="22"/>
          <w:lang w:val="fr-FR"/>
        </w:rPr>
      </w:pPr>
      <w:r>
        <w:rPr>
          <w:b/>
          <w:bCs/>
          <w:color w:val="000000"/>
          <w:sz w:val="20"/>
          <w:szCs w:val="22"/>
          <w:lang w:val="fr-FR"/>
        </w:rPr>
        <w:t xml:space="preserve">Taux de mortalité infantile et post-infantile  </w:t>
      </w:r>
    </w:p>
    <w:p w:rsidR="00000000" w:rsidRDefault="00000000">
      <w:pPr>
        <w:autoSpaceDE w:val="0"/>
        <w:autoSpaceDN w:val="0"/>
        <w:adjustRightInd w:val="0"/>
        <w:spacing w:after="80"/>
        <w:jc w:val="center"/>
        <w:rPr>
          <w:i/>
          <w:iCs/>
          <w:color w:val="000000"/>
          <w:sz w:val="20"/>
          <w:szCs w:val="22"/>
          <w:lang w:val="fr-FR"/>
        </w:rPr>
      </w:pPr>
      <w:r>
        <w:rPr>
          <w:i/>
          <w:iCs/>
          <w:color w:val="000000"/>
          <w:sz w:val="20"/>
          <w:szCs w:val="22"/>
          <w:lang w:val="fr-FR"/>
        </w:rPr>
        <w:t xml:space="preserve">(Enquête 1994-1999)  </w:t>
      </w:r>
    </w:p>
    <w:tbl>
      <w:tblPr>
        <w:tblW w:w="924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715"/>
        <w:gridCol w:w="720"/>
        <w:gridCol w:w="720"/>
        <w:gridCol w:w="720"/>
        <w:gridCol w:w="900"/>
        <w:gridCol w:w="720"/>
        <w:gridCol w:w="720"/>
        <w:gridCol w:w="900"/>
        <w:gridCol w:w="720"/>
        <w:gridCol w:w="772"/>
        <w:gridCol w:w="635"/>
      </w:tblGrid>
      <w:tr w:rsidR="00000000">
        <w:tblPrEx>
          <w:tblCellMar>
            <w:top w:w="0" w:type="dxa"/>
            <w:bottom w:w="0" w:type="dxa"/>
          </w:tblCellMar>
        </w:tblPrEx>
        <w:trPr>
          <w:cantSplit/>
          <w:trHeight w:val="445"/>
          <w:jc w:val="center"/>
        </w:trPr>
        <w:tc>
          <w:tcPr>
            <w:tcW w:w="1715" w:type="dxa"/>
            <w:tcBorders>
              <w:top w:val="single" w:sz="4" w:space="0" w:color="auto"/>
              <w:bottom w:val="nil"/>
            </w:tcBorders>
            <w:vAlign w:val="center"/>
          </w:tcPr>
          <w:p w:rsidR="00000000" w:rsidRDefault="00000000">
            <w:pPr>
              <w:autoSpaceDE w:val="0"/>
              <w:autoSpaceDN w:val="0"/>
              <w:adjustRightInd w:val="0"/>
              <w:spacing w:before="40" w:after="40"/>
              <w:jc w:val="center"/>
              <w:rPr>
                <w:b/>
                <w:bCs/>
                <w:i/>
                <w:iCs/>
                <w:color w:val="000000"/>
                <w:sz w:val="18"/>
                <w:szCs w:val="22"/>
                <w:lang w:val="fr-FR"/>
              </w:rPr>
            </w:pPr>
          </w:p>
        </w:tc>
        <w:tc>
          <w:tcPr>
            <w:tcW w:w="1440" w:type="dxa"/>
            <w:gridSpan w:val="2"/>
            <w:vMerge w:val="restart"/>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Totale</w:t>
            </w:r>
          </w:p>
        </w:tc>
        <w:tc>
          <w:tcPr>
            <w:tcW w:w="3060" w:type="dxa"/>
            <w:gridSpan w:val="4"/>
            <w:tcBorders>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Mortalité infantile</w:t>
            </w:r>
          </w:p>
        </w:tc>
        <w:tc>
          <w:tcPr>
            <w:tcW w:w="1620" w:type="dxa"/>
            <w:gridSpan w:val="2"/>
            <w:vMerge w:val="restart"/>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Mortalité post-infantile (enfants de 1 à 4 ans</w:t>
            </w:r>
          </w:p>
        </w:tc>
        <w:tc>
          <w:tcPr>
            <w:tcW w:w="1407" w:type="dxa"/>
            <w:gridSpan w:val="2"/>
            <w:vMerge w:val="restart"/>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 xml:space="preserve">Total (enfants </w:t>
            </w:r>
            <w:r>
              <w:rPr>
                <w:b/>
                <w:bCs/>
                <w:i/>
                <w:iCs/>
                <w:color w:val="000000"/>
                <w:sz w:val="18"/>
                <w:szCs w:val="22"/>
                <w:lang w:val="fr-FR"/>
              </w:rPr>
              <w:br/>
              <w:t>de 0 à 4 ans)</w:t>
            </w:r>
          </w:p>
        </w:tc>
      </w:tr>
      <w:tr w:rsidR="00000000">
        <w:tblPrEx>
          <w:tblCellMar>
            <w:top w:w="0" w:type="dxa"/>
            <w:bottom w:w="0" w:type="dxa"/>
          </w:tblCellMar>
        </w:tblPrEx>
        <w:trPr>
          <w:cantSplit/>
          <w:jc w:val="center"/>
        </w:trPr>
        <w:tc>
          <w:tcPr>
            <w:tcW w:w="1715" w:type="dxa"/>
            <w:tcBorders>
              <w:top w:val="nil"/>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p>
        </w:tc>
        <w:tc>
          <w:tcPr>
            <w:tcW w:w="1440" w:type="dxa"/>
            <w:gridSpan w:val="2"/>
            <w:vMerge/>
            <w:tcBorders>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p>
        </w:tc>
        <w:tc>
          <w:tcPr>
            <w:tcW w:w="1620" w:type="dxa"/>
            <w:gridSpan w:val="2"/>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Néonatale</w:t>
            </w:r>
          </w:p>
        </w:tc>
        <w:tc>
          <w:tcPr>
            <w:tcW w:w="1440" w:type="dxa"/>
            <w:gridSpan w:val="2"/>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Postnéonatale</w:t>
            </w:r>
          </w:p>
        </w:tc>
        <w:tc>
          <w:tcPr>
            <w:tcW w:w="1620" w:type="dxa"/>
            <w:gridSpan w:val="2"/>
            <w:vMerge/>
            <w:tcBorders>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p>
        </w:tc>
        <w:tc>
          <w:tcPr>
            <w:tcW w:w="1407" w:type="dxa"/>
            <w:gridSpan w:val="2"/>
            <w:vMerge/>
            <w:tcBorders>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p>
        </w:tc>
      </w:tr>
      <w:tr w:rsidR="00000000">
        <w:tblPrEx>
          <w:tblCellMar>
            <w:top w:w="0" w:type="dxa"/>
            <w:bottom w:w="0" w:type="dxa"/>
          </w:tblCellMar>
        </w:tblPrEx>
        <w:trPr>
          <w:cantSplit/>
          <w:jc w:val="center"/>
        </w:trPr>
        <w:tc>
          <w:tcPr>
            <w:tcW w:w="1715" w:type="dxa"/>
            <w:tcBorders>
              <w:top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p>
        </w:tc>
        <w:tc>
          <w:tcPr>
            <w:tcW w:w="720" w:type="dxa"/>
            <w:tcBorders>
              <w:top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1994</w:t>
            </w:r>
          </w:p>
        </w:tc>
        <w:tc>
          <w:tcPr>
            <w:tcW w:w="720" w:type="dxa"/>
            <w:tcBorders>
              <w:top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1999</w:t>
            </w:r>
          </w:p>
        </w:tc>
        <w:tc>
          <w:tcPr>
            <w:tcW w:w="720" w:type="dxa"/>
            <w:tcBorders>
              <w:top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1994</w:t>
            </w:r>
          </w:p>
        </w:tc>
        <w:tc>
          <w:tcPr>
            <w:tcW w:w="900" w:type="dxa"/>
            <w:tcBorders>
              <w:top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1999</w:t>
            </w:r>
          </w:p>
        </w:tc>
        <w:tc>
          <w:tcPr>
            <w:tcW w:w="720" w:type="dxa"/>
            <w:tcBorders>
              <w:top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1994</w:t>
            </w:r>
          </w:p>
        </w:tc>
        <w:tc>
          <w:tcPr>
            <w:tcW w:w="720" w:type="dxa"/>
            <w:tcBorders>
              <w:top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1999</w:t>
            </w:r>
          </w:p>
        </w:tc>
        <w:tc>
          <w:tcPr>
            <w:tcW w:w="900" w:type="dxa"/>
            <w:tcBorders>
              <w:top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1994</w:t>
            </w:r>
          </w:p>
        </w:tc>
        <w:tc>
          <w:tcPr>
            <w:tcW w:w="720" w:type="dxa"/>
            <w:tcBorders>
              <w:top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1999</w:t>
            </w:r>
          </w:p>
        </w:tc>
        <w:tc>
          <w:tcPr>
            <w:tcW w:w="772" w:type="dxa"/>
            <w:tcBorders>
              <w:top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1994</w:t>
            </w:r>
          </w:p>
        </w:tc>
        <w:tc>
          <w:tcPr>
            <w:tcW w:w="635" w:type="dxa"/>
            <w:tcBorders>
              <w:top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1999</w:t>
            </w:r>
          </w:p>
        </w:tc>
      </w:tr>
      <w:tr w:rsidR="00000000">
        <w:tblPrEx>
          <w:tblCellMar>
            <w:top w:w="0" w:type="dxa"/>
            <w:bottom w:w="0" w:type="dxa"/>
          </w:tblCellMar>
        </w:tblPrEx>
        <w:trPr>
          <w:cantSplit/>
          <w:jc w:val="center"/>
        </w:trPr>
        <w:tc>
          <w:tcPr>
            <w:tcW w:w="1715" w:type="dxa"/>
          </w:tcPr>
          <w:p w:rsidR="00000000" w:rsidRDefault="00000000">
            <w:pPr>
              <w:autoSpaceDE w:val="0"/>
              <w:autoSpaceDN w:val="0"/>
              <w:adjustRightInd w:val="0"/>
              <w:spacing w:after="20"/>
              <w:rPr>
                <w:color w:val="000000"/>
                <w:sz w:val="20"/>
                <w:szCs w:val="22"/>
                <w:lang w:val="fr-FR"/>
              </w:rPr>
            </w:pPr>
            <w:r>
              <w:rPr>
                <w:color w:val="000000"/>
                <w:sz w:val="20"/>
                <w:szCs w:val="22"/>
                <w:lang w:val="fr-FR"/>
              </w:rPr>
              <w:t xml:space="preserve">Total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40</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30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22</w:t>
            </w:r>
          </w:p>
        </w:tc>
        <w:tc>
          <w:tcPr>
            <w:tcW w:w="90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19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18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11 </w:t>
            </w:r>
          </w:p>
        </w:tc>
        <w:tc>
          <w:tcPr>
            <w:tcW w:w="90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12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9 </w:t>
            </w:r>
          </w:p>
        </w:tc>
        <w:tc>
          <w:tcPr>
            <w:tcW w:w="772"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51 </w:t>
            </w:r>
          </w:p>
        </w:tc>
        <w:tc>
          <w:tcPr>
            <w:tcW w:w="635"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37  </w:t>
            </w:r>
          </w:p>
        </w:tc>
      </w:tr>
      <w:tr w:rsidR="00000000">
        <w:tblPrEx>
          <w:tblCellMar>
            <w:top w:w="0" w:type="dxa"/>
            <w:bottom w:w="0" w:type="dxa"/>
          </w:tblCellMar>
        </w:tblPrEx>
        <w:trPr>
          <w:cantSplit/>
          <w:jc w:val="center"/>
        </w:trPr>
        <w:tc>
          <w:tcPr>
            <w:tcW w:w="1715" w:type="dxa"/>
          </w:tcPr>
          <w:p w:rsidR="00000000" w:rsidRDefault="00000000">
            <w:pPr>
              <w:autoSpaceDE w:val="0"/>
              <w:autoSpaceDN w:val="0"/>
              <w:adjustRightInd w:val="0"/>
              <w:spacing w:after="20"/>
              <w:rPr>
                <w:color w:val="000000"/>
                <w:sz w:val="20"/>
                <w:szCs w:val="22"/>
                <w:lang w:val="fr-FR"/>
              </w:rPr>
            </w:pPr>
            <w:r>
              <w:rPr>
                <w:color w:val="000000"/>
                <w:sz w:val="20"/>
                <w:szCs w:val="22"/>
                <w:lang w:val="fr-FR"/>
              </w:rPr>
              <w:t xml:space="preserve">Secteur  </w:t>
            </w: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900" w:type="dxa"/>
          </w:tcPr>
          <w:p w:rsidR="00000000" w:rsidRDefault="00000000">
            <w:pPr>
              <w:autoSpaceDE w:val="0"/>
              <w:autoSpaceDN w:val="0"/>
              <w:adjustRightInd w:val="0"/>
              <w:spacing w:after="20"/>
              <w:ind w:right="170"/>
              <w:jc w:val="right"/>
              <w:rPr>
                <w:color w:val="000000"/>
                <w:sz w:val="20"/>
                <w:szCs w:val="22"/>
                <w:lang w:val="fr-FR"/>
              </w:rPr>
            </w:pP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900" w:type="dxa"/>
          </w:tcPr>
          <w:p w:rsidR="00000000" w:rsidRDefault="00000000">
            <w:pPr>
              <w:autoSpaceDE w:val="0"/>
              <w:autoSpaceDN w:val="0"/>
              <w:adjustRightInd w:val="0"/>
              <w:spacing w:after="20"/>
              <w:ind w:right="170"/>
              <w:jc w:val="right"/>
              <w:rPr>
                <w:color w:val="000000"/>
                <w:sz w:val="20"/>
                <w:szCs w:val="22"/>
                <w:lang w:val="fr-FR"/>
              </w:rPr>
            </w:pP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772" w:type="dxa"/>
          </w:tcPr>
          <w:p w:rsidR="00000000" w:rsidRDefault="00000000">
            <w:pPr>
              <w:autoSpaceDE w:val="0"/>
              <w:autoSpaceDN w:val="0"/>
              <w:adjustRightInd w:val="0"/>
              <w:spacing w:after="20"/>
              <w:ind w:right="170"/>
              <w:jc w:val="right"/>
              <w:rPr>
                <w:color w:val="000000"/>
                <w:sz w:val="20"/>
                <w:szCs w:val="22"/>
                <w:lang w:val="fr-FR"/>
              </w:rPr>
            </w:pPr>
          </w:p>
        </w:tc>
        <w:tc>
          <w:tcPr>
            <w:tcW w:w="635" w:type="dxa"/>
          </w:tcPr>
          <w:p w:rsidR="00000000" w:rsidRDefault="00000000">
            <w:pPr>
              <w:autoSpaceDE w:val="0"/>
              <w:autoSpaceDN w:val="0"/>
              <w:adjustRightInd w:val="0"/>
              <w:spacing w:after="20"/>
              <w:ind w:right="170"/>
              <w:jc w:val="right"/>
              <w:rPr>
                <w:color w:val="000000"/>
                <w:sz w:val="20"/>
                <w:szCs w:val="22"/>
                <w:lang w:val="fr-FR"/>
              </w:rPr>
            </w:pPr>
          </w:p>
        </w:tc>
      </w:tr>
      <w:tr w:rsidR="00000000">
        <w:tblPrEx>
          <w:tblCellMar>
            <w:top w:w="0" w:type="dxa"/>
            <w:bottom w:w="0" w:type="dxa"/>
          </w:tblCellMar>
        </w:tblPrEx>
        <w:trPr>
          <w:cantSplit/>
          <w:jc w:val="center"/>
        </w:trPr>
        <w:tc>
          <w:tcPr>
            <w:tcW w:w="1715" w:type="dxa"/>
          </w:tcPr>
          <w:p w:rsidR="00000000" w:rsidRDefault="00000000">
            <w:pPr>
              <w:autoSpaceDE w:val="0"/>
              <w:autoSpaceDN w:val="0"/>
              <w:adjustRightInd w:val="0"/>
              <w:spacing w:after="20"/>
              <w:rPr>
                <w:color w:val="000000"/>
                <w:sz w:val="20"/>
                <w:szCs w:val="22"/>
                <w:lang w:val="fr-FR"/>
              </w:rPr>
            </w:pPr>
            <w:r>
              <w:rPr>
                <w:color w:val="000000"/>
                <w:sz w:val="20"/>
                <w:szCs w:val="22"/>
                <w:lang w:val="fr-FR"/>
              </w:rPr>
              <w:t xml:space="preserve">Urbain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30</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22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18</w:t>
            </w:r>
          </w:p>
        </w:tc>
        <w:tc>
          <w:tcPr>
            <w:tcW w:w="90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15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12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7 </w:t>
            </w:r>
          </w:p>
        </w:tc>
        <w:tc>
          <w:tcPr>
            <w:tcW w:w="90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7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3 </w:t>
            </w:r>
          </w:p>
        </w:tc>
        <w:tc>
          <w:tcPr>
            <w:tcW w:w="772"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35 </w:t>
            </w:r>
          </w:p>
        </w:tc>
        <w:tc>
          <w:tcPr>
            <w:tcW w:w="635"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25  </w:t>
            </w:r>
          </w:p>
        </w:tc>
      </w:tr>
      <w:tr w:rsidR="00000000">
        <w:tblPrEx>
          <w:tblCellMar>
            <w:top w:w="0" w:type="dxa"/>
            <w:bottom w:w="0" w:type="dxa"/>
          </w:tblCellMar>
        </w:tblPrEx>
        <w:trPr>
          <w:cantSplit/>
          <w:jc w:val="center"/>
        </w:trPr>
        <w:tc>
          <w:tcPr>
            <w:tcW w:w="1715" w:type="dxa"/>
          </w:tcPr>
          <w:p w:rsidR="00000000" w:rsidRDefault="00000000">
            <w:pPr>
              <w:autoSpaceDE w:val="0"/>
              <w:autoSpaceDN w:val="0"/>
              <w:adjustRightInd w:val="0"/>
              <w:spacing w:after="20"/>
              <w:rPr>
                <w:color w:val="000000"/>
                <w:sz w:val="20"/>
                <w:szCs w:val="22"/>
                <w:lang w:val="fr-FR"/>
              </w:rPr>
            </w:pPr>
            <w:r>
              <w:rPr>
                <w:color w:val="000000"/>
                <w:sz w:val="20"/>
                <w:szCs w:val="22"/>
                <w:lang w:val="fr-FR"/>
              </w:rPr>
              <w:t xml:space="preserve">Rural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52</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40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28</w:t>
            </w:r>
          </w:p>
        </w:tc>
        <w:tc>
          <w:tcPr>
            <w:tcW w:w="90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24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24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16 </w:t>
            </w:r>
          </w:p>
        </w:tc>
        <w:tc>
          <w:tcPr>
            <w:tcW w:w="90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16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12 </w:t>
            </w:r>
          </w:p>
        </w:tc>
        <w:tc>
          <w:tcPr>
            <w:tcW w:w="772"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67 </w:t>
            </w:r>
          </w:p>
        </w:tc>
        <w:tc>
          <w:tcPr>
            <w:tcW w:w="635"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52  </w:t>
            </w:r>
          </w:p>
        </w:tc>
      </w:tr>
      <w:tr w:rsidR="00000000">
        <w:tblPrEx>
          <w:tblCellMar>
            <w:top w:w="0" w:type="dxa"/>
            <w:bottom w:w="0" w:type="dxa"/>
          </w:tblCellMar>
        </w:tblPrEx>
        <w:trPr>
          <w:cantSplit/>
          <w:jc w:val="center"/>
        </w:trPr>
        <w:tc>
          <w:tcPr>
            <w:tcW w:w="1715" w:type="dxa"/>
          </w:tcPr>
          <w:p w:rsidR="00000000" w:rsidRDefault="00000000">
            <w:pPr>
              <w:autoSpaceDE w:val="0"/>
              <w:autoSpaceDN w:val="0"/>
              <w:adjustRightInd w:val="0"/>
              <w:spacing w:after="20"/>
              <w:rPr>
                <w:color w:val="000000"/>
                <w:sz w:val="20"/>
                <w:szCs w:val="22"/>
                <w:lang w:val="fr-FR"/>
              </w:rPr>
            </w:pPr>
            <w:r>
              <w:rPr>
                <w:color w:val="000000"/>
                <w:sz w:val="20"/>
                <w:szCs w:val="22"/>
                <w:lang w:val="fr-FR"/>
              </w:rPr>
              <w:t xml:space="preserve">Région  </w:t>
            </w: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900" w:type="dxa"/>
          </w:tcPr>
          <w:p w:rsidR="00000000" w:rsidRDefault="00000000">
            <w:pPr>
              <w:autoSpaceDE w:val="0"/>
              <w:autoSpaceDN w:val="0"/>
              <w:adjustRightInd w:val="0"/>
              <w:spacing w:after="20"/>
              <w:ind w:right="170"/>
              <w:jc w:val="right"/>
              <w:rPr>
                <w:color w:val="000000"/>
                <w:sz w:val="20"/>
                <w:szCs w:val="22"/>
                <w:lang w:val="fr-FR"/>
              </w:rPr>
            </w:pP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900" w:type="dxa"/>
          </w:tcPr>
          <w:p w:rsidR="00000000" w:rsidRDefault="00000000">
            <w:pPr>
              <w:autoSpaceDE w:val="0"/>
              <w:autoSpaceDN w:val="0"/>
              <w:adjustRightInd w:val="0"/>
              <w:spacing w:after="20"/>
              <w:ind w:right="170"/>
              <w:jc w:val="right"/>
              <w:rPr>
                <w:color w:val="000000"/>
                <w:sz w:val="20"/>
                <w:szCs w:val="22"/>
                <w:lang w:val="fr-FR"/>
              </w:rPr>
            </w:pP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772" w:type="dxa"/>
          </w:tcPr>
          <w:p w:rsidR="00000000" w:rsidRDefault="00000000">
            <w:pPr>
              <w:autoSpaceDE w:val="0"/>
              <w:autoSpaceDN w:val="0"/>
              <w:adjustRightInd w:val="0"/>
              <w:spacing w:after="20"/>
              <w:ind w:right="170"/>
              <w:jc w:val="right"/>
              <w:rPr>
                <w:color w:val="000000"/>
                <w:sz w:val="20"/>
                <w:szCs w:val="22"/>
                <w:lang w:val="fr-FR"/>
              </w:rPr>
            </w:pPr>
          </w:p>
        </w:tc>
        <w:tc>
          <w:tcPr>
            <w:tcW w:w="635" w:type="dxa"/>
          </w:tcPr>
          <w:p w:rsidR="00000000" w:rsidRDefault="00000000">
            <w:pPr>
              <w:autoSpaceDE w:val="0"/>
              <w:autoSpaceDN w:val="0"/>
              <w:adjustRightInd w:val="0"/>
              <w:spacing w:after="20"/>
              <w:ind w:right="170"/>
              <w:jc w:val="right"/>
              <w:rPr>
                <w:color w:val="000000"/>
                <w:sz w:val="20"/>
                <w:szCs w:val="22"/>
                <w:lang w:val="fr-FR"/>
              </w:rPr>
            </w:pPr>
          </w:p>
        </w:tc>
      </w:tr>
      <w:tr w:rsidR="00000000">
        <w:tblPrEx>
          <w:tblCellMar>
            <w:top w:w="0" w:type="dxa"/>
            <w:bottom w:w="0" w:type="dxa"/>
          </w:tblCellMar>
        </w:tblPrEx>
        <w:trPr>
          <w:cantSplit/>
          <w:jc w:val="center"/>
        </w:trPr>
        <w:tc>
          <w:tcPr>
            <w:tcW w:w="1715" w:type="dxa"/>
          </w:tcPr>
          <w:p w:rsidR="00000000" w:rsidRDefault="00000000">
            <w:pPr>
              <w:autoSpaceDE w:val="0"/>
              <w:autoSpaceDN w:val="0"/>
              <w:adjustRightInd w:val="0"/>
              <w:spacing w:after="20"/>
              <w:rPr>
                <w:color w:val="000000"/>
                <w:sz w:val="20"/>
                <w:szCs w:val="22"/>
                <w:lang w:val="fr-FR"/>
              </w:rPr>
            </w:pPr>
            <w:r>
              <w:rPr>
                <w:color w:val="000000"/>
                <w:sz w:val="20"/>
                <w:szCs w:val="22"/>
                <w:lang w:val="fr-FR"/>
              </w:rPr>
              <w:t xml:space="preserve">Costa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32</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25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19</w:t>
            </w:r>
          </w:p>
        </w:tc>
        <w:tc>
          <w:tcPr>
            <w:tcW w:w="90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16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13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9 </w:t>
            </w:r>
          </w:p>
        </w:tc>
        <w:tc>
          <w:tcPr>
            <w:tcW w:w="90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7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4 </w:t>
            </w:r>
          </w:p>
        </w:tc>
        <w:tc>
          <w:tcPr>
            <w:tcW w:w="772"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38 </w:t>
            </w:r>
          </w:p>
        </w:tc>
        <w:tc>
          <w:tcPr>
            <w:tcW w:w="635"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29  </w:t>
            </w:r>
          </w:p>
        </w:tc>
      </w:tr>
      <w:tr w:rsidR="00000000">
        <w:tblPrEx>
          <w:tblCellMar>
            <w:top w:w="0" w:type="dxa"/>
            <w:bottom w:w="0" w:type="dxa"/>
          </w:tblCellMar>
        </w:tblPrEx>
        <w:trPr>
          <w:cantSplit/>
          <w:jc w:val="center"/>
        </w:trPr>
        <w:tc>
          <w:tcPr>
            <w:tcW w:w="1715" w:type="dxa"/>
          </w:tcPr>
          <w:p w:rsidR="00000000" w:rsidRDefault="00000000">
            <w:pPr>
              <w:autoSpaceDE w:val="0"/>
              <w:autoSpaceDN w:val="0"/>
              <w:adjustRightInd w:val="0"/>
              <w:spacing w:after="20"/>
              <w:rPr>
                <w:color w:val="000000"/>
                <w:sz w:val="20"/>
                <w:szCs w:val="22"/>
                <w:lang w:val="fr-FR"/>
              </w:rPr>
            </w:pPr>
            <w:r>
              <w:rPr>
                <w:color w:val="000000"/>
                <w:sz w:val="20"/>
                <w:szCs w:val="22"/>
                <w:lang w:val="fr-FR"/>
              </w:rPr>
              <w:t xml:space="preserve">Sierra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47</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34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25</w:t>
            </w:r>
          </w:p>
        </w:tc>
        <w:tc>
          <w:tcPr>
            <w:tcW w:w="90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21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22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13 </w:t>
            </w:r>
          </w:p>
        </w:tc>
        <w:tc>
          <w:tcPr>
            <w:tcW w:w="90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16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10 </w:t>
            </w:r>
          </w:p>
        </w:tc>
        <w:tc>
          <w:tcPr>
            <w:tcW w:w="772"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63 </w:t>
            </w:r>
          </w:p>
        </w:tc>
        <w:tc>
          <w:tcPr>
            <w:tcW w:w="635"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44  </w:t>
            </w:r>
          </w:p>
        </w:tc>
      </w:tr>
      <w:tr w:rsidR="00000000">
        <w:tblPrEx>
          <w:tblCellMar>
            <w:top w:w="0" w:type="dxa"/>
            <w:bottom w:w="0" w:type="dxa"/>
          </w:tblCellMar>
        </w:tblPrEx>
        <w:trPr>
          <w:cantSplit/>
          <w:jc w:val="center"/>
        </w:trPr>
        <w:tc>
          <w:tcPr>
            <w:tcW w:w="1715" w:type="dxa"/>
          </w:tcPr>
          <w:p w:rsidR="00000000" w:rsidRDefault="00000000">
            <w:pPr>
              <w:autoSpaceDE w:val="0"/>
              <w:autoSpaceDN w:val="0"/>
              <w:adjustRightInd w:val="0"/>
              <w:spacing w:after="20"/>
              <w:rPr>
                <w:color w:val="000000"/>
                <w:sz w:val="20"/>
                <w:szCs w:val="22"/>
                <w:lang w:val="fr-FR"/>
              </w:rPr>
            </w:pPr>
            <w:r>
              <w:rPr>
                <w:color w:val="000000"/>
                <w:sz w:val="20"/>
                <w:szCs w:val="22"/>
                <w:lang w:val="fr-FR"/>
              </w:rPr>
              <w:t xml:space="preserve">Instruction  </w:t>
            </w: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900" w:type="dxa"/>
          </w:tcPr>
          <w:p w:rsidR="00000000" w:rsidRDefault="00000000">
            <w:pPr>
              <w:autoSpaceDE w:val="0"/>
              <w:autoSpaceDN w:val="0"/>
              <w:adjustRightInd w:val="0"/>
              <w:spacing w:after="20"/>
              <w:ind w:right="170"/>
              <w:jc w:val="right"/>
              <w:rPr>
                <w:color w:val="000000"/>
                <w:sz w:val="20"/>
                <w:szCs w:val="22"/>
                <w:lang w:val="fr-FR"/>
              </w:rPr>
            </w:pP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900" w:type="dxa"/>
          </w:tcPr>
          <w:p w:rsidR="00000000" w:rsidRDefault="00000000">
            <w:pPr>
              <w:autoSpaceDE w:val="0"/>
              <w:autoSpaceDN w:val="0"/>
              <w:adjustRightInd w:val="0"/>
              <w:spacing w:after="20"/>
              <w:ind w:right="170"/>
              <w:jc w:val="right"/>
              <w:rPr>
                <w:color w:val="000000"/>
                <w:sz w:val="20"/>
                <w:szCs w:val="22"/>
                <w:lang w:val="fr-FR"/>
              </w:rPr>
            </w:pPr>
          </w:p>
        </w:tc>
        <w:tc>
          <w:tcPr>
            <w:tcW w:w="720" w:type="dxa"/>
          </w:tcPr>
          <w:p w:rsidR="00000000" w:rsidRDefault="00000000">
            <w:pPr>
              <w:autoSpaceDE w:val="0"/>
              <w:autoSpaceDN w:val="0"/>
              <w:adjustRightInd w:val="0"/>
              <w:spacing w:after="20"/>
              <w:ind w:right="170"/>
              <w:jc w:val="right"/>
              <w:rPr>
                <w:color w:val="000000"/>
                <w:sz w:val="20"/>
                <w:szCs w:val="22"/>
                <w:lang w:val="fr-FR"/>
              </w:rPr>
            </w:pPr>
          </w:p>
        </w:tc>
        <w:tc>
          <w:tcPr>
            <w:tcW w:w="772" w:type="dxa"/>
          </w:tcPr>
          <w:p w:rsidR="00000000" w:rsidRDefault="00000000">
            <w:pPr>
              <w:autoSpaceDE w:val="0"/>
              <w:autoSpaceDN w:val="0"/>
              <w:adjustRightInd w:val="0"/>
              <w:spacing w:after="20"/>
              <w:ind w:right="170"/>
              <w:jc w:val="right"/>
              <w:rPr>
                <w:color w:val="000000"/>
                <w:sz w:val="20"/>
                <w:szCs w:val="22"/>
                <w:lang w:val="fr-FR"/>
              </w:rPr>
            </w:pPr>
          </w:p>
        </w:tc>
        <w:tc>
          <w:tcPr>
            <w:tcW w:w="635" w:type="dxa"/>
          </w:tcPr>
          <w:p w:rsidR="00000000" w:rsidRDefault="00000000">
            <w:pPr>
              <w:autoSpaceDE w:val="0"/>
              <w:autoSpaceDN w:val="0"/>
              <w:adjustRightInd w:val="0"/>
              <w:spacing w:after="20"/>
              <w:ind w:right="170"/>
              <w:jc w:val="right"/>
              <w:rPr>
                <w:color w:val="000000"/>
                <w:sz w:val="20"/>
                <w:szCs w:val="22"/>
                <w:lang w:val="fr-FR"/>
              </w:rPr>
            </w:pPr>
          </w:p>
        </w:tc>
      </w:tr>
      <w:tr w:rsidR="00000000">
        <w:tblPrEx>
          <w:tblCellMar>
            <w:top w:w="0" w:type="dxa"/>
            <w:bottom w:w="0" w:type="dxa"/>
          </w:tblCellMar>
        </w:tblPrEx>
        <w:trPr>
          <w:cantSplit/>
          <w:jc w:val="center"/>
        </w:trPr>
        <w:tc>
          <w:tcPr>
            <w:tcW w:w="1715" w:type="dxa"/>
          </w:tcPr>
          <w:p w:rsidR="00000000" w:rsidRDefault="00000000">
            <w:pPr>
              <w:autoSpaceDE w:val="0"/>
              <w:autoSpaceDN w:val="0"/>
              <w:adjustRightInd w:val="0"/>
              <w:spacing w:after="20"/>
              <w:rPr>
                <w:color w:val="000000"/>
                <w:sz w:val="20"/>
                <w:szCs w:val="22"/>
                <w:lang w:val="fr-FR"/>
              </w:rPr>
            </w:pPr>
            <w:r>
              <w:rPr>
                <w:color w:val="000000"/>
                <w:sz w:val="20"/>
                <w:szCs w:val="22"/>
                <w:lang w:val="fr-FR"/>
              </w:rPr>
              <w:t xml:space="preserve">Aucune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79</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50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41</w:t>
            </w:r>
          </w:p>
        </w:tc>
        <w:tc>
          <w:tcPr>
            <w:tcW w:w="90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23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38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27 </w:t>
            </w:r>
          </w:p>
        </w:tc>
        <w:tc>
          <w:tcPr>
            <w:tcW w:w="90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23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14 </w:t>
            </w:r>
          </w:p>
        </w:tc>
        <w:tc>
          <w:tcPr>
            <w:tcW w:w="772"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101 </w:t>
            </w:r>
          </w:p>
        </w:tc>
        <w:tc>
          <w:tcPr>
            <w:tcW w:w="635"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64  </w:t>
            </w:r>
          </w:p>
        </w:tc>
      </w:tr>
      <w:tr w:rsidR="00000000">
        <w:tblPrEx>
          <w:tblCellMar>
            <w:top w:w="0" w:type="dxa"/>
            <w:bottom w:w="0" w:type="dxa"/>
          </w:tblCellMar>
        </w:tblPrEx>
        <w:trPr>
          <w:cantSplit/>
          <w:jc w:val="center"/>
        </w:trPr>
        <w:tc>
          <w:tcPr>
            <w:tcW w:w="1715" w:type="dxa"/>
          </w:tcPr>
          <w:p w:rsidR="00000000" w:rsidRDefault="00000000">
            <w:pPr>
              <w:autoSpaceDE w:val="0"/>
              <w:autoSpaceDN w:val="0"/>
              <w:adjustRightInd w:val="0"/>
              <w:spacing w:after="20"/>
              <w:rPr>
                <w:color w:val="000000"/>
                <w:sz w:val="20"/>
                <w:szCs w:val="22"/>
                <w:lang w:val="fr-FR"/>
              </w:rPr>
            </w:pPr>
            <w:r>
              <w:rPr>
                <w:color w:val="000000"/>
                <w:sz w:val="20"/>
                <w:szCs w:val="22"/>
                <w:lang w:val="fr-FR"/>
              </w:rPr>
              <w:t xml:space="preserve">Primaire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44</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35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24 </w:t>
            </w:r>
          </w:p>
        </w:tc>
        <w:tc>
          <w:tcPr>
            <w:tcW w:w="90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20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20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15 </w:t>
            </w:r>
          </w:p>
        </w:tc>
        <w:tc>
          <w:tcPr>
            <w:tcW w:w="90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16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10 </w:t>
            </w:r>
          </w:p>
        </w:tc>
        <w:tc>
          <w:tcPr>
            <w:tcW w:w="772"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59 </w:t>
            </w:r>
          </w:p>
        </w:tc>
        <w:tc>
          <w:tcPr>
            <w:tcW w:w="635"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44  </w:t>
            </w:r>
          </w:p>
        </w:tc>
      </w:tr>
      <w:tr w:rsidR="00000000">
        <w:tblPrEx>
          <w:tblCellMar>
            <w:top w:w="0" w:type="dxa"/>
            <w:bottom w:w="0" w:type="dxa"/>
          </w:tblCellMar>
        </w:tblPrEx>
        <w:trPr>
          <w:cantSplit/>
          <w:jc w:val="center"/>
        </w:trPr>
        <w:tc>
          <w:tcPr>
            <w:tcW w:w="1715" w:type="dxa"/>
          </w:tcPr>
          <w:p w:rsidR="00000000" w:rsidRDefault="00000000">
            <w:pPr>
              <w:autoSpaceDE w:val="0"/>
              <w:autoSpaceDN w:val="0"/>
              <w:adjustRightInd w:val="0"/>
              <w:spacing w:after="20"/>
              <w:rPr>
                <w:color w:val="000000"/>
                <w:sz w:val="20"/>
                <w:szCs w:val="22"/>
                <w:lang w:val="fr-FR"/>
              </w:rPr>
            </w:pPr>
            <w:r>
              <w:rPr>
                <w:color w:val="000000"/>
                <w:sz w:val="20"/>
                <w:szCs w:val="22"/>
                <w:lang w:val="fr-FR"/>
              </w:rPr>
              <w:t xml:space="preserve">Secondaire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31</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25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20</w:t>
            </w:r>
          </w:p>
        </w:tc>
        <w:tc>
          <w:tcPr>
            <w:tcW w:w="90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19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11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5 </w:t>
            </w:r>
          </w:p>
        </w:tc>
        <w:tc>
          <w:tcPr>
            <w:tcW w:w="90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3 </w:t>
            </w:r>
          </w:p>
        </w:tc>
        <w:tc>
          <w:tcPr>
            <w:tcW w:w="720"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5 </w:t>
            </w:r>
          </w:p>
        </w:tc>
        <w:tc>
          <w:tcPr>
            <w:tcW w:w="772"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34 </w:t>
            </w:r>
          </w:p>
        </w:tc>
        <w:tc>
          <w:tcPr>
            <w:tcW w:w="635" w:type="dxa"/>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30  </w:t>
            </w:r>
          </w:p>
        </w:tc>
      </w:tr>
      <w:tr w:rsidR="00000000">
        <w:tblPrEx>
          <w:tblCellMar>
            <w:top w:w="0" w:type="dxa"/>
            <w:bottom w:w="0" w:type="dxa"/>
          </w:tblCellMar>
        </w:tblPrEx>
        <w:trPr>
          <w:cantSplit/>
          <w:jc w:val="center"/>
        </w:trPr>
        <w:tc>
          <w:tcPr>
            <w:tcW w:w="1715" w:type="dxa"/>
          </w:tcPr>
          <w:p w:rsidR="00000000" w:rsidRDefault="00000000">
            <w:pPr>
              <w:autoSpaceDE w:val="0"/>
              <w:autoSpaceDN w:val="0"/>
              <w:adjustRightInd w:val="0"/>
              <w:spacing w:after="20"/>
              <w:rPr>
                <w:color w:val="000000"/>
                <w:sz w:val="20"/>
                <w:szCs w:val="22"/>
                <w:lang w:val="fr-FR"/>
              </w:rPr>
            </w:pPr>
            <w:r>
              <w:rPr>
                <w:color w:val="000000"/>
                <w:sz w:val="20"/>
                <w:szCs w:val="22"/>
                <w:lang w:val="fr-FR"/>
              </w:rPr>
              <w:t xml:space="preserve">Universitaire et postuniversitraire </w:t>
            </w:r>
          </w:p>
        </w:tc>
        <w:tc>
          <w:tcPr>
            <w:tcW w:w="720" w:type="dxa"/>
            <w:vAlign w:val="center"/>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11</w:t>
            </w:r>
          </w:p>
        </w:tc>
        <w:tc>
          <w:tcPr>
            <w:tcW w:w="720" w:type="dxa"/>
            <w:vAlign w:val="center"/>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11 </w:t>
            </w:r>
          </w:p>
        </w:tc>
        <w:tc>
          <w:tcPr>
            <w:tcW w:w="720" w:type="dxa"/>
            <w:vAlign w:val="center"/>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7</w:t>
            </w:r>
          </w:p>
        </w:tc>
        <w:tc>
          <w:tcPr>
            <w:tcW w:w="900" w:type="dxa"/>
            <w:vAlign w:val="center"/>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9 </w:t>
            </w:r>
          </w:p>
        </w:tc>
        <w:tc>
          <w:tcPr>
            <w:tcW w:w="720" w:type="dxa"/>
            <w:vAlign w:val="center"/>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4 </w:t>
            </w:r>
          </w:p>
        </w:tc>
        <w:tc>
          <w:tcPr>
            <w:tcW w:w="720" w:type="dxa"/>
            <w:vAlign w:val="center"/>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 </w:t>
            </w:r>
          </w:p>
        </w:tc>
        <w:tc>
          <w:tcPr>
            <w:tcW w:w="900" w:type="dxa"/>
            <w:vAlign w:val="center"/>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 </w:t>
            </w:r>
          </w:p>
        </w:tc>
        <w:tc>
          <w:tcPr>
            <w:tcW w:w="720" w:type="dxa"/>
            <w:vAlign w:val="center"/>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 </w:t>
            </w:r>
          </w:p>
        </w:tc>
        <w:tc>
          <w:tcPr>
            <w:tcW w:w="772" w:type="dxa"/>
            <w:vAlign w:val="center"/>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13 </w:t>
            </w:r>
          </w:p>
        </w:tc>
        <w:tc>
          <w:tcPr>
            <w:tcW w:w="635" w:type="dxa"/>
            <w:vAlign w:val="center"/>
          </w:tcPr>
          <w:p w:rsidR="00000000" w:rsidRDefault="00000000">
            <w:pPr>
              <w:autoSpaceDE w:val="0"/>
              <w:autoSpaceDN w:val="0"/>
              <w:adjustRightInd w:val="0"/>
              <w:spacing w:after="20"/>
              <w:ind w:right="170"/>
              <w:jc w:val="right"/>
              <w:rPr>
                <w:color w:val="000000"/>
                <w:sz w:val="20"/>
                <w:szCs w:val="22"/>
                <w:lang w:val="fr-FR"/>
              </w:rPr>
            </w:pPr>
            <w:r>
              <w:rPr>
                <w:color w:val="000000"/>
                <w:sz w:val="20"/>
                <w:szCs w:val="22"/>
                <w:lang w:val="fr-FR"/>
              </w:rPr>
              <w:t xml:space="preserve">12  </w:t>
            </w:r>
          </w:p>
        </w:tc>
      </w:tr>
    </w:tbl>
    <w:p w:rsidR="00000000" w:rsidRDefault="00000000">
      <w:pPr>
        <w:spacing w:after="240"/>
        <w:rPr>
          <w:iCs/>
          <w:color w:val="000000"/>
          <w:lang w:val="fr-FR"/>
        </w:rPr>
      </w:pPr>
      <w:r>
        <w:rPr>
          <w:iCs/>
          <w:color w:val="000000"/>
          <w:lang w:val="fr-FR"/>
        </w:rPr>
        <w:t>399.</w:t>
      </w:r>
      <w:r>
        <w:rPr>
          <w:iCs/>
          <w:color w:val="000000"/>
          <w:lang w:val="fr-FR"/>
        </w:rPr>
        <w:tab/>
        <w:t>Le niveau général de la mortalité infantile a diminué de 25 % cours de la période quinquennale considérée ― le taux de mortalité infantile totale passant de 40 à 30 pour 1000 ―, ce qui correspond à une diminution de cinq points de pourcentage en moyenne par an.  C'est la mortalité postnéonatale qui, avec une baisse de 39 %, a le plus reculé.</w:t>
      </w:r>
    </w:p>
    <w:p w:rsidR="00000000" w:rsidRDefault="00000000">
      <w:pPr>
        <w:spacing w:after="240"/>
        <w:rPr>
          <w:iCs/>
          <w:color w:val="000000"/>
          <w:lang w:val="fr-FR"/>
        </w:rPr>
      </w:pPr>
      <w:r>
        <w:rPr>
          <w:iCs/>
          <w:color w:val="000000"/>
          <w:lang w:val="fr-FR"/>
        </w:rPr>
        <w:t>400.</w:t>
      </w:r>
      <w:r>
        <w:rPr>
          <w:iCs/>
          <w:color w:val="000000"/>
          <w:lang w:val="fr-FR"/>
        </w:rPr>
        <w:tab/>
        <w:t>Dans la région de la Costa, la mortalité postnéonatale représente 36 % de la mortalité infantile totale.  Ce pourcentage atteint 38 % dans la Sierra et 47 % dans la région amazonienne, ce qui tend à montrer que les campagnes de santé dans ces régions sont indispensables et pourraient se traduire par des baisses importantes des niveaux de mortalité.</w:t>
      </w:r>
    </w:p>
    <w:p w:rsidR="00000000" w:rsidRDefault="00000000">
      <w:pPr>
        <w:spacing w:after="240"/>
        <w:rPr>
          <w:iCs/>
          <w:color w:val="000000"/>
          <w:lang w:val="fr-FR"/>
        </w:rPr>
      </w:pPr>
      <w:r>
        <w:rPr>
          <w:iCs/>
          <w:color w:val="000000"/>
          <w:lang w:val="fr-FR"/>
        </w:rPr>
        <w:t>401.</w:t>
      </w:r>
      <w:r>
        <w:rPr>
          <w:iCs/>
          <w:color w:val="000000"/>
          <w:lang w:val="fr-FR"/>
        </w:rPr>
        <w:tab/>
        <w:t>L'éducation est un facteur déterminant du niveau de mortalité infantile.  L'éducation améliore les comportements et pratiques positifs de santé et d'hygiène.  Des enfants de mères sans instruction un taux de mortalité infantile (52 pour 1000) double de celui des enfants de mères ayant une instruction secondaire (26 pour 1000), et le niveau de la mortalité diminue d'autant plus que le niveau d'instruction est élevé, tendance qui se vérifie dans tous les cas, et tout particulièrement dans le cas de la mortalité des enfants de 0 à 4 ans, qui est six fois plus élevée dans le cas des enfants de mères sans instruction que dans celui des mères ayant une éducation supérieure ou post-universitaire.</w:t>
      </w:r>
    </w:p>
    <w:p w:rsidR="00000000" w:rsidRDefault="00000000">
      <w:pPr>
        <w:spacing w:after="240"/>
        <w:rPr>
          <w:iCs/>
          <w:color w:val="000000"/>
          <w:lang w:val="fr-FR"/>
        </w:rPr>
      </w:pPr>
      <w:r>
        <w:rPr>
          <w:iCs/>
          <w:color w:val="000000"/>
          <w:lang w:val="fr-FR"/>
        </w:rPr>
        <w:t>402.</w:t>
      </w:r>
      <w:r>
        <w:rPr>
          <w:iCs/>
          <w:color w:val="000000"/>
          <w:lang w:val="fr-FR"/>
        </w:rPr>
        <w:tab/>
        <w:t>D'après les données du Ministère de la santé, les indicateurs de la mortalité infantile sont les suivants pour 1998 :</w:t>
      </w:r>
    </w:p>
    <w:p w:rsidR="00000000" w:rsidRDefault="00000000">
      <w:pPr>
        <w:autoSpaceDE w:val="0"/>
        <w:autoSpaceDN w:val="0"/>
        <w:adjustRightInd w:val="0"/>
        <w:spacing w:after="240"/>
        <w:ind w:left="10"/>
        <w:jc w:val="center"/>
        <w:rPr>
          <w:color w:val="000000"/>
          <w:sz w:val="20"/>
          <w:szCs w:val="22"/>
          <w:lang w:val="fr-FR"/>
        </w:rPr>
      </w:pPr>
      <w:r>
        <w:rPr>
          <w:b/>
          <w:bCs/>
          <w:color w:val="000000"/>
          <w:sz w:val="20"/>
          <w:szCs w:val="22"/>
          <w:lang w:val="fr-FR"/>
        </w:rPr>
        <w:t xml:space="preserve">Indicateurs démographiques, 1998 </w:t>
      </w:r>
      <w:r>
        <w:rPr>
          <w:b/>
          <w:bCs/>
          <w:color w:val="000000"/>
          <w:sz w:val="20"/>
          <w:szCs w:val="22"/>
          <w:lang w:val="fr-FR"/>
        </w:rPr>
        <w:br/>
        <w:t xml:space="preserve">(Ministère de la santé)  </w:t>
      </w:r>
    </w:p>
    <w:tbl>
      <w:tblPr>
        <w:tblW w:w="6804"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5532"/>
        <w:gridCol w:w="1272"/>
      </w:tblGrid>
      <w:tr w:rsidR="00000000">
        <w:tblPrEx>
          <w:tblCellMar>
            <w:top w:w="0" w:type="dxa"/>
            <w:bottom w:w="0" w:type="dxa"/>
          </w:tblCellMar>
        </w:tblPrEx>
        <w:trPr>
          <w:jc w:val="center"/>
        </w:trPr>
        <w:tc>
          <w:tcPr>
            <w:tcW w:w="4742"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Taux de mortalité infantile * </w:t>
            </w:r>
          </w:p>
        </w:tc>
        <w:tc>
          <w:tcPr>
            <w:tcW w:w="1090" w:type="dxa"/>
          </w:tcPr>
          <w:p w:rsidR="00000000" w:rsidRDefault="00000000">
            <w:pPr>
              <w:tabs>
                <w:tab w:val="decimal" w:pos="474"/>
              </w:tabs>
              <w:autoSpaceDE w:val="0"/>
              <w:autoSpaceDN w:val="0"/>
              <w:adjustRightInd w:val="0"/>
              <w:spacing w:before="60" w:after="60"/>
              <w:rPr>
                <w:color w:val="000000"/>
                <w:sz w:val="20"/>
                <w:szCs w:val="22"/>
                <w:lang w:val="fr-FR"/>
              </w:rPr>
            </w:pPr>
            <w:r>
              <w:rPr>
                <w:color w:val="000000"/>
                <w:sz w:val="20"/>
                <w:szCs w:val="22"/>
                <w:lang w:val="fr-FR"/>
              </w:rPr>
              <w:t xml:space="preserve">32,2  </w:t>
            </w:r>
          </w:p>
        </w:tc>
      </w:tr>
      <w:tr w:rsidR="00000000">
        <w:tblPrEx>
          <w:tblCellMar>
            <w:top w:w="0" w:type="dxa"/>
            <w:bottom w:w="0" w:type="dxa"/>
          </w:tblCellMar>
        </w:tblPrEx>
        <w:trPr>
          <w:jc w:val="center"/>
        </w:trPr>
        <w:tc>
          <w:tcPr>
            <w:tcW w:w="4742"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Taux de mortalité néonatale * </w:t>
            </w:r>
          </w:p>
        </w:tc>
        <w:tc>
          <w:tcPr>
            <w:tcW w:w="1090" w:type="dxa"/>
          </w:tcPr>
          <w:p w:rsidR="00000000" w:rsidRDefault="00000000">
            <w:pPr>
              <w:tabs>
                <w:tab w:val="decimal" w:pos="474"/>
              </w:tabs>
              <w:autoSpaceDE w:val="0"/>
              <w:autoSpaceDN w:val="0"/>
              <w:adjustRightInd w:val="0"/>
              <w:spacing w:before="60" w:after="60"/>
              <w:rPr>
                <w:color w:val="000000"/>
                <w:sz w:val="20"/>
                <w:szCs w:val="22"/>
                <w:lang w:val="fr-FR"/>
              </w:rPr>
            </w:pPr>
            <w:r>
              <w:rPr>
                <w:color w:val="000000"/>
                <w:sz w:val="20"/>
                <w:szCs w:val="22"/>
                <w:lang w:val="fr-FR"/>
              </w:rPr>
              <w:t xml:space="preserve">14,5  </w:t>
            </w:r>
          </w:p>
        </w:tc>
      </w:tr>
      <w:tr w:rsidR="00000000">
        <w:tblPrEx>
          <w:tblCellMar>
            <w:top w:w="0" w:type="dxa"/>
            <w:bottom w:w="0" w:type="dxa"/>
          </w:tblCellMar>
        </w:tblPrEx>
        <w:trPr>
          <w:jc w:val="center"/>
        </w:trPr>
        <w:tc>
          <w:tcPr>
            <w:tcW w:w="4742"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Taux de mortalité postnéonatale * </w:t>
            </w:r>
          </w:p>
        </w:tc>
        <w:tc>
          <w:tcPr>
            <w:tcW w:w="1090" w:type="dxa"/>
          </w:tcPr>
          <w:p w:rsidR="00000000" w:rsidRDefault="00000000">
            <w:pPr>
              <w:tabs>
                <w:tab w:val="decimal" w:pos="474"/>
              </w:tabs>
              <w:autoSpaceDE w:val="0"/>
              <w:autoSpaceDN w:val="0"/>
              <w:adjustRightInd w:val="0"/>
              <w:spacing w:before="60" w:after="60"/>
              <w:rPr>
                <w:color w:val="000000"/>
                <w:sz w:val="20"/>
                <w:szCs w:val="22"/>
                <w:lang w:val="fr-FR"/>
              </w:rPr>
            </w:pPr>
            <w:r>
              <w:rPr>
                <w:color w:val="000000"/>
                <w:sz w:val="20"/>
                <w:szCs w:val="22"/>
                <w:lang w:val="fr-FR"/>
              </w:rPr>
              <w:t xml:space="preserve">17,7  </w:t>
            </w:r>
          </w:p>
        </w:tc>
      </w:tr>
      <w:tr w:rsidR="00000000">
        <w:tblPrEx>
          <w:tblCellMar>
            <w:top w:w="0" w:type="dxa"/>
            <w:bottom w:w="0" w:type="dxa"/>
          </w:tblCellMar>
        </w:tblPrEx>
        <w:trPr>
          <w:jc w:val="center"/>
        </w:trPr>
        <w:tc>
          <w:tcPr>
            <w:tcW w:w="4742" w:type="dxa"/>
          </w:tcPr>
          <w:p w:rsidR="00000000" w:rsidRDefault="00000000">
            <w:pPr>
              <w:autoSpaceDE w:val="0"/>
              <w:autoSpaceDN w:val="0"/>
              <w:adjustRightInd w:val="0"/>
              <w:spacing w:before="60" w:after="60"/>
              <w:rPr>
                <w:color w:val="000000"/>
                <w:sz w:val="20"/>
                <w:szCs w:val="22"/>
                <w:lang w:val="fr-FR"/>
              </w:rPr>
            </w:pPr>
            <w:r>
              <w:rPr>
                <w:color w:val="000000"/>
                <w:sz w:val="20"/>
                <w:szCs w:val="22"/>
                <w:lang w:val="fr-FR"/>
              </w:rPr>
              <w:t xml:space="preserve">Taux de mortalité périnatale * </w:t>
            </w:r>
          </w:p>
        </w:tc>
        <w:tc>
          <w:tcPr>
            <w:tcW w:w="1090" w:type="dxa"/>
          </w:tcPr>
          <w:p w:rsidR="00000000" w:rsidRDefault="00000000">
            <w:pPr>
              <w:tabs>
                <w:tab w:val="decimal" w:pos="474"/>
              </w:tabs>
              <w:autoSpaceDE w:val="0"/>
              <w:autoSpaceDN w:val="0"/>
              <w:adjustRightInd w:val="0"/>
              <w:spacing w:before="60" w:after="60"/>
              <w:rPr>
                <w:color w:val="000000"/>
                <w:sz w:val="20"/>
                <w:szCs w:val="22"/>
                <w:lang w:val="fr-FR"/>
              </w:rPr>
            </w:pPr>
            <w:r>
              <w:rPr>
                <w:color w:val="000000"/>
                <w:sz w:val="20"/>
                <w:szCs w:val="22"/>
                <w:lang w:val="fr-FR"/>
              </w:rPr>
              <w:t xml:space="preserve">19,7  </w:t>
            </w:r>
          </w:p>
        </w:tc>
      </w:tr>
    </w:tbl>
    <w:p w:rsidR="00000000" w:rsidRDefault="00000000">
      <w:pPr>
        <w:spacing w:before="80" w:after="240"/>
        <w:ind w:left="1620"/>
        <w:rPr>
          <w:color w:val="000000"/>
          <w:sz w:val="20"/>
          <w:szCs w:val="22"/>
          <w:lang w:val="fr-FR"/>
        </w:rPr>
      </w:pPr>
      <w:r>
        <w:rPr>
          <w:color w:val="000000"/>
          <w:sz w:val="20"/>
          <w:szCs w:val="22"/>
          <w:lang w:val="fr-FR"/>
        </w:rPr>
        <w:t>* Taux pour 1.000 naissances vivantes.</w:t>
      </w:r>
    </w:p>
    <w:p w:rsidR="00000000" w:rsidRDefault="00000000">
      <w:pPr>
        <w:spacing w:after="240"/>
        <w:rPr>
          <w:iCs/>
          <w:color w:val="000000"/>
          <w:lang w:val="fr-FR"/>
        </w:rPr>
      </w:pPr>
      <w:r>
        <w:rPr>
          <w:i/>
          <w:iCs/>
          <w:color w:val="000000"/>
          <w:lang w:val="fr-FR"/>
        </w:rPr>
        <w:t>Approvisionnement en eau potable</w:t>
      </w:r>
    </w:p>
    <w:p w:rsidR="00000000" w:rsidRDefault="00000000">
      <w:pPr>
        <w:spacing w:after="240"/>
        <w:rPr>
          <w:iCs/>
          <w:color w:val="000000"/>
          <w:lang w:val="fr-FR"/>
        </w:rPr>
      </w:pPr>
      <w:r>
        <w:rPr>
          <w:iCs/>
          <w:color w:val="000000"/>
          <w:lang w:val="fr-FR"/>
        </w:rPr>
        <w:t>403.</w:t>
      </w:r>
      <w:r>
        <w:rPr>
          <w:iCs/>
          <w:color w:val="000000"/>
          <w:lang w:val="fr-FR"/>
        </w:rPr>
        <w:tab/>
        <w:t>Le mode d'accès à l'eau potable le plus fiable est l'accès au réseau public qui, en général, est censé fournir une eau traitée et propre à la consommation humaine.  Au plan national, 73 % de la population urbaine et 32,5 % de la population rurale ont accès à ce service d'eau potable.</w:t>
      </w:r>
    </w:p>
    <w:p w:rsidR="00000000" w:rsidRDefault="00000000">
      <w:pPr>
        <w:spacing w:after="240"/>
        <w:rPr>
          <w:iCs/>
          <w:color w:val="000000"/>
          <w:lang w:val="fr-FR"/>
        </w:rPr>
      </w:pPr>
      <w:r>
        <w:rPr>
          <w:iCs/>
          <w:color w:val="000000"/>
          <w:lang w:val="fr-FR"/>
        </w:rPr>
        <w:t>404.</w:t>
      </w:r>
      <w:r>
        <w:rPr>
          <w:iCs/>
          <w:color w:val="000000"/>
          <w:lang w:val="fr-FR"/>
        </w:rPr>
        <w:tab/>
        <w:t>Dans la grande majorité des villes, en particulier dans les petites villes, de graves problèmes, liés aux déficiences de l'infrastructure matérielle, affectent le fonctionnement continu de ce service; au niveau de l’exploitation et de l'entretien, des problèmes de rationnement et d'interruption du service affectent aussi les usagers.</w:t>
      </w:r>
    </w:p>
    <w:p w:rsidR="00000000" w:rsidRDefault="00000000">
      <w:pPr>
        <w:spacing w:after="240"/>
        <w:rPr>
          <w:iCs/>
          <w:color w:val="000000"/>
          <w:lang w:val="fr-FR"/>
        </w:rPr>
      </w:pPr>
      <w:r>
        <w:rPr>
          <w:iCs/>
          <w:color w:val="000000"/>
          <w:lang w:val="fr-FR"/>
        </w:rPr>
        <w:t>405.</w:t>
      </w:r>
      <w:r>
        <w:rPr>
          <w:iCs/>
          <w:color w:val="000000"/>
          <w:lang w:val="fr-FR"/>
        </w:rPr>
        <w:tab/>
        <w:t>Beaucoup de systèmes d'approvisionnement en eau potable souffrent de graves déficiences techniques au stade du traitement, ce qui se traduit par une mauvaise qualité physique, chimique et bactériologique de l'eau fournie.  Il y a en outre beaucoup de négligence dans les processus de désinfection.  Par ailleurs, les ressources techniques et économiques nécessaires aux travaux d'exploitation et d'entretien sont limitées.</w:t>
      </w:r>
    </w:p>
    <w:p w:rsidR="00000000" w:rsidRDefault="00000000">
      <w:pPr>
        <w:spacing w:after="240"/>
        <w:rPr>
          <w:iCs/>
          <w:color w:val="000000"/>
          <w:lang w:val="fr-FR"/>
        </w:rPr>
      </w:pPr>
      <w:r>
        <w:rPr>
          <w:iCs/>
          <w:color w:val="000000"/>
          <w:lang w:val="fr-FR"/>
        </w:rPr>
        <w:t>406.</w:t>
      </w:r>
      <w:r>
        <w:rPr>
          <w:iCs/>
          <w:color w:val="000000"/>
          <w:lang w:val="fr-FR"/>
        </w:rPr>
        <w:tab/>
        <w:t>La gestion des services de base en Équateur est du ressort, en ce qui concerne l'administration et l’exploitation, des municipalités.</w:t>
      </w:r>
    </w:p>
    <w:p w:rsidR="00000000" w:rsidRDefault="00000000">
      <w:pPr>
        <w:spacing w:after="240"/>
        <w:rPr>
          <w:iCs/>
          <w:color w:val="000000"/>
          <w:lang w:val="fr-FR"/>
        </w:rPr>
      </w:pPr>
      <w:r>
        <w:rPr>
          <w:iCs/>
          <w:color w:val="000000"/>
          <w:lang w:val="fr-FR"/>
        </w:rPr>
        <w:t>407.</w:t>
      </w:r>
      <w:r>
        <w:rPr>
          <w:iCs/>
          <w:color w:val="000000"/>
          <w:lang w:val="fr-FR"/>
        </w:rPr>
        <w:tab/>
        <w:t>Sur les 214 municipalités du pays, 12 ont des entreprises municipales chargées de la gestion de ce service.</w:t>
      </w:r>
    </w:p>
    <w:p w:rsidR="00000000" w:rsidRDefault="00000000">
      <w:pPr>
        <w:spacing w:after="240"/>
        <w:rPr>
          <w:iCs/>
          <w:color w:val="000000"/>
          <w:lang w:val="fr-FR"/>
        </w:rPr>
      </w:pPr>
      <w:r>
        <w:rPr>
          <w:iCs/>
          <w:color w:val="000000"/>
          <w:lang w:val="fr-FR"/>
        </w:rPr>
        <w:t>408.</w:t>
      </w:r>
      <w:r>
        <w:rPr>
          <w:iCs/>
          <w:color w:val="000000"/>
          <w:lang w:val="fr-FR"/>
        </w:rPr>
        <w:tab/>
        <w:t>Dans les zones rurales, ce sont les Comités d'administration de l'eau potable (JAAP) qui sont chargés de l'administration, de l'exploitation et de l'entretien des réseaux d'eau potable; on en compte approximativement 3000.</w:t>
      </w:r>
    </w:p>
    <w:p w:rsidR="00000000" w:rsidRDefault="00000000">
      <w:pPr>
        <w:spacing w:after="240"/>
        <w:rPr>
          <w:iCs/>
          <w:color w:val="000000"/>
          <w:lang w:val="fr-FR"/>
        </w:rPr>
      </w:pPr>
      <w:r>
        <w:rPr>
          <w:iCs/>
          <w:color w:val="000000"/>
          <w:lang w:val="fr-FR"/>
        </w:rPr>
        <w:t>409.</w:t>
      </w:r>
      <w:r>
        <w:rPr>
          <w:iCs/>
          <w:color w:val="000000"/>
          <w:lang w:val="fr-FR"/>
        </w:rPr>
        <w:tab/>
        <w:t>Les questions essentielles du secteur de l'eau potable et de l'assainissement sont analysées et évaluées de façon intégrée par le Ministère du développement urbain et du logement (MIDUVI) et par le Conseil de modernisation de l’État (CONAM), agissant par l'intermédiaire du Projet MOSTA pour les aspects techniques, sociaux, financiers et institutionnels.  C'est dans ce cadre qu'ont été projetées, à moyen et à long terme, les politiques nationales de développement de ce secteur destinées à remédier à l'insuffisance de la couverture des services et à en améliorer les prestations.</w:t>
      </w:r>
    </w:p>
    <w:p w:rsidR="00000000" w:rsidRDefault="00000000">
      <w:pPr>
        <w:spacing w:after="240"/>
        <w:rPr>
          <w:iCs/>
          <w:color w:val="000000"/>
          <w:lang w:val="fr-FR"/>
        </w:rPr>
      </w:pPr>
      <w:r>
        <w:rPr>
          <w:iCs/>
          <w:color w:val="000000"/>
          <w:lang w:val="fr-FR"/>
        </w:rPr>
        <w:t>410.</w:t>
      </w:r>
      <w:r>
        <w:rPr>
          <w:iCs/>
          <w:color w:val="000000"/>
          <w:lang w:val="fr-FR"/>
        </w:rPr>
        <w:tab/>
        <w:t>Le MIDUVI s'efforce d'améliorer la qualité de vie des habitants des zones urbaines et rurales du pays par le biais du Programme national de l'eau et de l'assainissement dans les communautés rurales et les petites municipalités (PRAGUAS), qui vise à accroître la couverture des services et à appliquer des modèles de gestion adaptée à la fourniture de services fiables dans les municipalités.</w:t>
      </w:r>
    </w:p>
    <w:p w:rsidR="00000000" w:rsidRDefault="00000000">
      <w:pPr>
        <w:spacing w:after="240"/>
        <w:rPr>
          <w:iCs/>
          <w:color w:val="000000"/>
          <w:lang w:val="fr-FR"/>
        </w:rPr>
      </w:pPr>
      <w:r>
        <w:rPr>
          <w:iCs/>
          <w:color w:val="000000"/>
          <w:lang w:val="fr-FR"/>
        </w:rPr>
        <w:t>411.</w:t>
      </w:r>
      <w:r>
        <w:rPr>
          <w:iCs/>
          <w:color w:val="000000"/>
          <w:lang w:val="fr-FR"/>
        </w:rPr>
        <w:tab/>
        <w:t>Le programme comporte trois niveaux :</w:t>
      </w:r>
    </w:p>
    <w:p w:rsidR="00000000" w:rsidRDefault="00000000">
      <w:pPr>
        <w:numPr>
          <w:ilvl w:val="0"/>
          <w:numId w:val="72"/>
        </w:numPr>
        <w:spacing w:after="240"/>
        <w:rPr>
          <w:iCs/>
          <w:color w:val="000000"/>
          <w:lang w:val="fr-FR"/>
        </w:rPr>
      </w:pPr>
      <w:r>
        <w:rPr>
          <w:iCs/>
          <w:color w:val="000000"/>
          <w:lang w:val="fr-FR"/>
        </w:rPr>
        <w:t xml:space="preserve">Accroître la couverture du service d'eau potable dans les zones rurales et dans les chefs-lieux de canton des municipalités de moins de 10 000 habitants.  Il s'agira de fournir une eau de qualité propre à la consommation humaine, en appliquant les mesures nécessaires à la viabilité du service. </w:t>
      </w:r>
    </w:p>
    <w:p w:rsidR="00000000" w:rsidRDefault="00000000">
      <w:pPr>
        <w:numPr>
          <w:ilvl w:val="0"/>
          <w:numId w:val="72"/>
        </w:numPr>
        <w:spacing w:after="240"/>
        <w:rPr>
          <w:iCs/>
          <w:color w:val="000000"/>
          <w:lang w:val="fr-FR"/>
        </w:rPr>
      </w:pPr>
      <w:r>
        <w:rPr>
          <w:iCs/>
          <w:color w:val="000000"/>
          <w:lang w:val="fr-FR"/>
        </w:rPr>
        <w:t>Donner aux municipalités et aux Comités d'administration de l'eau potable la capacité de gérer efficacement le service, compte dûment tenu des aspects administratifs, opérationnels, commerciaux, de planification et financiers et des besoins de l'usager.</w:t>
      </w:r>
    </w:p>
    <w:p w:rsidR="00000000" w:rsidRDefault="00000000">
      <w:pPr>
        <w:numPr>
          <w:ilvl w:val="0"/>
          <w:numId w:val="72"/>
        </w:numPr>
        <w:spacing w:after="240"/>
        <w:rPr>
          <w:iCs/>
          <w:color w:val="000000"/>
          <w:lang w:val="fr-FR"/>
        </w:rPr>
      </w:pPr>
      <w:r>
        <w:rPr>
          <w:iCs/>
          <w:color w:val="000000"/>
          <w:lang w:val="fr-FR"/>
        </w:rPr>
        <w:t>Définir la structure institutionnelle de ce secteur des services en précisant le rôle de chacun des facteurs dans le cadre déterminé par le processus de décentralisation de l’État.</w:t>
      </w:r>
    </w:p>
    <w:p w:rsidR="00000000" w:rsidRDefault="00000000">
      <w:pPr>
        <w:spacing w:after="240"/>
        <w:rPr>
          <w:iCs/>
          <w:color w:val="000000"/>
          <w:lang w:val="fr-FR"/>
        </w:rPr>
      </w:pPr>
      <w:r>
        <w:rPr>
          <w:iCs/>
          <w:color w:val="000000"/>
          <w:lang w:val="fr-FR"/>
        </w:rPr>
        <w:t>412.</w:t>
      </w:r>
      <w:r>
        <w:rPr>
          <w:iCs/>
          <w:color w:val="000000"/>
          <w:lang w:val="fr-FR"/>
        </w:rPr>
        <w:tab/>
        <w:t>Ce programme sera financé à l'aide de ressources provenant de la Banque mondiale.</w:t>
      </w:r>
    </w:p>
    <w:p w:rsidR="00000000" w:rsidRDefault="00000000">
      <w:pPr>
        <w:spacing w:after="240"/>
        <w:rPr>
          <w:iCs/>
          <w:color w:val="000000"/>
          <w:lang w:val="fr-FR"/>
        </w:rPr>
      </w:pPr>
      <w:r>
        <w:rPr>
          <w:b/>
          <w:iCs/>
          <w:color w:val="000000"/>
          <w:lang w:val="fr-FR"/>
        </w:rPr>
        <w:t>Traitement des eaux usées</w:t>
      </w:r>
    </w:p>
    <w:p w:rsidR="00000000" w:rsidRDefault="00000000">
      <w:pPr>
        <w:spacing w:after="240"/>
        <w:rPr>
          <w:iCs/>
          <w:color w:val="000000"/>
          <w:lang w:val="fr-FR"/>
        </w:rPr>
      </w:pPr>
      <w:r>
        <w:rPr>
          <w:iCs/>
          <w:color w:val="000000"/>
          <w:lang w:val="fr-FR"/>
        </w:rPr>
        <w:t>413.</w:t>
      </w:r>
      <w:r>
        <w:rPr>
          <w:iCs/>
          <w:color w:val="000000"/>
          <w:lang w:val="fr-FR"/>
        </w:rPr>
        <w:tab/>
        <w:t>Au plan national, 53 % des ménages urbains sont connectés au réseau d’égout; 11 % seulement le sont dans les zones rurales.  Les eaux résiduelles n’étant pas traitées, il en résulte de graves problèmes de pollution lorsqu'elles se déversent directement dans les plans d'eau.</w:t>
      </w:r>
    </w:p>
    <w:p w:rsidR="00000000" w:rsidRDefault="00000000">
      <w:pPr>
        <w:spacing w:after="240"/>
        <w:rPr>
          <w:iCs/>
          <w:color w:val="000000"/>
          <w:lang w:val="fr-FR"/>
        </w:rPr>
      </w:pPr>
      <w:r>
        <w:rPr>
          <w:iCs/>
          <w:color w:val="000000"/>
          <w:lang w:val="fr-FR"/>
        </w:rPr>
        <w:t>414.</w:t>
      </w:r>
      <w:r>
        <w:rPr>
          <w:iCs/>
          <w:color w:val="000000"/>
          <w:lang w:val="fr-FR"/>
        </w:rPr>
        <w:tab/>
        <w:t>Les systèmes d'évacuation séparée des eaux usées ont de graves problèmes de transport des eaux combinées (pluviales et sanitaires), et l'on accorde peu d'attention aux activités d'entretien préventif.</w:t>
      </w:r>
    </w:p>
    <w:p w:rsidR="00000000" w:rsidRDefault="00000000">
      <w:pPr>
        <w:spacing w:after="240"/>
        <w:rPr>
          <w:iCs/>
          <w:color w:val="000000"/>
          <w:lang w:val="fr-FR"/>
        </w:rPr>
      </w:pPr>
      <w:r>
        <w:rPr>
          <w:iCs/>
          <w:color w:val="000000"/>
          <w:lang w:val="fr-FR"/>
        </w:rPr>
        <w:t>415.</w:t>
      </w:r>
      <w:r>
        <w:rPr>
          <w:iCs/>
          <w:color w:val="000000"/>
          <w:lang w:val="fr-FR"/>
        </w:rPr>
        <w:tab/>
        <w:t>Au plan national, 31 % des habitations urbaines et 20 % des habitations rurales recourent aux fosses d'aisance pour l'évacuation des excréta.</w:t>
      </w:r>
    </w:p>
    <w:p w:rsidR="00000000" w:rsidRDefault="00000000">
      <w:pPr>
        <w:spacing w:after="240"/>
        <w:rPr>
          <w:iCs/>
          <w:color w:val="000000"/>
          <w:lang w:val="fr-FR"/>
        </w:rPr>
      </w:pPr>
      <w:r>
        <w:rPr>
          <w:iCs/>
          <w:color w:val="000000"/>
          <w:lang w:val="fr-FR"/>
        </w:rPr>
        <w:t>416.</w:t>
      </w:r>
      <w:r>
        <w:rPr>
          <w:iCs/>
          <w:color w:val="000000"/>
          <w:lang w:val="fr-FR"/>
        </w:rPr>
        <w:tab/>
        <w:t>Le Programme de gestion intégrée des déchets solides dans les petites et moyennes municipalités (PROMIDES) a pour objectif d'appliquer des solutions nouvelles de gestion des services qui soient rentables et génératrices d'emplois.  Ce programme sera financé au moyen de ressources du PATRA, qui proviennent de la Banque mondiale.</w:t>
      </w:r>
    </w:p>
    <w:p w:rsidR="00000000" w:rsidRDefault="00000000">
      <w:pPr>
        <w:spacing w:after="240"/>
        <w:rPr>
          <w:iCs/>
          <w:color w:val="000000"/>
          <w:lang w:val="fr-FR"/>
        </w:rPr>
      </w:pPr>
      <w:r>
        <w:rPr>
          <w:iCs/>
          <w:color w:val="000000"/>
          <w:lang w:val="fr-FR"/>
        </w:rPr>
        <w:t>417.</w:t>
      </w:r>
      <w:r>
        <w:rPr>
          <w:iCs/>
          <w:color w:val="000000"/>
          <w:lang w:val="fr-FR"/>
        </w:rPr>
        <w:tab/>
        <w:t>La proposition de loi est en voie d’élaboration avec un financement de la Banque interaméricaine de développement.</w:t>
      </w:r>
    </w:p>
    <w:p w:rsidR="00000000" w:rsidRDefault="00000000">
      <w:pPr>
        <w:spacing w:after="240"/>
        <w:rPr>
          <w:iCs/>
          <w:color w:val="000000"/>
          <w:lang w:val="fr-FR"/>
        </w:rPr>
      </w:pPr>
      <w:r>
        <w:rPr>
          <w:iCs/>
          <w:color w:val="000000"/>
          <w:lang w:val="fr-FR"/>
        </w:rPr>
        <w:t>418.</w:t>
      </w:r>
      <w:r>
        <w:rPr>
          <w:iCs/>
          <w:color w:val="000000"/>
          <w:lang w:val="fr-FR"/>
        </w:rPr>
        <w:tab/>
        <w:t>Les programmes d'immunisation lancée par le Ministère de la santé a aidé la population à prendre davantage conscience de l'intérêt d'une culture sanitaire dans le pays, facilitant la réalisation des objectifs des autorités en matière d'immunisation et de réduction des facteurs de risques sanitaires pour les enfants, en réduisant les indices de mortalité infantile due aux maladies évitables.</w:t>
      </w:r>
    </w:p>
    <w:p w:rsidR="00000000" w:rsidRDefault="00000000">
      <w:pPr>
        <w:spacing w:after="360"/>
        <w:rPr>
          <w:iCs/>
          <w:color w:val="000000"/>
          <w:lang w:val="fr-FR"/>
        </w:rPr>
      </w:pPr>
      <w:r>
        <w:rPr>
          <w:iCs/>
          <w:color w:val="000000"/>
          <w:lang w:val="fr-FR"/>
        </w:rPr>
        <w:t>419.</w:t>
      </w:r>
      <w:r>
        <w:rPr>
          <w:iCs/>
          <w:color w:val="000000"/>
          <w:lang w:val="fr-FR"/>
        </w:rPr>
        <w:tab/>
        <w:t>La vaccination BCG contre la tuberculose est celle qui, par la couverture, a eu le plus grand succès au cours des dernières années.  Les campagnes d'immunisation DPT (Diphtérie, coqueluche et tétanos) sont celles qui ont le moins réussi.</w:t>
      </w:r>
    </w:p>
    <w:p w:rsidR="00000000" w:rsidRDefault="00000000">
      <w:pPr>
        <w:autoSpaceDE w:val="0"/>
        <w:autoSpaceDN w:val="0"/>
        <w:adjustRightInd w:val="0"/>
        <w:spacing w:after="240"/>
        <w:jc w:val="center"/>
        <w:rPr>
          <w:b/>
          <w:bCs/>
          <w:color w:val="000000"/>
          <w:sz w:val="20"/>
          <w:szCs w:val="22"/>
          <w:lang w:val="fr-FR"/>
        </w:rPr>
      </w:pPr>
      <w:r>
        <w:rPr>
          <w:b/>
          <w:bCs/>
          <w:color w:val="000000"/>
          <w:sz w:val="20"/>
          <w:szCs w:val="22"/>
          <w:lang w:val="fr-FR"/>
        </w:rPr>
        <w:t xml:space="preserve">Couverture de la vaccination au niveau national et par secteur, </w:t>
      </w:r>
      <w:r>
        <w:rPr>
          <w:b/>
          <w:bCs/>
          <w:color w:val="000000"/>
          <w:sz w:val="20"/>
          <w:szCs w:val="22"/>
          <w:lang w:val="fr-FR"/>
        </w:rPr>
        <w:br/>
        <w:t xml:space="preserve">parmi les enfants de moins de 1 an et de moins de 5 ans </w:t>
      </w:r>
    </w:p>
    <w:tbl>
      <w:tblPr>
        <w:tblW w:w="907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497"/>
        <w:gridCol w:w="1270"/>
        <w:gridCol w:w="1258"/>
        <w:gridCol w:w="1162"/>
        <w:gridCol w:w="10"/>
        <w:gridCol w:w="1262"/>
        <w:gridCol w:w="1258"/>
        <w:gridCol w:w="1338"/>
        <w:gridCol w:w="17"/>
      </w:tblGrid>
      <w:tr w:rsidR="00000000">
        <w:tblPrEx>
          <w:tblCellMar>
            <w:top w:w="0" w:type="dxa"/>
            <w:bottom w:w="0" w:type="dxa"/>
          </w:tblCellMar>
        </w:tblPrEx>
        <w:trPr>
          <w:cantSplit/>
          <w:jc w:val="center"/>
        </w:trPr>
        <w:tc>
          <w:tcPr>
            <w:tcW w:w="1404" w:type="dxa"/>
            <w:vMerge w:val="restart"/>
            <w:tcBorders>
              <w:top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Année</w:t>
            </w:r>
          </w:p>
        </w:tc>
        <w:tc>
          <w:tcPr>
            <w:tcW w:w="3460" w:type="dxa"/>
            <w:gridSpan w:val="3"/>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Tuberculose (BCG )</w:t>
            </w:r>
          </w:p>
        </w:tc>
        <w:tc>
          <w:tcPr>
            <w:tcW w:w="3641" w:type="dxa"/>
            <w:gridSpan w:val="5"/>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Diphtérie, coqueluche et tétanos (DPT)</w:t>
            </w:r>
          </w:p>
        </w:tc>
      </w:tr>
      <w:tr w:rsidR="00000000">
        <w:tblPrEx>
          <w:tblCellMar>
            <w:top w:w="0" w:type="dxa"/>
            <w:bottom w:w="0" w:type="dxa"/>
          </w:tblCellMar>
        </w:tblPrEx>
        <w:trPr>
          <w:cantSplit/>
          <w:jc w:val="center"/>
        </w:trPr>
        <w:tc>
          <w:tcPr>
            <w:tcW w:w="1404" w:type="dxa"/>
            <w:vMerge/>
            <w:vAlign w:val="center"/>
          </w:tcPr>
          <w:p w:rsidR="00000000" w:rsidRDefault="00000000">
            <w:pPr>
              <w:autoSpaceDE w:val="0"/>
              <w:autoSpaceDN w:val="0"/>
              <w:adjustRightInd w:val="0"/>
              <w:spacing w:before="40" w:after="40"/>
              <w:jc w:val="center"/>
              <w:rPr>
                <w:b/>
                <w:bCs/>
                <w:i/>
                <w:iCs/>
                <w:color w:val="000000"/>
                <w:sz w:val="20"/>
                <w:szCs w:val="22"/>
                <w:lang w:val="fr-FR"/>
              </w:rPr>
            </w:pPr>
          </w:p>
        </w:tc>
        <w:tc>
          <w:tcPr>
            <w:tcW w:w="7101" w:type="dxa"/>
            <w:gridSpan w:val="8"/>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Enfant de moins de 1an</w:t>
            </w:r>
          </w:p>
        </w:tc>
      </w:tr>
      <w:tr w:rsidR="00000000">
        <w:tblPrEx>
          <w:tblCellMar>
            <w:top w:w="0" w:type="dxa"/>
            <w:bottom w:w="0" w:type="dxa"/>
          </w:tblCellMar>
        </w:tblPrEx>
        <w:trPr>
          <w:cantSplit/>
          <w:jc w:val="center"/>
        </w:trPr>
        <w:tc>
          <w:tcPr>
            <w:tcW w:w="1404" w:type="dxa"/>
            <w:vMerge/>
            <w:vAlign w:val="center"/>
          </w:tcPr>
          <w:p w:rsidR="00000000" w:rsidRDefault="00000000">
            <w:pPr>
              <w:autoSpaceDE w:val="0"/>
              <w:autoSpaceDN w:val="0"/>
              <w:adjustRightInd w:val="0"/>
              <w:spacing w:before="40" w:after="40"/>
              <w:jc w:val="center"/>
              <w:rPr>
                <w:b/>
                <w:bCs/>
                <w:i/>
                <w:iCs/>
                <w:color w:val="000000"/>
                <w:sz w:val="20"/>
                <w:szCs w:val="22"/>
                <w:lang w:val="fr-FR"/>
              </w:rPr>
            </w:pPr>
          </w:p>
        </w:tc>
        <w:tc>
          <w:tcPr>
            <w:tcW w:w="1192"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Ensemble du pays</w:t>
            </w:r>
          </w:p>
        </w:tc>
        <w:tc>
          <w:tcPr>
            <w:tcW w:w="1179"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Secteur urbain</w:t>
            </w:r>
          </w:p>
        </w:tc>
        <w:tc>
          <w:tcPr>
            <w:tcW w:w="1089"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Secteur rural</w:t>
            </w:r>
          </w:p>
        </w:tc>
        <w:tc>
          <w:tcPr>
            <w:tcW w:w="1192" w:type="dxa"/>
            <w:gridSpan w:val="2"/>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Ensemble du pays</w:t>
            </w:r>
          </w:p>
        </w:tc>
        <w:tc>
          <w:tcPr>
            <w:tcW w:w="1179"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Secteur urbain</w:t>
            </w:r>
          </w:p>
        </w:tc>
        <w:tc>
          <w:tcPr>
            <w:tcW w:w="1270" w:type="dxa"/>
            <w:gridSpan w:val="2"/>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pt-PT"/>
              </w:rPr>
            </w:pPr>
            <w:r>
              <w:rPr>
                <w:b/>
                <w:bCs/>
                <w:i/>
                <w:iCs/>
                <w:color w:val="000000"/>
                <w:sz w:val="20"/>
                <w:szCs w:val="22"/>
                <w:lang w:val="pt-PT"/>
              </w:rPr>
              <w:t>Secteur</w:t>
            </w:r>
            <w:r>
              <w:rPr>
                <w:b/>
                <w:bCs/>
                <w:i/>
                <w:iCs/>
                <w:color w:val="000000"/>
                <w:sz w:val="20"/>
                <w:szCs w:val="22"/>
                <w:lang w:val="pt-PT"/>
              </w:rPr>
              <w:br/>
              <w:t xml:space="preserve"> rural</w:t>
            </w:r>
          </w:p>
        </w:tc>
      </w:tr>
      <w:tr w:rsidR="00000000">
        <w:tblPrEx>
          <w:tblCellMar>
            <w:top w:w="0" w:type="dxa"/>
            <w:bottom w:w="0" w:type="dxa"/>
          </w:tblCellMar>
        </w:tblPrEx>
        <w:trPr>
          <w:gridAfter w:val="1"/>
          <w:wAfter w:w="16" w:type="dxa"/>
          <w:jc w:val="center"/>
        </w:trPr>
        <w:tc>
          <w:tcPr>
            <w:tcW w:w="1404" w:type="dxa"/>
          </w:tcPr>
          <w:p w:rsidR="00000000" w:rsidRDefault="00000000">
            <w:pPr>
              <w:autoSpaceDE w:val="0"/>
              <w:autoSpaceDN w:val="0"/>
              <w:adjustRightInd w:val="0"/>
              <w:spacing w:before="40" w:after="40"/>
              <w:rPr>
                <w:color w:val="000000"/>
                <w:sz w:val="20"/>
                <w:szCs w:val="22"/>
                <w:lang w:val="pt-PT"/>
              </w:rPr>
            </w:pPr>
            <w:r>
              <w:rPr>
                <w:color w:val="000000"/>
                <w:sz w:val="20"/>
                <w:szCs w:val="22"/>
                <w:lang w:val="pt-PT"/>
              </w:rPr>
              <w:t xml:space="preserve">1994 </w:t>
            </w:r>
          </w:p>
        </w:tc>
        <w:tc>
          <w:tcPr>
            <w:tcW w:w="1192" w:type="dxa"/>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91,4 </w:t>
            </w:r>
          </w:p>
        </w:tc>
        <w:tc>
          <w:tcPr>
            <w:tcW w:w="1179" w:type="dxa"/>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94,6 </w:t>
            </w:r>
          </w:p>
        </w:tc>
        <w:tc>
          <w:tcPr>
            <w:tcW w:w="1098" w:type="dxa"/>
            <w:gridSpan w:val="2"/>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87,6 </w:t>
            </w:r>
          </w:p>
        </w:tc>
        <w:tc>
          <w:tcPr>
            <w:tcW w:w="1183" w:type="dxa"/>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50,6 </w:t>
            </w:r>
          </w:p>
        </w:tc>
        <w:tc>
          <w:tcPr>
            <w:tcW w:w="1179" w:type="dxa"/>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55,3 </w:t>
            </w:r>
          </w:p>
        </w:tc>
        <w:tc>
          <w:tcPr>
            <w:tcW w:w="1254" w:type="dxa"/>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45,0  </w:t>
            </w:r>
          </w:p>
        </w:tc>
      </w:tr>
      <w:tr w:rsidR="00000000">
        <w:tblPrEx>
          <w:tblCellMar>
            <w:top w:w="0" w:type="dxa"/>
            <w:bottom w:w="0" w:type="dxa"/>
          </w:tblCellMar>
        </w:tblPrEx>
        <w:trPr>
          <w:gridAfter w:val="1"/>
          <w:wAfter w:w="16" w:type="dxa"/>
          <w:jc w:val="center"/>
        </w:trPr>
        <w:tc>
          <w:tcPr>
            <w:tcW w:w="1404" w:type="dxa"/>
          </w:tcPr>
          <w:p w:rsidR="00000000" w:rsidRDefault="00000000">
            <w:pPr>
              <w:autoSpaceDE w:val="0"/>
              <w:autoSpaceDN w:val="0"/>
              <w:adjustRightInd w:val="0"/>
              <w:spacing w:before="40" w:after="40"/>
              <w:rPr>
                <w:color w:val="000000"/>
                <w:sz w:val="20"/>
                <w:szCs w:val="22"/>
                <w:lang w:val="pt-PT"/>
              </w:rPr>
            </w:pPr>
            <w:r>
              <w:rPr>
                <w:color w:val="000000"/>
                <w:sz w:val="20"/>
                <w:szCs w:val="22"/>
                <w:lang w:val="pt-PT"/>
              </w:rPr>
              <w:t xml:space="preserve">1995 </w:t>
            </w:r>
          </w:p>
        </w:tc>
        <w:tc>
          <w:tcPr>
            <w:tcW w:w="1192" w:type="dxa"/>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89,5 </w:t>
            </w:r>
          </w:p>
        </w:tc>
        <w:tc>
          <w:tcPr>
            <w:tcW w:w="1179" w:type="dxa"/>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95,2 </w:t>
            </w:r>
          </w:p>
        </w:tc>
        <w:tc>
          <w:tcPr>
            <w:tcW w:w="1098" w:type="dxa"/>
            <w:gridSpan w:val="2"/>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81,8 </w:t>
            </w:r>
          </w:p>
        </w:tc>
        <w:tc>
          <w:tcPr>
            <w:tcW w:w="1183" w:type="dxa"/>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45,8 </w:t>
            </w:r>
          </w:p>
        </w:tc>
        <w:tc>
          <w:tcPr>
            <w:tcW w:w="1179" w:type="dxa"/>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48,8 </w:t>
            </w:r>
          </w:p>
        </w:tc>
        <w:tc>
          <w:tcPr>
            <w:tcW w:w="1254" w:type="dxa"/>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41,6  </w:t>
            </w:r>
          </w:p>
        </w:tc>
      </w:tr>
      <w:tr w:rsidR="00000000">
        <w:tblPrEx>
          <w:tblCellMar>
            <w:top w:w="0" w:type="dxa"/>
            <w:bottom w:w="0" w:type="dxa"/>
          </w:tblCellMar>
        </w:tblPrEx>
        <w:trPr>
          <w:gridAfter w:val="1"/>
          <w:wAfter w:w="16" w:type="dxa"/>
          <w:jc w:val="center"/>
        </w:trPr>
        <w:tc>
          <w:tcPr>
            <w:tcW w:w="1404" w:type="dxa"/>
          </w:tcPr>
          <w:p w:rsidR="00000000" w:rsidRDefault="00000000">
            <w:pPr>
              <w:autoSpaceDE w:val="0"/>
              <w:autoSpaceDN w:val="0"/>
              <w:adjustRightInd w:val="0"/>
              <w:spacing w:before="40" w:after="40"/>
              <w:rPr>
                <w:color w:val="000000"/>
                <w:sz w:val="20"/>
                <w:szCs w:val="22"/>
                <w:lang w:val="pt-PT"/>
              </w:rPr>
            </w:pPr>
            <w:r>
              <w:rPr>
                <w:color w:val="000000"/>
                <w:sz w:val="20"/>
                <w:szCs w:val="22"/>
                <w:lang w:val="pt-PT"/>
              </w:rPr>
              <w:t xml:space="preserve">1998 </w:t>
            </w:r>
          </w:p>
        </w:tc>
        <w:tc>
          <w:tcPr>
            <w:tcW w:w="1192" w:type="dxa"/>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81,8 </w:t>
            </w:r>
          </w:p>
        </w:tc>
        <w:tc>
          <w:tcPr>
            <w:tcW w:w="1179" w:type="dxa"/>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79,6 </w:t>
            </w:r>
          </w:p>
        </w:tc>
        <w:tc>
          <w:tcPr>
            <w:tcW w:w="1098" w:type="dxa"/>
            <w:gridSpan w:val="2"/>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85,4 </w:t>
            </w:r>
          </w:p>
        </w:tc>
        <w:tc>
          <w:tcPr>
            <w:tcW w:w="1183" w:type="dxa"/>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58,3 </w:t>
            </w:r>
          </w:p>
        </w:tc>
        <w:tc>
          <w:tcPr>
            <w:tcW w:w="1179" w:type="dxa"/>
          </w:tcPr>
          <w:p w:rsidR="00000000" w:rsidRDefault="00000000">
            <w:pPr>
              <w:tabs>
                <w:tab w:val="decimal" w:pos="592"/>
              </w:tabs>
              <w:autoSpaceDE w:val="0"/>
              <w:autoSpaceDN w:val="0"/>
              <w:adjustRightInd w:val="0"/>
              <w:spacing w:before="40" w:after="40"/>
              <w:rPr>
                <w:color w:val="000000"/>
                <w:sz w:val="20"/>
                <w:szCs w:val="22"/>
                <w:lang w:val="pt-PT"/>
              </w:rPr>
            </w:pPr>
            <w:r>
              <w:rPr>
                <w:color w:val="000000"/>
                <w:sz w:val="20"/>
                <w:szCs w:val="22"/>
                <w:lang w:val="pt-PT"/>
              </w:rPr>
              <w:t xml:space="preserve">59,4 </w:t>
            </w:r>
          </w:p>
        </w:tc>
        <w:tc>
          <w:tcPr>
            <w:tcW w:w="1254"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pt-PT"/>
              </w:rPr>
              <w:t>56,</w:t>
            </w:r>
            <w:r>
              <w:rPr>
                <w:color w:val="000000"/>
                <w:sz w:val="20"/>
                <w:szCs w:val="22"/>
                <w:lang w:val="fr-FR"/>
              </w:rPr>
              <w:t xml:space="preserve">9  </w:t>
            </w:r>
          </w:p>
        </w:tc>
      </w:tr>
      <w:tr w:rsidR="00000000">
        <w:tblPrEx>
          <w:tblCellMar>
            <w:top w:w="0" w:type="dxa"/>
            <w:bottom w:w="0" w:type="dxa"/>
          </w:tblCellMar>
        </w:tblPrEx>
        <w:trPr>
          <w:gridAfter w:val="1"/>
          <w:wAfter w:w="16" w:type="dxa"/>
          <w:jc w:val="center"/>
        </w:trPr>
        <w:tc>
          <w:tcPr>
            <w:tcW w:w="1404"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1999 </w:t>
            </w:r>
          </w:p>
        </w:tc>
        <w:tc>
          <w:tcPr>
            <w:tcW w:w="1192"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89,8 </w:t>
            </w:r>
          </w:p>
        </w:tc>
        <w:tc>
          <w:tcPr>
            <w:tcW w:w="1179"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91,8 </w:t>
            </w:r>
          </w:p>
        </w:tc>
        <w:tc>
          <w:tcPr>
            <w:tcW w:w="1098" w:type="dxa"/>
            <w:gridSpan w:val="2"/>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87,7 </w:t>
            </w:r>
          </w:p>
        </w:tc>
        <w:tc>
          <w:tcPr>
            <w:tcW w:w="1183"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57,6 </w:t>
            </w:r>
          </w:p>
        </w:tc>
        <w:tc>
          <w:tcPr>
            <w:tcW w:w="1179"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61,6 </w:t>
            </w:r>
          </w:p>
        </w:tc>
        <w:tc>
          <w:tcPr>
            <w:tcW w:w="1254"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52,7  </w:t>
            </w:r>
          </w:p>
        </w:tc>
      </w:tr>
      <w:tr w:rsidR="00000000">
        <w:tblPrEx>
          <w:tblCellMar>
            <w:top w:w="0" w:type="dxa"/>
            <w:bottom w:w="0" w:type="dxa"/>
          </w:tblCellMar>
        </w:tblPrEx>
        <w:trPr>
          <w:gridAfter w:val="1"/>
          <w:wAfter w:w="16" w:type="dxa"/>
          <w:jc w:val="center"/>
        </w:trPr>
        <w:tc>
          <w:tcPr>
            <w:tcW w:w="1404" w:type="dxa"/>
          </w:tcPr>
          <w:p w:rsidR="00000000" w:rsidRDefault="00000000">
            <w:pPr>
              <w:autoSpaceDE w:val="0"/>
              <w:autoSpaceDN w:val="0"/>
              <w:adjustRightInd w:val="0"/>
              <w:spacing w:before="40" w:after="40"/>
              <w:rPr>
                <w:color w:val="000000"/>
                <w:sz w:val="20"/>
                <w:szCs w:val="22"/>
                <w:lang w:val="fr-FR"/>
              </w:rPr>
            </w:pPr>
          </w:p>
        </w:tc>
        <w:tc>
          <w:tcPr>
            <w:tcW w:w="7085" w:type="dxa"/>
            <w:gridSpan w:val="7"/>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Enfants de moins de 5 ans</w:t>
            </w:r>
          </w:p>
        </w:tc>
      </w:tr>
      <w:tr w:rsidR="00000000">
        <w:tblPrEx>
          <w:tblCellMar>
            <w:top w:w="0" w:type="dxa"/>
            <w:bottom w:w="0" w:type="dxa"/>
          </w:tblCellMar>
        </w:tblPrEx>
        <w:trPr>
          <w:gridAfter w:val="1"/>
          <w:wAfter w:w="16" w:type="dxa"/>
          <w:jc w:val="center"/>
        </w:trPr>
        <w:tc>
          <w:tcPr>
            <w:tcW w:w="1404"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1994 </w:t>
            </w:r>
          </w:p>
        </w:tc>
        <w:tc>
          <w:tcPr>
            <w:tcW w:w="1192"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97,0 </w:t>
            </w:r>
          </w:p>
        </w:tc>
        <w:tc>
          <w:tcPr>
            <w:tcW w:w="1179"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98,7 </w:t>
            </w:r>
          </w:p>
        </w:tc>
        <w:tc>
          <w:tcPr>
            <w:tcW w:w="1098" w:type="dxa"/>
            <w:gridSpan w:val="2"/>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95,1 </w:t>
            </w:r>
          </w:p>
        </w:tc>
        <w:tc>
          <w:tcPr>
            <w:tcW w:w="1183"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50,6 </w:t>
            </w:r>
          </w:p>
        </w:tc>
        <w:tc>
          <w:tcPr>
            <w:tcW w:w="1179"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85,6 </w:t>
            </w:r>
          </w:p>
        </w:tc>
        <w:tc>
          <w:tcPr>
            <w:tcW w:w="1254"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72,6  </w:t>
            </w:r>
          </w:p>
        </w:tc>
      </w:tr>
      <w:tr w:rsidR="00000000">
        <w:tblPrEx>
          <w:tblCellMar>
            <w:top w:w="0" w:type="dxa"/>
            <w:bottom w:w="0" w:type="dxa"/>
          </w:tblCellMar>
        </w:tblPrEx>
        <w:trPr>
          <w:gridAfter w:val="1"/>
          <w:wAfter w:w="16" w:type="dxa"/>
          <w:jc w:val="center"/>
        </w:trPr>
        <w:tc>
          <w:tcPr>
            <w:tcW w:w="1404"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1995 </w:t>
            </w:r>
          </w:p>
        </w:tc>
        <w:tc>
          <w:tcPr>
            <w:tcW w:w="1192"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96,2 </w:t>
            </w:r>
          </w:p>
        </w:tc>
        <w:tc>
          <w:tcPr>
            <w:tcW w:w="1179"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98,5 </w:t>
            </w:r>
          </w:p>
        </w:tc>
        <w:tc>
          <w:tcPr>
            <w:tcW w:w="1098" w:type="dxa"/>
            <w:gridSpan w:val="2"/>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93,2 </w:t>
            </w:r>
          </w:p>
        </w:tc>
        <w:tc>
          <w:tcPr>
            <w:tcW w:w="1183"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45,8 </w:t>
            </w:r>
          </w:p>
        </w:tc>
        <w:tc>
          <w:tcPr>
            <w:tcW w:w="1179"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82,1 </w:t>
            </w:r>
          </w:p>
        </w:tc>
        <w:tc>
          <w:tcPr>
            <w:tcW w:w="1254"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72,6  </w:t>
            </w:r>
          </w:p>
        </w:tc>
      </w:tr>
      <w:tr w:rsidR="00000000">
        <w:tblPrEx>
          <w:tblCellMar>
            <w:top w:w="0" w:type="dxa"/>
            <w:bottom w:w="0" w:type="dxa"/>
          </w:tblCellMar>
        </w:tblPrEx>
        <w:trPr>
          <w:gridAfter w:val="1"/>
          <w:wAfter w:w="16" w:type="dxa"/>
          <w:jc w:val="center"/>
        </w:trPr>
        <w:tc>
          <w:tcPr>
            <w:tcW w:w="1404"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1999 </w:t>
            </w:r>
          </w:p>
        </w:tc>
        <w:tc>
          <w:tcPr>
            <w:tcW w:w="1192"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97,0 </w:t>
            </w:r>
          </w:p>
        </w:tc>
        <w:tc>
          <w:tcPr>
            <w:tcW w:w="1179"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97,5 </w:t>
            </w:r>
          </w:p>
        </w:tc>
        <w:tc>
          <w:tcPr>
            <w:tcW w:w="1098" w:type="dxa"/>
            <w:gridSpan w:val="2"/>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96,4 </w:t>
            </w:r>
          </w:p>
        </w:tc>
        <w:tc>
          <w:tcPr>
            <w:tcW w:w="1183"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57,6 </w:t>
            </w:r>
          </w:p>
        </w:tc>
        <w:tc>
          <w:tcPr>
            <w:tcW w:w="1179"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87,9 </w:t>
            </w:r>
          </w:p>
        </w:tc>
        <w:tc>
          <w:tcPr>
            <w:tcW w:w="1254" w:type="dxa"/>
          </w:tcPr>
          <w:p w:rsidR="00000000" w:rsidRDefault="00000000">
            <w:pPr>
              <w:tabs>
                <w:tab w:val="decimal" w:pos="592"/>
              </w:tabs>
              <w:autoSpaceDE w:val="0"/>
              <w:autoSpaceDN w:val="0"/>
              <w:adjustRightInd w:val="0"/>
              <w:spacing w:before="40" w:after="40"/>
              <w:rPr>
                <w:color w:val="000000"/>
                <w:sz w:val="20"/>
                <w:szCs w:val="22"/>
                <w:lang w:val="fr-FR"/>
              </w:rPr>
            </w:pPr>
            <w:r>
              <w:rPr>
                <w:color w:val="000000"/>
                <w:sz w:val="20"/>
                <w:szCs w:val="22"/>
                <w:lang w:val="fr-FR"/>
              </w:rPr>
              <w:t xml:space="preserve">74,9  </w:t>
            </w:r>
          </w:p>
        </w:tc>
      </w:tr>
    </w:tbl>
    <w:p w:rsidR="00000000" w:rsidRDefault="00000000">
      <w:pPr>
        <w:autoSpaceDE w:val="0"/>
        <w:autoSpaceDN w:val="0"/>
        <w:adjustRightInd w:val="0"/>
        <w:spacing w:before="80" w:after="240"/>
        <w:ind w:left="567"/>
        <w:rPr>
          <w:color w:val="000000"/>
          <w:sz w:val="20"/>
          <w:szCs w:val="22"/>
          <w:lang w:val="fr-FR"/>
        </w:rPr>
      </w:pPr>
      <w:r>
        <w:rPr>
          <w:i/>
          <w:iCs/>
          <w:color w:val="000000"/>
          <w:sz w:val="20"/>
          <w:szCs w:val="22"/>
          <w:lang w:val="fr-FR"/>
        </w:rPr>
        <w:t>Source :</w:t>
      </w:r>
      <w:r>
        <w:rPr>
          <w:color w:val="000000"/>
          <w:sz w:val="20"/>
          <w:szCs w:val="22"/>
          <w:lang w:val="fr-FR"/>
        </w:rPr>
        <w:t xml:space="preserve"> Enquête sur les conditions de vie, SECAP, 1994, INEC 1995-1999.  </w:t>
      </w:r>
    </w:p>
    <w:p w:rsidR="00000000" w:rsidRDefault="00000000">
      <w:pPr>
        <w:spacing w:after="240"/>
        <w:rPr>
          <w:iCs/>
          <w:color w:val="000000"/>
          <w:lang w:val="fr-FR"/>
        </w:rPr>
      </w:pPr>
      <w:r>
        <w:rPr>
          <w:iCs/>
          <w:color w:val="000000"/>
          <w:lang w:val="fr-FR"/>
        </w:rPr>
        <w:t>420.</w:t>
      </w:r>
      <w:r>
        <w:rPr>
          <w:iCs/>
          <w:color w:val="000000"/>
          <w:lang w:val="fr-FR"/>
        </w:rPr>
        <w:tab/>
        <w:t>Au cours des dernières années, l’Équateur a obtenu de l’OMS une certification d'éradication de la poliomyélite.  Les niveaux d'immunisation par le vaccin ATP restent éloignés de l'objectif régional proposé pour l'an 2000, qui est de parvenir à des taux de vaccination supérieure à 90 %.</w:t>
      </w:r>
    </w:p>
    <w:p w:rsidR="00000000" w:rsidRDefault="00000000">
      <w:pPr>
        <w:spacing w:after="240"/>
        <w:rPr>
          <w:iCs/>
          <w:color w:val="000000"/>
          <w:lang w:val="fr-FR"/>
        </w:rPr>
      </w:pPr>
      <w:r>
        <w:rPr>
          <w:iCs/>
          <w:color w:val="000000"/>
          <w:lang w:val="fr-FR"/>
        </w:rPr>
        <w:t>421.</w:t>
      </w:r>
      <w:r>
        <w:rPr>
          <w:iCs/>
          <w:color w:val="000000"/>
          <w:lang w:val="fr-FR"/>
        </w:rPr>
        <w:tab/>
        <w:t>Depuis 1990, des campagnes massives de vaccination contre la rougeole ont été engagées en vue d'éliminer ce problème dans la population infantile de moins de cinq ans.</w:t>
      </w:r>
    </w:p>
    <w:p w:rsidR="00000000" w:rsidRDefault="00000000">
      <w:pPr>
        <w:spacing w:after="240"/>
        <w:rPr>
          <w:iCs/>
          <w:color w:val="000000"/>
          <w:lang w:val="fr-FR"/>
        </w:rPr>
      </w:pPr>
      <w:r>
        <w:rPr>
          <w:iCs/>
          <w:color w:val="000000"/>
          <w:lang w:val="fr-FR"/>
        </w:rPr>
        <w:t>422.</w:t>
      </w:r>
      <w:r>
        <w:rPr>
          <w:iCs/>
          <w:color w:val="000000"/>
          <w:lang w:val="fr-FR"/>
        </w:rPr>
        <w:tab/>
        <w:t>Entre 1994 et 1999, on observe une tendance à la baisse dans l'ensemble du pays, en particulier pour les enfants de moins d'un an.  Par ailleurs, si l’on évalue les tendances par zone géographique, on note des variations au cours de la période considérée, à savoir un léger accroissement en 1999 par rapport 1998, dans les zones urbaines.  Dans les zones rurales, la couverture de la vaccination contre la rougeole se caractérise par des variations, mais par une tendance à la baisse</w:t>
      </w:r>
      <w:r>
        <w:rPr>
          <w:rStyle w:val="FootnoteReference"/>
          <w:b/>
          <w:iCs/>
          <w:color w:val="000000"/>
          <w:lang w:val="fr-FR"/>
        </w:rPr>
        <w:footnoteReference w:id="57"/>
      </w:r>
      <w:r>
        <w:rPr>
          <w:iCs/>
          <w:color w:val="000000"/>
          <w:lang w:val="fr-FR"/>
        </w:rPr>
        <w:t>.</w:t>
      </w:r>
    </w:p>
    <w:p w:rsidR="00000000" w:rsidRDefault="00000000">
      <w:pPr>
        <w:autoSpaceDE w:val="0"/>
        <w:autoSpaceDN w:val="0"/>
        <w:adjustRightInd w:val="0"/>
        <w:spacing w:before="40" w:after="120"/>
        <w:jc w:val="center"/>
        <w:rPr>
          <w:b/>
          <w:bCs/>
          <w:color w:val="000000"/>
          <w:sz w:val="20"/>
          <w:szCs w:val="22"/>
          <w:lang w:val="fr-FR"/>
        </w:rPr>
      </w:pPr>
      <w:r>
        <w:rPr>
          <w:b/>
          <w:bCs/>
          <w:color w:val="000000"/>
          <w:sz w:val="20"/>
          <w:szCs w:val="22"/>
          <w:lang w:val="fr-FR"/>
        </w:rPr>
        <w:t xml:space="preserve">Couverture de la vaccination au niveau national et par secteur, </w:t>
      </w:r>
      <w:r>
        <w:rPr>
          <w:b/>
          <w:bCs/>
          <w:color w:val="000000"/>
          <w:sz w:val="20"/>
          <w:szCs w:val="22"/>
          <w:lang w:val="fr-FR"/>
        </w:rPr>
        <w:br/>
        <w:t>enfants de moins de 1 an et de moins de 5 ans</w:t>
      </w:r>
    </w:p>
    <w:tbl>
      <w:tblPr>
        <w:tblW w:w="0" w:type="auto"/>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1380"/>
        <w:gridCol w:w="1172"/>
        <w:gridCol w:w="1159"/>
        <w:gridCol w:w="1143"/>
        <w:gridCol w:w="1172"/>
        <w:gridCol w:w="1159"/>
        <w:gridCol w:w="1143"/>
      </w:tblGrid>
      <w:tr w:rsidR="00000000">
        <w:tblPrEx>
          <w:tblCellMar>
            <w:top w:w="0" w:type="dxa"/>
            <w:bottom w:w="0" w:type="dxa"/>
          </w:tblCellMar>
        </w:tblPrEx>
        <w:trPr>
          <w:cantSplit/>
          <w:jc w:val="center"/>
        </w:trPr>
        <w:tc>
          <w:tcPr>
            <w:tcW w:w="1380" w:type="dxa"/>
            <w:vMerge w:val="restart"/>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Année</w:t>
            </w:r>
          </w:p>
        </w:tc>
        <w:tc>
          <w:tcPr>
            <w:tcW w:w="3474" w:type="dxa"/>
            <w:gridSpan w:val="3"/>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Poliomyélite (ATP)</w:t>
            </w:r>
          </w:p>
        </w:tc>
        <w:tc>
          <w:tcPr>
            <w:tcW w:w="3474" w:type="dxa"/>
            <w:gridSpan w:val="3"/>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Rougeole</w:t>
            </w:r>
          </w:p>
        </w:tc>
      </w:tr>
      <w:tr w:rsidR="00000000">
        <w:tblPrEx>
          <w:tblCellMar>
            <w:top w:w="0" w:type="dxa"/>
            <w:bottom w:w="0" w:type="dxa"/>
          </w:tblCellMar>
        </w:tblPrEx>
        <w:trPr>
          <w:cantSplit/>
          <w:jc w:val="center"/>
        </w:trPr>
        <w:tc>
          <w:tcPr>
            <w:tcW w:w="1380" w:type="dxa"/>
            <w:vMerge/>
            <w:vAlign w:val="center"/>
          </w:tcPr>
          <w:p w:rsidR="00000000" w:rsidRDefault="00000000">
            <w:pPr>
              <w:autoSpaceDE w:val="0"/>
              <w:autoSpaceDN w:val="0"/>
              <w:adjustRightInd w:val="0"/>
              <w:spacing w:before="60" w:after="60"/>
              <w:jc w:val="center"/>
              <w:rPr>
                <w:b/>
                <w:bCs/>
                <w:i/>
                <w:iCs/>
                <w:color w:val="000000"/>
                <w:sz w:val="20"/>
                <w:szCs w:val="22"/>
                <w:lang w:val="fr-FR"/>
              </w:rPr>
            </w:pPr>
          </w:p>
        </w:tc>
        <w:tc>
          <w:tcPr>
            <w:tcW w:w="6948" w:type="dxa"/>
            <w:gridSpan w:val="6"/>
            <w:tcBorders>
              <w:top w:val="nil"/>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Enfants de moins de 1 an</w:t>
            </w:r>
          </w:p>
        </w:tc>
      </w:tr>
      <w:tr w:rsidR="00000000">
        <w:tblPrEx>
          <w:tblCellMar>
            <w:top w:w="0" w:type="dxa"/>
            <w:bottom w:w="0" w:type="dxa"/>
          </w:tblCellMar>
        </w:tblPrEx>
        <w:trPr>
          <w:cantSplit/>
          <w:jc w:val="center"/>
        </w:trPr>
        <w:tc>
          <w:tcPr>
            <w:tcW w:w="1380" w:type="dxa"/>
            <w:vMerge/>
            <w:vAlign w:val="center"/>
          </w:tcPr>
          <w:p w:rsidR="00000000" w:rsidRDefault="00000000">
            <w:pPr>
              <w:autoSpaceDE w:val="0"/>
              <w:autoSpaceDN w:val="0"/>
              <w:adjustRightInd w:val="0"/>
              <w:spacing w:before="60" w:after="60"/>
              <w:jc w:val="center"/>
              <w:rPr>
                <w:b/>
                <w:bCs/>
                <w:i/>
                <w:iCs/>
                <w:color w:val="000000"/>
                <w:sz w:val="20"/>
                <w:szCs w:val="22"/>
                <w:lang w:val="fr-FR"/>
              </w:rPr>
            </w:pPr>
          </w:p>
        </w:tc>
        <w:tc>
          <w:tcPr>
            <w:tcW w:w="1172"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Ensemble du pays</w:t>
            </w:r>
          </w:p>
        </w:tc>
        <w:tc>
          <w:tcPr>
            <w:tcW w:w="1159"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Secteur urbain</w:t>
            </w:r>
          </w:p>
        </w:tc>
        <w:tc>
          <w:tcPr>
            <w:tcW w:w="1143"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Secteur rural</w:t>
            </w:r>
          </w:p>
        </w:tc>
        <w:tc>
          <w:tcPr>
            <w:tcW w:w="1172"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Ensemble du pays</w:t>
            </w:r>
          </w:p>
        </w:tc>
        <w:tc>
          <w:tcPr>
            <w:tcW w:w="1159"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Secteur urbain</w:t>
            </w:r>
          </w:p>
        </w:tc>
        <w:tc>
          <w:tcPr>
            <w:tcW w:w="1143"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Secteur rural</w:t>
            </w:r>
          </w:p>
        </w:tc>
      </w:tr>
      <w:tr w:rsidR="00000000">
        <w:tblPrEx>
          <w:tblCellMar>
            <w:top w:w="0" w:type="dxa"/>
            <w:bottom w:w="0" w:type="dxa"/>
          </w:tblCellMar>
        </w:tblPrEx>
        <w:trPr>
          <w:jc w:val="center"/>
        </w:trPr>
        <w:tc>
          <w:tcPr>
            <w:tcW w:w="138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1994 </w:t>
            </w:r>
          </w:p>
        </w:tc>
        <w:tc>
          <w:tcPr>
            <w:tcW w:w="1172" w:type="dxa"/>
            <w:tcBorders>
              <w:top w:val="single" w:sz="4" w:space="0" w:color="auto"/>
            </w:tcBorders>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47,7 </w:t>
            </w:r>
          </w:p>
        </w:tc>
        <w:tc>
          <w:tcPr>
            <w:tcW w:w="1159" w:type="dxa"/>
            <w:tcBorders>
              <w:top w:val="single" w:sz="4" w:space="0" w:color="auto"/>
            </w:tcBorders>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52,7 </w:t>
            </w:r>
          </w:p>
        </w:tc>
        <w:tc>
          <w:tcPr>
            <w:tcW w:w="1143" w:type="dxa"/>
            <w:tcBorders>
              <w:top w:val="single" w:sz="4" w:space="0" w:color="auto"/>
            </w:tcBorders>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41,7 </w:t>
            </w:r>
          </w:p>
        </w:tc>
        <w:tc>
          <w:tcPr>
            <w:tcW w:w="1172" w:type="dxa"/>
            <w:tcBorders>
              <w:top w:val="single" w:sz="4" w:space="0" w:color="auto"/>
            </w:tcBorders>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62,0 </w:t>
            </w:r>
          </w:p>
        </w:tc>
        <w:tc>
          <w:tcPr>
            <w:tcW w:w="1159" w:type="dxa"/>
            <w:tcBorders>
              <w:top w:val="single" w:sz="4" w:space="0" w:color="auto"/>
            </w:tcBorders>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69,8 </w:t>
            </w:r>
          </w:p>
        </w:tc>
        <w:tc>
          <w:tcPr>
            <w:tcW w:w="1143" w:type="dxa"/>
            <w:tcBorders>
              <w:top w:val="single" w:sz="4" w:space="0" w:color="auto"/>
            </w:tcBorders>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52,8  </w:t>
            </w:r>
          </w:p>
        </w:tc>
      </w:tr>
      <w:tr w:rsidR="00000000">
        <w:tblPrEx>
          <w:tblCellMar>
            <w:top w:w="0" w:type="dxa"/>
            <w:bottom w:w="0" w:type="dxa"/>
          </w:tblCellMar>
        </w:tblPrEx>
        <w:trPr>
          <w:jc w:val="center"/>
        </w:trPr>
        <w:tc>
          <w:tcPr>
            <w:tcW w:w="138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1995 </w:t>
            </w:r>
          </w:p>
        </w:tc>
        <w:tc>
          <w:tcPr>
            <w:tcW w:w="1172"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43,4 </w:t>
            </w:r>
          </w:p>
        </w:tc>
        <w:tc>
          <w:tcPr>
            <w:tcW w:w="1159"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45,7 </w:t>
            </w:r>
          </w:p>
        </w:tc>
        <w:tc>
          <w:tcPr>
            <w:tcW w:w="1143"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40,2 </w:t>
            </w:r>
          </w:p>
        </w:tc>
        <w:tc>
          <w:tcPr>
            <w:tcW w:w="1172"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60,3 </w:t>
            </w:r>
          </w:p>
        </w:tc>
        <w:tc>
          <w:tcPr>
            <w:tcW w:w="1159"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64,1 </w:t>
            </w:r>
          </w:p>
        </w:tc>
        <w:tc>
          <w:tcPr>
            <w:tcW w:w="1143"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55,5  </w:t>
            </w:r>
          </w:p>
        </w:tc>
      </w:tr>
      <w:tr w:rsidR="00000000">
        <w:tblPrEx>
          <w:tblCellMar>
            <w:top w:w="0" w:type="dxa"/>
            <w:bottom w:w="0" w:type="dxa"/>
          </w:tblCellMar>
        </w:tblPrEx>
        <w:trPr>
          <w:jc w:val="center"/>
        </w:trPr>
        <w:tc>
          <w:tcPr>
            <w:tcW w:w="138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1998 </w:t>
            </w:r>
          </w:p>
        </w:tc>
        <w:tc>
          <w:tcPr>
            <w:tcW w:w="1172"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52,5 </w:t>
            </w:r>
          </w:p>
        </w:tc>
        <w:tc>
          <w:tcPr>
            <w:tcW w:w="1159"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52,4 </w:t>
            </w:r>
          </w:p>
        </w:tc>
        <w:tc>
          <w:tcPr>
            <w:tcW w:w="1143"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52,7 </w:t>
            </w:r>
          </w:p>
        </w:tc>
        <w:tc>
          <w:tcPr>
            <w:tcW w:w="1172"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52,3 </w:t>
            </w:r>
          </w:p>
        </w:tc>
        <w:tc>
          <w:tcPr>
            <w:tcW w:w="1159"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55,7 </w:t>
            </w:r>
          </w:p>
        </w:tc>
        <w:tc>
          <w:tcPr>
            <w:tcW w:w="1143"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48,5  </w:t>
            </w:r>
          </w:p>
        </w:tc>
      </w:tr>
      <w:tr w:rsidR="00000000">
        <w:tblPrEx>
          <w:tblCellMar>
            <w:top w:w="0" w:type="dxa"/>
            <w:bottom w:w="0" w:type="dxa"/>
          </w:tblCellMar>
        </w:tblPrEx>
        <w:trPr>
          <w:jc w:val="center"/>
        </w:trPr>
        <w:tc>
          <w:tcPr>
            <w:tcW w:w="138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1999 </w:t>
            </w:r>
          </w:p>
        </w:tc>
        <w:tc>
          <w:tcPr>
            <w:tcW w:w="1172"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56,3 </w:t>
            </w:r>
          </w:p>
        </w:tc>
        <w:tc>
          <w:tcPr>
            <w:tcW w:w="1159"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61,6 </w:t>
            </w:r>
          </w:p>
        </w:tc>
        <w:tc>
          <w:tcPr>
            <w:tcW w:w="1143"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49,8 </w:t>
            </w:r>
          </w:p>
        </w:tc>
        <w:tc>
          <w:tcPr>
            <w:tcW w:w="1172"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52,8 </w:t>
            </w:r>
          </w:p>
        </w:tc>
        <w:tc>
          <w:tcPr>
            <w:tcW w:w="1159"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59,5 </w:t>
            </w:r>
          </w:p>
        </w:tc>
        <w:tc>
          <w:tcPr>
            <w:tcW w:w="1143"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41,3  </w:t>
            </w:r>
          </w:p>
        </w:tc>
      </w:tr>
      <w:tr w:rsidR="00000000">
        <w:tblPrEx>
          <w:tblCellMar>
            <w:top w:w="0" w:type="dxa"/>
            <w:bottom w:w="0" w:type="dxa"/>
          </w:tblCellMar>
        </w:tblPrEx>
        <w:trPr>
          <w:jc w:val="center"/>
        </w:trPr>
        <w:tc>
          <w:tcPr>
            <w:tcW w:w="1380" w:type="dxa"/>
          </w:tcPr>
          <w:p w:rsidR="00000000" w:rsidRDefault="00000000">
            <w:pPr>
              <w:autoSpaceDE w:val="0"/>
              <w:autoSpaceDN w:val="0"/>
              <w:adjustRightInd w:val="0"/>
              <w:spacing w:before="60" w:after="60"/>
              <w:rPr>
                <w:color w:val="000000"/>
                <w:sz w:val="20"/>
                <w:szCs w:val="22"/>
                <w:lang w:val="fr-FR"/>
              </w:rPr>
            </w:pPr>
          </w:p>
        </w:tc>
        <w:tc>
          <w:tcPr>
            <w:tcW w:w="6948" w:type="dxa"/>
            <w:gridSpan w:val="6"/>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Enfants de moins de 5 ans</w:t>
            </w:r>
          </w:p>
        </w:tc>
      </w:tr>
      <w:tr w:rsidR="00000000">
        <w:tblPrEx>
          <w:tblCellMar>
            <w:top w:w="0" w:type="dxa"/>
            <w:bottom w:w="0" w:type="dxa"/>
          </w:tblCellMar>
        </w:tblPrEx>
        <w:trPr>
          <w:jc w:val="center"/>
        </w:trPr>
        <w:tc>
          <w:tcPr>
            <w:tcW w:w="138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1994 </w:t>
            </w:r>
          </w:p>
        </w:tc>
        <w:tc>
          <w:tcPr>
            <w:tcW w:w="1172"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78,3 </w:t>
            </w:r>
          </w:p>
        </w:tc>
        <w:tc>
          <w:tcPr>
            <w:tcW w:w="1159"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85,0 </w:t>
            </w:r>
          </w:p>
        </w:tc>
        <w:tc>
          <w:tcPr>
            <w:tcW w:w="1143"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70,9 </w:t>
            </w:r>
          </w:p>
        </w:tc>
        <w:tc>
          <w:tcPr>
            <w:tcW w:w="1172"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62,0 </w:t>
            </w:r>
          </w:p>
        </w:tc>
        <w:tc>
          <w:tcPr>
            <w:tcW w:w="1159"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92,0 </w:t>
            </w:r>
          </w:p>
        </w:tc>
        <w:tc>
          <w:tcPr>
            <w:tcW w:w="1143"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81,6  </w:t>
            </w:r>
          </w:p>
        </w:tc>
      </w:tr>
      <w:tr w:rsidR="00000000">
        <w:tblPrEx>
          <w:tblCellMar>
            <w:top w:w="0" w:type="dxa"/>
            <w:bottom w:w="0" w:type="dxa"/>
          </w:tblCellMar>
        </w:tblPrEx>
        <w:trPr>
          <w:jc w:val="center"/>
        </w:trPr>
        <w:tc>
          <w:tcPr>
            <w:tcW w:w="138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1995 </w:t>
            </w:r>
          </w:p>
        </w:tc>
        <w:tc>
          <w:tcPr>
            <w:tcW w:w="1172"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77,0 </w:t>
            </w:r>
          </w:p>
        </w:tc>
        <w:tc>
          <w:tcPr>
            <w:tcW w:w="1159"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81,5 </w:t>
            </w:r>
          </w:p>
        </w:tc>
        <w:tc>
          <w:tcPr>
            <w:tcW w:w="1143"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71,1 </w:t>
            </w:r>
          </w:p>
        </w:tc>
        <w:tc>
          <w:tcPr>
            <w:tcW w:w="1172"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60,3 </w:t>
            </w:r>
          </w:p>
        </w:tc>
        <w:tc>
          <w:tcPr>
            <w:tcW w:w="1159"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90,1 </w:t>
            </w:r>
          </w:p>
        </w:tc>
        <w:tc>
          <w:tcPr>
            <w:tcW w:w="1143"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84,5  </w:t>
            </w:r>
          </w:p>
        </w:tc>
      </w:tr>
      <w:tr w:rsidR="00000000">
        <w:tblPrEx>
          <w:tblCellMar>
            <w:top w:w="0" w:type="dxa"/>
            <w:bottom w:w="0" w:type="dxa"/>
          </w:tblCellMar>
        </w:tblPrEx>
        <w:trPr>
          <w:jc w:val="center"/>
        </w:trPr>
        <w:tc>
          <w:tcPr>
            <w:tcW w:w="138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1998 </w:t>
            </w:r>
          </w:p>
        </w:tc>
        <w:tc>
          <w:tcPr>
            <w:tcW w:w="1172"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82,0 </w:t>
            </w:r>
          </w:p>
        </w:tc>
        <w:tc>
          <w:tcPr>
            <w:tcW w:w="1159"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84,1 </w:t>
            </w:r>
          </w:p>
        </w:tc>
        <w:tc>
          <w:tcPr>
            <w:tcW w:w="1143"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79,3 </w:t>
            </w:r>
          </w:p>
        </w:tc>
        <w:tc>
          <w:tcPr>
            <w:tcW w:w="1172"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52,3 </w:t>
            </w:r>
          </w:p>
        </w:tc>
        <w:tc>
          <w:tcPr>
            <w:tcW w:w="1159"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89,8 </w:t>
            </w:r>
          </w:p>
        </w:tc>
        <w:tc>
          <w:tcPr>
            <w:tcW w:w="1143"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85,4  </w:t>
            </w:r>
          </w:p>
        </w:tc>
      </w:tr>
      <w:tr w:rsidR="00000000">
        <w:tblPrEx>
          <w:tblCellMar>
            <w:top w:w="0" w:type="dxa"/>
            <w:bottom w:w="0" w:type="dxa"/>
          </w:tblCellMar>
        </w:tblPrEx>
        <w:trPr>
          <w:jc w:val="center"/>
        </w:trPr>
        <w:tc>
          <w:tcPr>
            <w:tcW w:w="1380"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1999 </w:t>
            </w:r>
          </w:p>
        </w:tc>
        <w:tc>
          <w:tcPr>
            <w:tcW w:w="1172"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81,6 </w:t>
            </w:r>
          </w:p>
        </w:tc>
        <w:tc>
          <w:tcPr>
            <w:tcW w:w="1159"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87,8 </w:t>
            </w:r>
          </w:p>
        </w:tc>
        <w:tc>
          <w:tcPr>
            <w:tcW w:w="1143"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74,1 </w:t>
            </w:r>
          </w:p>
        </w:tc>
        <w:tc>
          <w:tcPr>
            <w:tcW w:w="1172"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52,8 </w:t>
            </w:r>
          </w:p>
        </w:tc>
        <w:tc>
          <w:tcPr>
            <w:tcW w:w="1159"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90,5 </w:t>
            </w:r>
          </w:p>
        </w:tc>
        <w:tc>
          <w:tcPr>
            <w:tcW w:w="1143" w:type="dxa"/>
          </w:tcPr>
          <w:p w:rsidR="00000000" w:rsidRDefault="00000000">
            <w:pPr>
              <w:tabs>
                <w:tab w:val="decimal" w:pos="528"/>
              </w:tabs>
              <w:autoSpaceDE w:val="0"/>
              <w:autoSpaceDN w:val="0"/>
              <w:adjustRightInd w:val="0"/>
              <w:spacing w:before="40" w:after="40"/>
              <w:rPr>
                <w:color w:val="000000"/>
                <w:sz w:val="20"/>
                <w:szCs w:val="22"/>
                <w:lang w:val="fr-FR"/>
              </w:rPr>
            </w:pPr>
            <w:r>
              <w:rPr>
                <w:color w:val="000000"/>
                <w:sz w:val="20"/>
                <w:szCs w:val="22"/>
                <w:lang w:val="fr-FR"/>
              </w:rPr>
              <w:t xml:space="preserve">81,6  </w:t>
            </w:r>
          </w:p>
        </w:tc>
      </w:tr>
    </w:tbl>
    <w:p w:rsidR="00000000" w:rsidRDefault="00000000">
      <w:pPr>
        <w:spacing w:before="360" w:after="240"/>
        <w:rPr>
          <w:iCs/>
          <w:color w:val="000000"/>
          <w:lang w:val="fr-FR"/>
        </w:rPr>
      </w:pPr>
      <w:r>
        <w:rPr>
          <w:b/>
          <w:iCs/>
          <w:color w:val="000000"/>
          <w:lang w:val="fr-FR"/>
        </w:rPr>
        <w:t>Espérance de vie</w:t>
      </w:r>
    </w:p>
    <w:p w:rsidR="00000000" w:rsidRDefault="00000000">
      <w:pPr>
        <w:spacing w:after="240"/>
        <w:rPr>
          <w:iCs/>
          <w:color w:val="000000"/>
          <w:lang w:val="fr-FR"/>
        </w:rPr>
      </w:pPr>
      <w:r>
        <w:rPr>
          <w:iCs/>
          <w:color w:val="000000"/>
          <w:lang w:val="fr-FR"/>
        </w:rPr>
        <w:t>423.</w:t>
      </w:r>
      <w:r>
        <w:rPr>
          <w:iCs/>
          <w:color w:val="000000"/>
          <w:lang w:val="fr-FR"/>
        </w:rPr>
        <w:tab/>
        <w:t xml:space="preserve">L’espérance de vie dans le pays pour la période 1995-2000 est évaluée à 69,9 ans pour l’ensemble de la population, à 67,3 ans pour les hommes et à 72,5 ans pour les femmes.  </w:t>
      </w:r>
    </w:p>
    <w:p w:rsidR="00000000" w:rsidRDefault="00000000">
      <w:pPr>
        <w:spacing w:after="240"/>
        <w:rPr>
          <w:iCs/>
          <w:color w:val="000000"/>
          <w:lang w:val="fr-FR"/>
        </w:rPr>
      </w:pPr>
      <w:r>
        <w:rPr>
          <w:iCs/>
          <w:color w:val="000000"/>
          <w:lang w:val="fr-FR"/>
        </w:rPr>
        <w:t>424.</w:t>
      </w:r>
      <w:r>
        <w:rPr>
          <w:iCs/>
          <w:color w:val="000000"/>
          <w:lang w:val="fr-FR"/>
        </w:rPr>
        <w:tab/>
        <w:t>Il est important de savoir si une personne s’adresse à des services de santé, mais cette information doit être complétée par le nombre de fois où la personne est présente à la consultation, étant donné que chaque consultation correspond à une dépense de ressources d'une certaine nature.  À cet égard, les données de l'enquête montrent que, à l’échelle nationale, parmi les personnes qui ont subi des examens ou des bilans médicaux au cours du mois écoulé, la majorité (66,55 %) n'a eu qu'une seule consultation médicale, 26 % en ont eu deux, et une minorité (7,6 %) a eu trois consultations et plus.  On ne dispose pas d'informations sur la fourniture de médicaments.</w:t>
      </w:r>
    </w:p>
    <w:p w:rsidR="00000000" w:rsidRDefault="00000000">
      <w:pPr>
        <w:spacing w:after="360"/>
        <w:rPr>
          <w:iCs/>
          <w:color w:val="000000"/>
          <w:lang w:val="fr-FR"/>
        </w:rPr>
      </w:pPr>
      <w:r>
        <w:rPr>
          <w:i/>
          <w:iCs/>
          <w:color w:val="000000"/>
          <w:lang w:val="fr-FR"/>
        </w:rPr>
        <w:br w:type="page"/>
        <w:t>Assistance pendant l'accouchement</w:t>
      </w:r>
    </w:p>
    <w:p w:rsidR="00000000" w:rsidRDefault="00000000">
      <w:pPr>
        <w:spacing w:after="360"/>
        <w:rPr>
          <w:iCs/>
          <w:color w:val="000000"/>
          <w:lang w:val="fr-FR"/>
        </w:rPr>
      </w:pPr>
      <w:r>
        <w:rPr>
          <w:iCs/>
          <w:color w:val="000000"/>
          <w:lang w:val="fr-FR"/>
        </w:rPr>
        <w:t>425.</w:t>
      </w:r>
      <w:r>
        <w:rPr>
          <w:iCs/>
          <w:color w:val="000000"/>
          <w:lang w:val="fr-FR"/>
        </w:rPr>
        <w:tab/>
        <w:t>Il ressort des données de l'enquête ENDEMAIN-99 qu’en ce qui concerne les soins prénatals, pour l'ensemble du pays, 80,6 % des mères d'enfants nés vivant entre mars 1994 et février 1999 ont bénéficié au moins d'un contrôle au cours de leur grossesse.  Dans les villes, la proportion s'élève à 89 %, alors qu’elle n’est que de 71 % dans les zones rurales, soit 18 points de pourcentage en moins.  Par rapport aux autres régions du pays, c'est dans la région de la Costa que les pourcentages sont les plus élevés, tant dans les zones urbaines que dans les zones rurales.  Dans la région de l'Amazonie, la situation devient préoccupante puisque 66 % seulement des mères ont au moins un contrôle prénatal.</w:t>
      </w:r>
    </w:p>
    <w:p w:rsidR="00000000" w:rsidRDefault="00000000">
      <w:pPr>
        <w:spacing w:after="360"/>
        <w:rPr>
          <w:iCs/>
          <w:color w:val="000000"/>
          <w:lang w:val="fr-FR"/>
        </w:rPr>
      </w:pPr>
      <w:r>
        <w:rPr>
          <w:iCs/>
          <w:color w:val="000000"/>
          <w:lang w:val="fr-FR"/>
        </w:rPr>
        <w:t>426.</w:t>
      </w:r>
      <w:r>
        <w:rPr>
          <w:iCs/>
          <w:color w:val="000000"/>
          <w:lang w:val="fr-FR"/>
        </w:rPr>
        <w:tab/>
        <w:t>Pour l'assistance à l'accouchement et pendant la période post-partum, la couverture des soins professionnels dans le pays est de 69,2 % des mères qui ont accouché au cours des cinq années précédant l'enquête.</w:t>
      </w:r>
    </w:p>
    <w:p w:rsidR="00000000" w:rsidRDefault="00000000">
      <w:pPr>
        <w:spacing w:after="360"/>
        <w:rPr>
          <w:iCs/>
          <w:color w:val="000000"/>
          <w:lang w:val="fr-FR"/>
        </w:rPr>
      </w:pPr>
      <w:r>
        <w:rPr>
          <w:iCs/>
          <w:color w:val="000000"/>
          <w:lang w:val="fr-FR"/>
        </w:rPr>
        <w:t>427.</w:t>
      </w:r>
      <w:r>
        <w:rPr>
          <w:iCs/>
          <w:color w:val="000000"/>
          <w:lang w:val="fr-FR"/>
        </w:rPr>
        <w:tab/>
        <w:t>Ce pourcentage se situe à 86 % dans les zones urbaines et à 49 %, c'est-à-dire pratiquement la moitié, dans les zones rurales.  La région la plus défavorisée pour ce qui est de cette  catégorie de soins est l'Amazonie où moins de la moitié des mères (47,9 %) reçoivent des soins de santé professionnels à l'accouchement; ces chiffres appellent une attention accrue, compte tenu surtout de l'importance que revêtent la prévention et la réduction des taux élevés de mortalité maternelle que connaît le pays.</w:t>
      </w:r>
    </w:p>
    <w:p w:rsidR="00000000" w:rsidRDefault="00000000">
      <w:pPr>
        <w:spacing w:after="240"/>
        <w:rPr>
          <w:iCs/>
          <w:color w:val="000000"/>
          <w:lang w:val="fr-FR"/>
        </w:rPr>
      </w:pPr>
      <w:r>
        <w:rPr>
          <w:iCs/>
          <w:color w:val="000000"/>
          <w:lang w:val="fr-FR"/>
        </w:rPr>
        <w:t>428.</w:t>
      </w:r>
      <w:r>
        <w:rPr>
          <w:iCs/>
          <w:color w:val="000000"/>
          <w:lang w:val="fr-FR"/>
        </w:rPr>
        <w:tab/>
        <w:t>Le pourcentage de femmes qui accouchent à leur domicile, avec l'assistance de sages-femmes, de membres de la famille ou seules, est de 29 % pour l'ensemble du pays, mais il représente la moitié des accouchements dans les zones rurales.  Ce pourcentage est moins élevé dans les zones rurales de la Costa (40 %) et dans les zones rurales de la Sierra et la région amazonienne où une femme sur deux donne naissance dans des conditions précaires, avec un risque élevé de complications, y compris de conséquences douloureuses, ce qui illustre bien l'insuffisance de la couverture des soins maternels et infantiles dans ces zones.</w:t>
      </w:r>
    </w:p>
    <w:p w:rsidR="00000000" w:rsidRDefault="00000000">
      <w:pPr>
        <w:autoSpaceDE w:val="0"/>
        <w:autoSpaceDN w:val="0"/>
        <w:adjustRightInd w:val="0"/>
        <w:spacing w:after="120"/>
        <w:jc w:val="center"/>
        <w:rPr>
          <w:b/>
          <w:bCs/>
          <w:color w:val="000000"/>
          <w:sz w:val="20"/>
          <w:szCs w:val="22"/>
          <w:lang w:val="fr-FR"/>
        </w:rPr>
      </w:pPr>
      <w:r>
        <w:rPr>
          <w:b/>
          <w:bCs/>
          <w:color w:val="000000"/>
          <w:szCs w:val="22"/>
          <w:lang w:val="fr-FR"/>
        </w:rPr>
        <w:br w:type="page"/>
        <w:t>A</w:t>
      </w:r>
      <w:r>
        <w:rPr>
          <w:b/>
          <w:bCs/>
          <w:color w:val="000000"/>
          <w:sz w:val="20"/>
          <w:szCs w:val="22"/>
          <w:lang w:val="fr-FR"/>
        </w:rPr>
        <w:t xml:space="preserve">ssistance médicale à l'accouchement, selon diverses caractéristiques, pour les naissances vivantes </w:t>
      </w:r>
      <w:r>
        <w:rPr>
          <w:b/>
          <w:bCs/>
          <w:color w:val="000000"/>
          <w:sz w:val="20"/>
          <w:szCs w:val="22"/>
          <w:lang w:val="fr-FR"/>
        </w:rPr>
        <w:br/>
      </w:r>
      <w:r>
        <w:rPr>
          <w:i/>
          <w:iCs/>
          <w:color w:val="000000"/>
          <w:sz w:val="20"/>
          <w:szCs w:val="22"/>
          <w:lang w:val="fr-FR"/>
        </w:rPr>
        <w:t xml:space="preserve">(mars 1994-février 1999)  </w:t>
      </w:r>
    </w:p>
    <w:tbl>
      <w:tblPr>
        <w:tblW w:w="8505"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046"/>
        <w:gridCol w:w="1440"/>
        <w:gridCol w:w="1620"/>
        <w:gridCol w:w="1399"/>
      </w:tblGrid>
      <w:tr w:rsidR="00000000">
        <w:tblPrEx>
          <w:tblCellMar>
            <w:top w:w="0" w:type="dxa"/>
            <w:bottom w:w="0" w:type="dxa"/>
          </w:tblCellMar>
        </w:tblPrEx>
        <w:trPr>
          <w:jc w:val="center"/>
        </w:trPr>
        <w:tc>
          <w:tcPr>
            <w:tcW w:w="4046"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Assistance à l'accouchement</w:t>
            </w:r>
          </w:p>
        </w:tc>
        <w:tc>
          <w:tcPr>
            <w:tcW w:w="4459" w:type="dxa"/>
            <w:gridSpan w:val="3"/>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Ensemble du pays</w:t>
            </w:r>
          </w:p>
        </w:tc>
      </w:tr>
      <w:tr w:rsidR="00000000">
        <w:tblPrEx>
          <w:tblCellMar>
            <w:top w:w="0" w:type="dxa"/>
            <w:bottom w:w="0" w:type="dxa"/>
          </w:tblCellMar>
        </w:tblPrEx>
        <w:trPr>
          <w:jc w:val="center"/>
        </w:trPr>
        <w:tc>
          <w:tcPr>
            <w:tcW w:w="4046"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Lieu</w:t>
            </w:r>
          </w:p>
        </w:tc>
        <w:tc>
          <w:tcPr>
            <w:tcW w:w="1440"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Total</w:t>
            </w:r>
          </w:p>
        </w:tc>
        <w:tc>
          <w:tcPr>
            <w:tcW w:w="1620"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Secteur urbain</w:t>
            </w:r>
          </w:p>
        </w:tc>
        <w:tc>
          <w:tcPr>
            <w:tcW w:w="1399" w:type="dxa"/>
            <w:tcBorders>
              <w:top w:val="single" w:sz="4" w:space="0" w:color="auto"/>
              <w:bottom w:val="single" w:sz="4"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Secteur rural</w:t>
            </w:r>
          </w:p>
        </w:tc>
      </w:tr>
      <w:tr w:rsidR="00000000">
        <w:tblPrEx>
          <w:tblCellMar>
            <w:top w:w="0" w:type="dxa"/>
            <w:bottom w:w="0" w:type="dxa"/>
          </w:tblCellMar>
        </w:tblPrEx>
        <w:trPr>
          <w:jc w:val="center"/>
        </w:trPr>
        <w:tc>
          <w:tcPr>
            <w:tcW w:w="4046" w:type="dxa"/>
            <w:tcBorders>
              <w:top w:val="single" w:sz="4" w:space="0" w:color="auto"/>
            </w:tcBorders>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Assistance professionnelle </w:t>
            </w:r>
          </w:p>
        </w:tc>
        <w:tc>
          <w:tcPr>
            <w:tcW w:w="1440" w:type="dxa"/>
            <w:tcBorders>
              <w:top w:val="single" w:sz="4" w:space="0" w:color="auto"/>
            </w:tcBorders>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69,2 </w:t>
            </w:r>
          </w:p>
        </w:tc>
        <w:tc>
          <w:tcPr>
            <w:tcW w:w="1620" w:type="dxa"/>
            <w:tcBorders>
              <w:top w:val="single" w:sz="4" w:space="0" w:color="auto"/>
            </w:tcBorders>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86,2 </w:t>
            </w:r>
          </w:p>
        </w:tc>
        <w:tc>
          <w:tcPr>
            <w:tcW w:w="1399" w:type="dxa"/>
            <w:tcBorders>
              <w:top w:val="single" w:sz="4" w:space="0" w:color="auto"/>
            </w:tcBorders>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49,0  </w:t>
            </w:r>
          </w:p>
        </w:tc>
      </w:tr>
      <w:tr w:rsidR="00000000">
        <w:tblPrEx>
          <w:tblCellMar>
            <w:top w:w="0" w:type="dxa"/>
            <w:bottom w:w="0" w:type="dxa"/>
          </w:tblCellMar>
        </w:tblPrEx>
        <w:trPr>
          <w:jc w:val="center"/>
        </w:trPr>
        <w:tc>
          <w:tcPr>
            <w:tcW w:w="4046"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Établissement public </w:t>
            </w:r>
          </w:p>
        </w:tc>
        <w:tc>
          <w:tcPr>
            <w:tcW w:w="1440" w:type="dxa"/>
          </w:tcPr>
          <w:p w:rsidR="00000000" w:rsidRDefault="00000000">
            <w:pPr>
              <w:tabs>
                <w:tab w:val="decimal" w:pos="650"/>
              </w:tabs>
              <w:autoSpaceDE w:val="0"/>
              <w:autoSpaceDN w:val="0"/>
              <w:adjustRightInd w:val="0"/>
              <w:spacing w:before="40" w:after="40"/>
              <w:rPr>
                <w:color w:val="000000"/>
                <w:sz w:val="20"/>
                <w:szCs w:val="22"/>
                <w:lang w:val="fr-FR"/>
              </w:rPr>
            </w:pPr>
          </w:p>
        </w:tc>
        <w:tc>
          <w:tcPr>
            <w:tcW w:w="1620" w:type="dxa"/>
          </w:tcPr>
          <w:p w:rsidR="00000000" w:rsidRDefault="00000000">
            <w:pPr>
              <w:tabs>
                <w:tab w:val="decimal" w:pos="650"/>
              </w:tabs>
              <w:autoSpaceDE w:val="0"/>
              <w:autoSpaceDN w:val="0"/>
              <w:adjustRightInd w:val="0"/>
              <w:spacing w:before="40" w:after="40"/>
              <w:rPr>
                <w:color w:val="000000"/>
                <w:sz w:val="20"/>
                <w:szCs w:val="22"/>
                <w:lang w:val="fr-FR"/>
              </w:rPr>
            </w:pPr>
          </w:p>
        </w:tc>
        <w:tc>
          <w:tcPr>
            <w:tcW w:w="1399" w:type="dxa"/>
          </w:tcPr>
          <w:p w:rsidR="00000000" w:rsidRDefault="00000000">
            <w:pPr>
              <w:tabs>
                <w:tab w:val="decimal" w:pos="650"/>
              </w:tabs>
              <w:autoSpaceDE w:val="0"/>
              <w:autoSpaceDN w:val="0"/>
              <w:adjustRightInd w:val="0"/>
              <w:spacing w:before="40" w:after="40"/>
              <w:rPr>
                <w:color w:val="000000"/>
                <w:sz w:val="20"/>
                <w:szCs w:val="22"/>
                <w:lang w:val="fr-FR"/>
              </w:rPr>
            </w:pPr>
          </w:p>
        </w:tc>
      </w:tr>
      <w:tr w:rsidR="00000000">
        <w:tblPrEx>
          <w:tblCellMar>
            <w:top w:w="0" w:type="dxa"/>
            <w:bottom w:w="0" w:type="dxa"/>
          </w:tblCellMar>
        </w:tblPrEx>
        <w:trPr>
          <w:jc w:val="center"/>
        </w:trPr>
        <w:tc>
          <w:tcPr>
            <w:tcW w:w="4046" w:type="dxa"/>
          </w:tcPr>
          <w:p w:rsidR="00000000" w:rsidRDefault="00000000">
            <w:pPr>
              <w:autoSpaceDE w:val="0"/>
              <w:autoSpaceDN w:val="0"/>
              <w:adjustRightInd w:val="0"/>
              <w:spacing w:before="40" w:after="40"/>
              <w:ind w:left="57"/>
              <w:rPr>
                <w:color w:val="000000"/>
                <w:sz w:val="20"/>
                <w:szCs w:val="22"/>
                <w:lang w:val="fr-FR"/>
              </w:rPr>
            </w:pPr>
            <w:r>
              <w:rPr>
                <w:color w:val="000000"/>
                <w:sz w:val="20"/>
                <w:szCs w:val="22"/>
                <w:lang w:val="fr-FR"/>
              </w:rPr>
              <w:t xml:space="preserve">  Ministère de la santé </w:t>
            </w:r>
          </w:p>
        </w:tc>
        <w:tc>
          <w:tcPr>
            <w:tcW w:w="144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34,4 </w:t>
            </w:r>
          </w:p>
        </w:tc>
        <w:tc>
          <w:tcPr>
            <w:tcW w:w="162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36,6 </w:t>
            </w:r>
          </w:p>
        </w:tc>
        <w:tc>
          <w:tcPr>
            <w:tcW w:w="1399"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31,8  </w:t>
            </w:r>
          </w:p>
        </w:tc>
      </w:tr>
      <w:tr w:rsidR="00000000">
        <w:tblPrEx>
          <w:tblCellMar>
            <w:top w:w="0" w:type="dxa"/>
            <w:bottom w:w="0" w:type="dxa"/>
          </w:tblCellMar>
        </w:tblPrEx>
        <w:trPr>
          <w:jc w:val="center"/>
        </w:trPr>
        <w:tc>
          <w:tcPr>
            <w:tcW w:w="4046" w:type="dxa"/>
          </w:tcPr>
          <w:p w:rsidR="00000000" w:rsidRDefault="00000000">
            <w:pPr>
              <w:autoSpaceDE w:val="0"/>
              <w:autoSpaceDN w:val="0"/>
              <w:adjustRightInd w:val="0"/>
              <w:spacing w:before="40" w:after="40"/>
              <w:ind w:left="57"/>
              <w:rPr>
                <w:color w:val="000000"/>
                <w:sz w:val="20"/>
                <w:szCs w:val="22"/>
                <w:lang w:val="fr-FR"/>
              </w:rPr>
            </w:pPr>
            <w:r>
              <w:rPr>
                <w:color w:val="000000"/>
                <w:sz w:val="20"/>
                <w:szCs w:val="22"/>
                <w:lang w:val="fr-FR"/>
              </w:rPr>
              <w:t xml:space="preserve">  Autres établissements publics </w:t>
            </w:r>
          </w:p>
        </w:tc>
        <w:tc>
          <w:tcPr>
            <w:tcW w:w="144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16,0 </w:t>
            </w:r>
          </w:p>
        </w:tc>
        <w:tc>
          <w:tcPr>
            <w:tcW w:w="162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25,4 </w:t>
            </w:r>
          </w:p>
        </w:tc>
        <w:tc>
          <w:tcPr>
            <w:tcW w:w="1399"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4,7  </w:t>
            </w:r>
          </w:p>
        </w:tc>
      </w:tr>
      <w:tr w:rsidR="00000000">
        <w:tblPrEx>
          <w:tblCellMar>
            <w:top w:w="0" w:type="dxa"/>
            <w:bottom w:w="0" w:type="dxa"/>
          </w:tblCellMar>
        </w:tblPrEx>
        <w:trPr>
          <w:jc w:val="center"/>
        </w:trPr>
        <w:tc>
          <w:tcPr>
            <w:tcW w:w="4046"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Privé </w:t>
            </w:r>
          </w:p>
        </w:tc>
        <w:tc>
          <w:tcPr>
            <w:tcW w:w="144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18,8 </w:t>
            </w:r>
          </w:p>
        </w:tc>
        <w:tc>
          <w:tcPr>
            <w:tcW w:w="162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24,2 </w:t>
            </w:r>
          </w:p>
        </w:tc>
        <w:tc>
          <w:tcPr>
            <w:tcW w:w="1399"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12,5  </w:t>
            </w:r>
          </w:p>
        </w:tc>
      </w:tr>
      <w:tr w:rsidR="00000000">
        <w:tblPrEx>
          <w:tblCellMar>
            <w:top w:w="0" w:type="dxa"/>
            <w:bottom w:w="0" w:type="dxa"/>
          </w:tblCellMar>
        </w:tblPrEx>
        <w:trPr>
          <w:jc w:val="center"/>
        </w:trPr>
        <w:tc>
          <w:tcPr>
            <w:tcW w:w="4046"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Assistance non professionnelle </w:t>
            </w:r>
          </w:p>
        </w:tc>
        <w:tc>
          <w:tcPr>
            <w:tcW w:w="144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29,0 </w:t>
            </w:r>
          </w:p>
        </w:tc>
        <w:tc>
          <w:tcPr>
            <w:tcW w:w="162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11,9 </w:t>
            </w:r>
          </w:p>
        </w:tc>
        <w:tc>
          <w:tcPr>
            <w:tcW w:w="1399"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49,3  </w:t>
            </w:r>
          </w:p>
        </w:tc>
      </w:tr>
      <w:tr w:rsidR="00000000">
        <w:tblPrEx>
          <w:tblCellMar>
            <w:top w:w="0" w:type="dxa"/>
            <w:bottom w:w="0" w:type="dxa"/>
          </w:tblCellMar>
        </w:tblPrEx>
        <w:trPr>
          <w:jc w:val="center"/>
        </w:trPr>
        <w:tc>
          <w:tcPr>
            <w:tcW w:w="4046" w:type="dxa"/>
          </w:tcPr>
          <w:p w:rsidR="00000000" w:rsidRDefault="00000000">
            <w:pPr>
              <w:autoSpaceDE w:val="0"/>
              <w:autoSpaceDN w:val="0"/>
              <w:adjustRightInd w:val="0"/>
              <w:spacing w:before="40" w:after="40"/>
              <w:ind w:left="57"/>
              <w:rPr>
                <w:color w:val="000000"/>
                <w:sz w:val="20"/>
                <w:szCs w:val="22"/>
                <w:lang w:val="fr-FR"/>
              </w:rPr>
            </w:pPr>
            <w:r>
              <w:rPr>
                <w:color w:val="000000"/>
                <w:sz w:val="20"/>
                <w:szCs w:val="22"/>
                <w:lang w:val="fr-FR"/>
              </w:rPr>
              <w:t xml:space="preserve">  Au domicile avec sage-femme </w:t>
            </w:r>
          </w:p>
        </w:tc>
        <w:tc>
          <w:tcPr>
            <w:tcW w:w="144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14,3 </w:t>
            </w:r>
          </w:p>
        </w:tc>
        <w:tc>
          <w:tcPr>
            <w:tcW w:w="162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7,1 </w:t>
            </w:r>
          </w:p>
        </w:tc>
        <w:tc>
          <w:tcPr>
            <w:tcW w:w="1399"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22,9  </w:t>
            </w:r>
          </w:p>
        </w:tc>
      </w:tr>
      <w:tr w:rsidR="00000000">
        <w:tblPrEx>
          <w:tblCellMar>
            <w:top w:w="0" w:type="dxa"/>
            <w:bottom w:w="0" w:type="dxa"/>
          </w:tblCellMar>
        </w:tblPrEx>
        <w:trPr>
          <w:jc w:val="center"/>
        </w:trPr>
        <w:tc>
          <w:tcPr>
            <w:tcW w:w="4046" w:type="dxa"/>
          </w:tcPr>
          <w:p w:rsidR="00000000" w:rsidRDefault="00000000">
            <w:pPr>
              <w:autoSpaceDE w:val="0"/>
              <w:autoSpaceDN w:val="0"/>
              <w:adjustRightInd w:val="0"/>
              <w:spacing w:before="40" w:after="40"/>
              <w:ind w:left="57"/>
              <w:rPr>
                <w:color w:val="000000"/>
                <w:sz w:val="20"/>
                <w:szCs w:val="22"/>
                <w:lang w:val="fr-FR"/>
              </w:rPr>
            </w:pPr>
            <w:r>
              <w:rPr>
                <w:color w:val="000000"/>
                <w:sz w:val="20"/>
                <w:szCs w:val="22"/>
                <w:lang w:val="fr-FR"/>
              </w:rPr>
              <w:t xml:space="preserve">  Au domicile avec parent </w:t>
            </w:r>
          </w:p>
        </w:tc>
        <w:tc>
          <w:tcPr>
            <w:tcW w:w="144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11,1 </w:t>
            </w:r>
          </w:p>
        </w:tc>
        <w:tc>
          <w:tcPr>
            <w:tcW w:w="162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3,8 </w:t>
            </w:r>
          </w:p>
        </w:tc>
        <w:tc>
          <w:tcPr>
            <w:tcW w:w="1399"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19,9  </w:t>
            </w:r>
          </w:p>
        </w:tc>
      </w:tr>
      <w:tr w:rsidR="00000000">
        <w:tblPrEx>
          <w:tblCellMar>
            <w:top w:w="0" w:type="dxa"/>
            <w:bottom w:w="0" w:type="dxa"/>
          </w:tblCellMar>
        </w:tblPrEx>
        <w:trPr>
          <w:jc w:val="center"/>
        </w:trPr>
        <w:tc>
          <w:tcPr>
            <w:tcW w:w="4046" w:type="dxa"/>
          </w:tcPr>
          <w:p w:rsidR="00000000" w:rsidRDefault="00000000">
            <w:pPr>
              <w:autoSpaceDE w:val="0"/>
              <w:autoSpaceDN w:val="0"/>
              <w:adjustRightInd w:val="0"/>
              <w:spacing w:before="40" w:after="40"/>
              <w:ind w:left="57"/>
              <w:rPr>
                <w:color w:val="000000"/>
                <w:sz w:val="20"/>
                <w:szCs w:val="22"/>
                <w:lang w:val="fr-FR"/>
              </w:rPr>
            </w:pPr>
            <w:r>
              <w:rPr>
                <w:color w:val="000000"/>
                <w:sz w:val="20"/>
                <w:szCs w:val="22"/>
                <w:lang w:val="fr-FR"/>
              </w:rPr>
              <w:t xml:space="preserve">  Accouchement seule </w:t>
            </w:r>
          </w:p>
        </w:tc>
        <w:tc>
          <w:tcPr>
            <w:tcW w:w="144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3,5 </w:t>
            </w:r>
          </w:p>
        </w:tc>
        <w:tc>
          <w:tcPr>
            <w:tcW w:w="162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1,0 </w:t>
            </w:r>
          </w:p>
        </w:tc>
        <w:tc>
          <w:tcPr>
            <w:tcW w:w="1399"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6,5  </w:t>
            </w:r>
          </w:p>
        </w:tc>
      </w:tr>
      <w:tr w:rsidR="00000000">
        <w:tblPrEx>
          <w:tblCellMar>
            <w:top w:w="0" w:type="dxa"/>
            <w:bottom w:w="0" w:type="dxa"/>
          </w:tblCellMar>
        </w:tblPrEx>
        <w:trPr>
          <w:jc w:val="center"/>
        </w:trPr>
        <w:tc>
          <w:tcPr>
            <w:tcW w:w="4046"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Ne sait pas </w:t>
            </w:r>
          </w:p>
        </w:tc>
        <w:tc>
          <w:tcPr>
            <w:tcW w:w="144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1,8 </w:t>
            </w:r>
          </w:p>
        </w:tc>
        <w:tc>
          <w:tcPr>
            <w:tcW w:w="162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1,9 </w:t>
            </w:r>
          </w:p>
        </w:tc>
        <w:tc>
          <w:tcPr>
            <w:tcW w:w="1399"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1,7  </w:t>
            </w:r>
          </w:p>
        </w:tc>
      </w:tr>
      <w:tr w:rsidR="00000000">
        <w:tblPrEx>
          <w:tblCellMar>
            <w:top w:w="0" w:type="dxa"/>
            <w:bottom w:w="0" w:type="dxa"/>
          </w:tblCellMar>
        </w:tblPrEx>
        <w:trPr>
          <w:jc w:val="center"/>
        </w:trPr>
        <w:tc>
          <w:tcPr>
            <w:tcW w:w="4046"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Type d'accouchement  </w:t>
            </w:r>
          </w:p>
        </w:tc>
        <w:tc>
          <w:tcPr>
            <w:tcW w:w="1440" w:type="dxa"/>
          </w:tcPr>
          <w:p w:rsidR="00000000" w:rsidRDefault="00000000">
            <w:pPr>
              <w:tabs>
                <w:tab w:val="decimal" w:pos="650"/>
              </w:tabs>
              <w:autoSpaceDE w:val="0"/>
              <w:autoSpaceDN w:val="0"/>
              <w:adjustRightInd w:val="0"/>
              <w:spacing w:before="40" w:after="40"/>
              <w:rPr>
                <w:color w:val="000000"/>
                <w:sz w:val="20"/>
                <w:szCs w:val="22"/>
                <w:lang w:val="fr-FR"/>
              </w:rPr>
            </w:pPr>
          </w:p>
        </w:tc>
        <w:tc>
          <w:tcPr>
            <w:tcW w:w="1620" w:type="dxa"/>
          </w:tcPr>
          <w:p w:rsidR="00000000" w:rsidRDefault="00000000">
            <w:pPr>
              <w:tabs>
                <w:tab w:val="decimal" w:pos="650"/>
              </w:tabs>
              <w:autoSpaceDE w:val="0"/>
              <w:autoSpaceDN w:val="0"/>
              <w:adjustRightInd w:val="0"/>
              <w:spacing w:before="40" w:after="40"/>
              <w:rPr>
                <w:color w:val="000000"/>
                <w:sz w:val="20"/>
                <w:szCs w:val="22"/>
                <w:lang w:val="fr-FR"/>
              </w:rPr>
            </w:pPr>
          </w:p>
        </w:tc>
        <w:tc>
          <w:tcPr>
            <w:tcW w:w="1399" w:type="dxa"/>
          </w:tcPr>
          <w:p w:rsidR="00000000" w:rsidRDefault="00000000">
            <w:pPr>
              <w:tabs>
                <w:tab w:val="decimal" w:pos="650"/>
              </w:tabs>
              <w:autoSpaceDE w:val="0"/>
              <w:autoSpaceDN w:val="0"/>
              <w:adjustRightInd w:val="0"/>
              <w:spacing w:before="40" w:after="40"/>
              <w:rPr>
                <w:color w:val="000000"/>
                <w:sz w:val="20"/>
                <w:szCs w:val="22"/>
                <w:lang w:val="fr-FR"/>
              </w:rPr>
            </w:pPr>
          </w:p>
        </w:tc>
      </w:tr>
      <w:tr w:rsidR="00000000">
        <w:tblPrEx>
          <w:tblCellMar>
            <w:top w:w="0" w:type="dxa"/>
            <w:bottom w:w="0" w:type="dxa"/>
          </w:tblCellMar>
        </w:tblPrEx>
        <w:trPr>
          <w:jc w:val="center"/>
        </w:trPr>
        <w:tc>
          <w:tcPr>
            <w:tcW w:w="4046" w:type="dxa"/>
          </w:tcPr>
          <w:p w:rsidR="00000000" w:rsidRDefault="00000000">
            <w:pPr>
              <w:autoSpaceDE w:val="0"/>
              <w:autoSpaceDN w:val="0"/>
              <w:adjustRightInd w:val="0"/>
              <w:spacing w:before="40" w:after="40"/>
              <w:ind w:left="57"/>
              <w:rPr>
                <w:color w:val="000000"/>
                <w:sz w:val="20"/>
                <w:szCs w:val="22"/>
                <w:lang w:val="fr-FR"/>
              </w:rPr>
            </w:pPr>
            <w:r>
              <w:rPr>
                <w:color w:val="000000"/>
                <w:sz w:val="20"/>
                <w:szCs w:val="22"/>
                <w:lang w:val="fr-FR"/>
              </w:rPr>
              <w:t xml:space="preserve">  Vaginal </w:t>
            </w:r>
          </w:p>
        </w:tc>
        <w:tc>
          <w:tcPr>
            <w:tcW w:w="144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80,1 </w:t>
            </w:r>
          </w:p>
        </w:tc>
        <w:tc>
          <w:tcPr>
            <w:tcW w:w="162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72,4 </w:t>
            </w:r>
          </w:p>
        </w:tc>
        <w:tc>
          <w:tcPr>
            <w:tcW w:w="1399"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89,3  </w:t>
            </w:r>
          </w:p>
        </w:tc>
      </w:tr>
      <w:tr w:rsidR="00000000">
        <w:tblPrEx>
          <w:tblCellMar>
            <w:top w:w="0" w:type="dxa"/>
            <w:bottom w:w="0" w:type="dxa"/>
          </w:tblCellMar>
        </w:tblPrEx>
        <w:trPr>
          <w:jc w:val="center"/>
        </w:trPr>
        <w:tc>
          <w:tcPr>
            <w:tcW w:w="4046" w:type="dxa"/>
          </w:tcPr>
          <w:p w:rsidR="00000000" w:rsidRDefault="00000000">
            <w:pPr>
              <w:autoSpaceDE w:val="0"/>
              <w:autoSpaceDN w:val="0"/>
              <w:adjustRightInd w:val="0"/>
              <w:spacing w:before="40" w:after="40"/>
              <w:ind w:left="57"/>
              <w:rPr>
                <w:color w:val="000000"/>
                <w:sz w:val="20"/>
                <w:szCs w:val="22"/>
                <w:lang w:val="fr-FR"/>
              </w:rPr>
            </w:pPr>
            <w:r>
              <w:rPr>
                <w:color w:val="000000"/>
                <w:sz w:val="20"/>
                <w:szCs w:val="22"/>
                <w:lang w:val="fr-FR"/>
              </w:rPr>
              <w:t xml:space="preserve">  Césarienne </w:t>
            </w:r>
          </w:p>
        </w:tc>
        <w:tc>
          <w:tcPr>
            <w:tcW w:w="144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19,9 </w:t>
            </w:r>
          </w:p>
        </w:tc>
        <w:tc>
          <w:tcPr>
            <w:tcW w:w="162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27,6 </w:t>
            </w:r>
          </w:p>
        </w:tc>
        <w:tc>
          <w:tcPr>
            <w:tcW w:w="1399"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10,7  </w:t>
            </w:r>
          </w:p>
        </w:tc>
      </w:tr>
      <w:tr w:rsidR="00000000">
        <w:tblPrEx>
          <w:tblCellMar>
            <w:top w:w="0" w:type="dxa"/>
            <w:bottom w:w="0" w:type="dxa"/>
          </w:tblCellMar>
        </w:tblPrEx>
        <w:trPr>
          <w:jc w:val="center"/>
        </w:trPr>
        <w:tc>
          <w:tcPr>
            <w:tcW w:w="4046" w:type="dxa"/>
          </w:tcPr>
          <w:p w:rsidR="00000000" w:rsidRDefault="00000000">
            <w:pPr>
              <w:autoSpaceDE w:val="0"/>
              <w:autoSpaceDN w:val="0"/>
              <w:adjustRightInd w:val="0"/>
              <w:spacing w:before="40" w:after="40"/>
              <w:rPr>
                <w:color w:val="000000"/>
                <w:sz w:val="20"/>
                <w:szCs w:val="22"/>
                <w:lang w:val="fr-FR"/>
              </w:rPr>
            </w:pPr>
            <w:r>
              <w:rPr>
                <w:color w:val="000000"/>
                <w:sz w:val="20"/>
                <w:szCs w:val="22"/>
                <w:lang w:val="fr-FR"/>
              </w:rPr>
              <w:t xml:space="preserve">Soins post-partum  </w:t>
            </w:r>
          </w:p>
        </w:tc>
        <w:tc>
          <w:tcPr>
            <w:tcW w:w="1440" w:type="dxa"/>
          </w:tcPr>
          <w:p w:rsidR="00000000" w:rsidRDefault="00000000">
            <w:pPr>
              <w:tabs>
                <w:tab w:val="decimal" w:pos="650"/>
              </w:tabs>
              <w:autoSpaceDE w:val="0"/>
              <w:autoSpaceDN w:val="0"/>
              <w:adjustRightInd w:val="0"/>
              <w:spacing w:before="40" w:after="40"/>
              <w:rPr>
                <w:color w:val="000000"/>
                <w:sz w:val="20"/>
                <w:szCs w:val="22"/>
                <w:lang w:val="fr-FR"/>
              </w:rPr>
            </w:pPr>
          </w:p>
        </w:tc>
        <w:tc>
          <w:tcPr>
            <w:tcW w:w="1620" w:type="dxa"/>
          </w:tcPr>
          <w:p w:rsidR="00000000" w:rsidRDefault="00000000">
            <w:pPr>
              <w:tabs>
                <w:tab w:val="decimal" w:pos="650"/>
              </w:tabs>
              <w:autoSpaceDE w:val="0"/>
              <w:autoSpaceDN w:val="0"/>
              <w:adjustRightInd w:val="0"/>
              <w:spacing w:before="40" w:after="40"/>
              <w:rPr>
                <w:color w:val="000000"/>
                <w:sz w:val="20"/>
                <w:szCs w:val="22"/>
                <w:lang w:val="fr-FR"/>
              </w:rPr>
            </w:pPr>
          </w:p>
        </w:tc>
        <w:tc>
          <w:tcPr>
            <w:tcW w:w="1399" w:type="dxa"/>
          </w:tcPr>
          <w:p w:rsidR="00000000" w:rsidRDefault="00000000">
            <w:pPr>
              <w:tabs>
                <w:tab w:val="decimal" w:pos="650"/>
              </w:tabs>
              <w:autoSpaceDE w:val="0"/>
              <w:autoSpaceDN w:val="0"/>
              <w:adjustRightInd w:val="0"/>
              <w:spacing w:before="40" w:after="40"/>
              <w:rPr>
                <w:color w:val="000000"/>
                <w:sz w:val="20"/>
                <w:szCs w:val="22"/>
                <w:lang w:val="fr-FR"/>
              </w:rPr>
            </w:pPr>
          </w:p>
        </w:tc>
      </w:tr>
      <w:tr w:rsidR="00000000">
        <w:tblPrEx>
          <w:tblCellMar>
            <w:top w:w="0" w:type="dxa"/>
            <w:bottom w:w="0" w:type="dxa"/>
          </w:tblCellMar>
        </w:tblPrEx>
        <w:trPr>
          <w:jc w:val="center"/>
        </w:trPr>
        <w:tc>
          <w:tcPr>
            <w:tcW w:w="4046" w:type="dxa"/>
          </w:tcPr>
          <w:p w:rsidR="00000000" w:rsidRDefault="00000000">
            <w:pPr>
              <w:autoSpaceDE w:val="0"/>
              <w:autoSpaceDN w:val="0"/>
              <w:adjustRightInd w:val="0"/>
              <w:spacing w:before="40" w:after="40"/>
              <w:ind w:left="57"/>
              <w:rPr>
                <w:color w:val="000000"/>
                <w:sz w:val="20"/>
                <w:szCs w:val="22"/>
                <w:lang w:val="fr-FR"/>
              </w:rPr>
            </w:pPr>
            <w:r>
              <w:rPr>
                <w:color w:val="000000"/>
                <w:sz w:val="20"/>
                <w:szCs w:val="22"/>
                <w:lang w:val="fr-FR"/>
              </w:rPr>
              <w:t xml:space="preserve">  Oui </w:t>
            </w:r>
          </w:p>
        </w:tc>
        <w:tc>
          <w:tcPr>
            <w:tcW w:w="144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39,1 </w:t>
            </w:r>
          </w:p>
        </w:tc>
        <w:tc>
          <w:tcPr>
            <w:tcW w:w="162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47,5 </w:t>
            </w:r>
          </w:p>
        </w:tc>
        <w:tc>
          <w:tcPr>
            <w:tcW w:w="1399"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27,8  </w:t>
            </w:r>
          </w:p>
        </w:tc>
      </w:tr>
      <w:tr w:rsidR="00000000">
        <w:tblPrEx>
          <w:tblCellMar>
            <w:top w:w="0" w:type="dxa"/>
            <w:bottom w:w="0" w:type="dxa"/>
          </w:tblCellMar>
        </w:tblPrEx>
        <w:trPr>
          <w:jc w:val="center"/>
        </w:trPr>
        <w:tc>
          <w:tcPr>
            <w:tcW w:w="4046" w:type="dxa"/>
          </w:tcPr>
          <w:p w:rsidR="00000000" w:rsidRDefault="00000000">
            <w:pPr>
              <w:autoSpaceDE w:val="0"/>
              <w:autoSpaceDN w:val="0"/>
              <w:adjustRightInd w:val="0"/>
              <w:spacing w:before="40" w:after="40"/>
              <w:ind w:left="57"/>
              <w:rPr>
                <w:color w:val="000000"/>
                <w:sz w:val="20"/>
                <w:szCs w:val="22"/>
                <w:lang w:val="fr-FR"/>
              </w:rPr>
            </w:pPr>
            <w:r>
              <w:rPr>
                <w:color w:val="000000"/>
                <w:sz w:val="20"/>
                <w:szCs w:val="22"/>
                <w:lang w:val="fr-FR"/>
              </w:rPr>
              <w:t xml:space="preserve">  Non </w:t>
            </w:r>
          </w:p>
        </w:tc>
        <w:tc>
          <w:tcPr>
            <w:tcW w:w="144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60,9 </w:t>
            </w:r>
          </w:p>
        </w:tc>
        <w:tc>
          <w:tcPr>
            <w:tcW w:w="1620"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52,5 </w:t>
            </w:r>
          </w:p>
        </w:tc>
        <w:tc>
          <w:tcPr>
            <w:tcW w:w="1399" w:type="dxa"/>
          </w:tcPr>
          <w:p w:rsidR="00000000" w:rsidRDefault="00000000">
            <w:pPr>
              <w:tabs>
                <w:tab w:val="decimal" w:pos="650"/>
              </w:tabs>
              <w:autoSpaceDE w:val="0"/>
              <w:autoSpaceDN w:val="0"/>
              <w:adjustRightInd w:val="0"/>
              <w:spacing w:before="40" w:after="40"/>
              <w:rPr>
                <w:color w:val="000000"/>
                <w:sz w:val="20"/>
                <w:szCs w:val="22"/>
                <w:lang w:val="fr-FR"/>
              </w:rPr>
            </w:pPr>
            <w:r>
              <w:rPr>
                <w:color w:val="000000"/>
                <w:sz w:val="20"/>
                <w:szCs w:val="22"/>
                <w:lang w:val="fr-FR"/>
              </w:rPr>
              <w:t xml:space="preserve">72,2  </w:t>
            </w:r>
          </w:p>
        </w:tc>
      </w:tr>
    </w:tbl>
    <w:p w:rsidR="00000000" w:rsidRDefault="00000000">
      <w:pPr>
        <w:spacing w:before="80" w:after="240"/>
        <w:ind w:left="720"/>
        <w:rPr>
          <w:color w:val="000000"/>
          <w:sz w:val="20"/>
          <w:szCs w:val="22"/>
          <w:lang w:val="fr-FR"/>
        </w:rPr>
      </w:pPr>
      <w:r>
        <w:rPr>
          <w:i/>
          <w:iCs/>
          <w:color w:val="000000"/>
          <w:sz w:val="20"/>
          <w:szCs w:val="22"/>
          <w:lang w:val="fr-FR"/>
        </w:rPr>
        <w:t>Source :</w:t>
      </w:r>
      <w:r>
        <w:rPr>
          <w:color w:val="000000"/>
          <w:sz w:val="20"/>
          <w:szCs w:val="22"/>
          <w:lang w:val="fr-FR"/>
        </w:rPr>
        <w:t xml:space="preserve">  CEPAR ENDEMAIN-99.</w:t>
      </w:r>
    </w:p>
    <w:p w:rsidR="00000000" w:rsidRDefault="00000000">
      <w:pPr>
        <w:spacing w:after="240"/>
        <w:rPr>
          <w:iCs/>
          <w:color w:val="000000"/>
          <w:lang w:val="fr-FR"/>
        </w:rPr>
      </w:pPr>
      <w:r>
        <w:rPr>
          <w:iCs/>
          <w:color w:val="000000"/>
          <w:lang w:val="fr-FR"/>
        </w:rPr>
        <w:t>429.</w:t>
      </w:r>
      <w:r>
        <w:rPr>
          <w:iCs/>
          <w:color w:val="000000"/>
          <w:lang w:val="fr-FR"/>
        </w:rPr>
        <w:tab/>
        <w:t>Au niveau national, 39 % seulement des femmes se présentent à un contrôle post-partum; pour les zones urbaines, la proportion est légèrement supérieure : 47,5 %.  La négligence en matière de santé maternelle est évidente dans les zones rurales, où, après accouchement, sept femme sur dix n’ont aucun contrôle post-partum.</w:t>
      </w:r>
    </w:p>
    <w:p w:rsidR="00000000" w:rsidRDefault="00000000">
      <w:pPr>
        <w:spacing w:after="240"/>
        <w:rPr>
          <w:iCs/>
          <w:color w:val="000000"/>
          <w:lang w:val="fr-FR"/>
        </w:rPr>
      </w:pPr>
      <w:r>
        <w:rPr>
          <w:iCs/>
          <w:color w:val="000000"/>
          <w:lang w:val="fr-FR"/>
        </w:rPr>
        <w:t>430.</w:t>
      </w:r>
      <w:r>
        <w:rPr>
          <w:iCs/>
          <w:color w:val="000000"/>
          <w:lang w:val="fr-FR"/>
        </w:rPr>
        <w:tab/>
        <w:t>En Équateur, le taux de mortalité maternelle était de 93,4 pour 100 000 naissances vivantes (INEC) en 1997, avec des variations régionales pouvant atteindre jusqu'à 250 décès maternels pour 100 000 naissances vivantes.  Ce résultat est inférieur à l'objectif fixé par la Conférence internationale sur la population et le développement</w:t>
      </w:r>
      <w:r>
        <w:rPr>
          <w:rStyle w:val="FootnoteReference"/>
          <w:b/>
          <w:iCs/>
          <w:color w:val="000000"/>
          <w:lang w:val="fr-FR"/>
        </w:rPr>
        <w:footnoteReference w:id="58"/>
      </w:r>
      <w:r>
        <w:rPr>
          <w:iCs/>
          <w:color w:val="000000"/>
          <w:lang w:val="fr-FR"/>
        </w:rPr>
        <w:t>.</w:t>
      </w:r>
    </w:p>
    <w:p w:rsidR="00000000" w:rsidRDefault="00000000">
      <w:pPr>
        <w:spacing w:after="240"/>
        <w:rPr>
          <w:iCs/>
          <w:color w:val="000000"/>
          <w:lang w:val="fr-FR"/>
        </w:rPr>
      </w:pPr>
      <w:r>
        <w:rPr>
          <w:iCs/>
          <w:color w:val="000000"/>
          <w:lang w:val="fr-FR"/>
        </w:rPr>
        <w:t>431.</w:t>
      </w:r>
      <w:r>
        <w:rPr>
          <w:iCs/>
          <w:color w:val="000000"/>
          <w:lang w:val="fr-FR"/>
        </w:rPr>
        <w:tab/>
        <w:t>La première cause directe de mortalité maternelle est la toxémie gravidique, qui est à l’origine de 38 % du total des décès; viennent ensuite l'hémorragie pendant la grossesse et l'accouchement (23 %), les avortements (6 %), les complications des suites de couches (4,2 %) et d'autres causes liées directement ou indirectement à la grossesse, à l'accouchement ou aux suites de couches (29 % du total)</w:t>
      </w:r>
      <w:r>
        <w:rPr>
          <w:rStyle w:val="FootnoteReference"/>
          <w:b/>
          <w:iCs/>
          <w:color w:val="000000"/>
          <w:lang w:val="fr-FR"/>
        </w:rPr>
        <w:footnoteReference w:id="59"/>
      </w:r>
      <w:r>
        <w:rPr>
          <w:iCs/>
          <w:color w:val="000000"/>
          <w:lang w:val="fr-FR"/>
        </w:rPr>
        <w:t>.</w:t>
      </w:r>
    </w:p>
    <w:p w:rsidR="00000000" w:rsidRDefault="00000000">
      <w:pPr>
        <w:spacing w:after="240"/>
        <w:rPr>
          <w:iCs/>
          <w:color w:val="000000"/>
          <w:lang w:val="fr-FR"/>
        </w:rPr>
      </w:pPr>
      <w:r>
        <w:rPr>
          <w:iCs/>
          <w:color w:val="000000"/>
          <w:lang w:val="fr-FR"/>
        </w:rPr>
        <w:br w:type="page"/>
        <w:t>432.</w:t>
      </w:r>
      <w:r>
        <w:rPr>
          <w:iCs/>
          <w:color w:val="000000"/>
          <w:lang w:val="fr-FR"/>
        </w:rPr>
        <w:tab/>
        <w:t>En ce qui concerne la couverture des soins de santé maternelle dans les services du Ministère de la santé au cours des années 1990, la tendance a été la suivante :</w:t>
      </w:r>
    </w:p>
    <w:p w:rsidR="00000000" w:rsidRDefault="00000000">
      <w:pPr>
        <w:numPr>
          <w:ilvl w:val="0"/>
          <w:numId w:val="74"/>
        </w:numPr>
        <w:spacing w:after="240"/>
        <w:rPr>
          <w:iCs/>
          <w:color w:val="000000"/>
          <w:lang w:val="fr-FR"/>
        </w:rPr>
      </w:pPr>
      <w:r>
        <w:rPr>
          <w:iCs/>
          <w:color w:val="000000"/>
          <w:lang w:val="fr-FR"/>
        </w:rPr>
        <w:t>Pour les soins de santé prénatale, elle est passée de 47,8 % en 1990 à 69,3 % en 1998</w:t>
      </w:r>
      <w:r>
        <w:rPr>
          <w:rStyle w:val="FootnoteReference"/>
          <w:b/>
          <w:iCs/>
          <w:color w:val="000000"/>
          <w:lang w:val="fr-FR"/>
        </w:rPr>
        <w:footnoteReference w:id="60"/>
      </w:r>
      <w:r>
        <w:rPr>
          <w:iCs/>
          <w:color w:val="000000"/>
          <w:lang w:val="fr-FR"/>
        </w:rPr>
        <w:t>;</w:t>
      </w:r>
    </w:p>
    <w:p w:rsidR="00000000" w:rsidRDefault="00000000">
      <w:pPr>
        <w:numPr>
          <w:ilvl w:val="0"/>
          <w:numId w:val="74"/>
        </w:numPr>
        <w:spacing w:after="240"/>
        <w:rPr>
          <w:iCs/>
          <w:color w:val="000000"/>
          <w:lang w:val="fr-FR"/>
        </w:rPr>
      </w:pPr>
      <w:r>
        <w:rPr>
          <w:iCs/>
          <w:color w:val="000000"/>
          <w:lang w:val="fr-FR"/>
        </w:rPr>
        <w:t>Pour les soins pendant l’accouchement, elle n’a pratiquement pas varié au cours des six dernières années, passant de 23,6 % à 26,9 % en 1998;</w:t>
      </w:r>
    </w:p>
    <w:p w:rsidR="00000000" w:rsidRDefault="00000000">
      <w:pPr>
        <w:numPr>
          <w:ilvl w:val="0"/>
          <w:numId w:val="74"/>
        </w:numPr>
        <w:spacing w:after="240"/>
        <w:rPr>
          <w:iCs/>
          <w:color w:val="000000"/>
          <w:lang w:val="fr-FR"/>
        </w:rPr>
      </w:pPr>
      <w:r>
        <w:rPr>
          <w:iCs/>
          <w:color w:val="000000"/>
          <w:lang w:val="fr-FR"/>
        </w:rPr>
        <w:t>Pour les soins de santé post-partum, elle a également peu varié, passant de 11,6 % 1990 à 15,1 % en 1998.</w:t>
      </w:r>
    </w:p>
    <w:p w:rsidR="00000000" w:rsidRDefault="00000000">
      <w:pPr>
        <w:spacing w:after="240"/>
        <w:rPr>
          <w:iCs/>
          <w:color w:val="000000"/>
          <w:lang w:val="fr-FR"/>
        </w:rPr>
      </w:pPr>
      <w:r>
        <w:rPr>
          <w:i/>
          <w:iCs/>
          <w:color w:val="000000"/>
          <w:lang w:val="fr-FR"/>
        </w:rPr>
        <w:t>Soins de santé infantile</w:t>
      </w:r>
    </w:p>
    <w:p w:rsidR="00000000" w:rsidRDefault="00000000">
      <w:pPr>
        <w:spacing w:after="240"/>
        <w:rPr>
          <w:iCs/>
          <w:color w:val="000000"/>
          <w:lang w:val="fr-FR"/>
        </w:rPr>
      </w:pPr>
      <w:r>
        <w:rPr>
          <w:iCs/>
          <w:color w:val="000000"/>
          <w:lang w:val="fr-FR"/>
        </w:rPr>
        <w:t>433.</w:t>
      </w:r>
      <w:r>
        <w:rPr>
          <w:iCs/>
          <w:color w:val="000000"/>
          <w:lang w:val="fr-FR"/>
        </w:rPr>
        <w:tab/>
        <w:t>Le niveau des soins de santé est fonction de la spécialisation, de la qualité et de l'infrastructure des services de santé.  Au niveau des soins primaires, c'est-à-dire de l'assistance élémentaire de santé, se situent les activités d'éducation, de prévention, de promotion et de soins curatifs dans les services ambulatoires.  Au niveau secondaire, figurent quatre catégories essentielles de soins de santé (gynécologie-obstétrique, pédiatrie, chirurgie et médecine interne).</w:t>
      </w:r>
    </w:p>
    <w:p w:rsidR="00000000" w:rsidRDefault="00000000">
      <w:pPr>
        <w:spacing w:after="240"/>
        <w:rPr>
          <w:iCs/>
          <w:color w:val="000000"/>
          <w:lang w:val="fr-FR"/>
        </w:rPr>
      </w:pPr>
      <w:r>
        <w:rPr>
          <w:iCs/>
          <w:color w:val="000000"/>
          <w:lang w:val="fr-FR"/>
        </w:rPr>
        <w:t>434.</w:t>
      </w:r>
      <w:r>
        <w:rPr>
          <w:iCs/>
          <w:color w:val="000000"/>
          <w:lang w:val="fr-FR"/>
        </w:rPr>
        <w:tab/>
        <w:t>Entre 1994 et 1999, la majorité de la population équatorienne a bénéficié de soins de santé secondaires, ce qui s'explique tant par l'absence de culture de la prévention que par les facteurs associés à l'insuffisance de ressources économiques, puisque les personnes qui vivent dans les zones urbaines, et surtout celles qui vivent dans les zones rurales, négligent leurs problèmes de santé jusqu'à ce que ces derniers atteignent une phase aiguë nécessitant des soins plus spécialisés.</w:t>
      </w:r>
    </w:p>
    <w:p w:rsidR="00000000" w:rsidRDefault="00000000">
      <w:pPr>
        <w:spacing w:after="240"/>
        <w:rPr>
          <w:iCs/>
          <w:color w:val="000000"/>
          <w:lang w:val="fr-FR"/>
        </w:rPr>
      </w:pPr>
      <w:r>
        <w:rPr>
          <w:iCs/>
          <w:color w:val="000000"/>
          <w:lang w:val="fr-FR"/>
        </w:rPr>
        <w:t>435.</w:t>
      </w:r>
      <w:r>
        <w:rPr>
          <w:iCs/>
          <w:color w:val="000000"/>
          <w:lang w:val="fr-FR"/>
        </w:rPr>
        <w:tab/>
        <w:t>Dans le pays, la pratique du contrôle médical de l'enfant après la naissance atteint 91,3 % des cas; dans les zones rurales, cette pratique se réduit à 87,9 % et est moins fréquente dans la région de l'Amazonie où 16 % des enfants n'ont jamais bénéficié d'aucun type de contrôle médical</w:t>
      </w:r>
      <w:r>
        <w:rPr>
          <w:rStyle w:val="FootnoteReference"/>
          <w:b/>
          <w:iCs/>
          <w:color w:val="000000"/>
          <w:lang w:val="fr-FR"/>
        </w:rPr>
        <w:footnoteReference w:id="61"/>
      </w:r>
      <w:r>
        <w:rPr>
          <w:iCs/>
          <w:color w:val="000000"/>
          <w:lang w:val="fr-FR"/>
        </w:rPr>
        <w:t>.</w:t>
      </w:r>
    </w:p>
    <w:p w:rsidR="00000000" w:rsidRDefault="00000000">
      <w:pPr>
        <w:autoSpaceDE w:val="0"/>
        <w:autoSpaceDN w:val="0"/>
        <w:adjustRightInd w:val="0"/>
        <w:spacing w:after="120"/>
        <w:jc w:val="center"/>
        <w:rPr>
          <w:color w:val="000000"/>
          <w:sz w:val="20"/>
          <w:szCs w:val="22"/>
          <w:lang w:val="fr-FR"/>
        </w:rPr>
      </w:pPr>
      <w:r>
        <w:rPr>
          <w:b/>
          <w:bCs/>
          <w:color w:val="000000"/>
          <w:sz w:val="20"/>
          <w:szCs w:val="22"/>
          <w:lang w:val="fr-FR"/>
        </w:rPr>
        <w:t xml:space="preserve">Contrôle médical de l'enfant, par secteur et région </w:t>
      </w:r>
      <w:r>
        <w:rPr>
          <w:b/>
          <w:bCs/>
          <w:color w:val="000000"/>
          <w:sz w:val="20"/>
          <w:szCs w:val="22"/>
          <w:lang w:val="fr-FR"/>
        </w:rPr>
        <w:br/>
      </w:r>
      <w:r>
        <w:rPr>
          <w:i/>
          <w:iCs/>
          <w:color w:val="000000"/>
          <w:sz w:val="20"/>
          <w:szCs w:val="22"/>
          <w:lang w:val="fr-FR"/>
        </w:rPr>
        <w:t xml:space="preserve">(mars 1994-février 1999) </w:t>
      </w:r>
      <w:r>
        <w:rPr>
          <w:b/>
          <w:bCs/>
          <w:color w:val="000000"/>
          <w:sz w:val="20"/>
          <w:szCs w:val="22"/>
          <w:lang w:val="fr-FR"/>
        </w:rPr>
        <w:t xml:space="preserve"> </w:t>
      </w:r>
    </w:p>
    <w:tbl>
      <w:tblPr>
        <w:tblW w:w="8505"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121"/>
        <w:gridCol w:w="2191"/>
        <w:gridCol w:w="2193"/>
      </w:tblGrid>
      <w:tr w:rsidR="00000000">
        <w:tblPrEx>
          <w:tblCellMar>
            <w:top w:w="0" w:type="dxa"/>
            <w:bottom w:w="0" w:type="dxa"/>
          </w:tblCellMar>
        </w:tblPrEx>
        <w:trPr>
          <w:jc w:val="center"/>
        </w:trPr>
        <w:tc>
          <w:tcPr>
            <w:tcW w:w="2746"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Secteur et région</w:t>
            </w:r>
          </w:p>
        </w:tc>
        <w:tc>
          <w:tcPr>
            <w:tcW w:w="1460"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Contrôle</w:t>
            </w:r>
          </w:p>
        </w:tc>
        <w:tc>
          <w:tcPr>
            <w:tcW w:w="1461" w:type="dxa"/>
            <w:tcBorders>
              <w:top w:val="single" w:sz="4" w:space="0" w:color="auto"/>
              <w:bottom w:val="single" w:sz="4"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Absence de contrôle</w:t>
            </w:r>
          </w:p>
        </w:tc>
      </w:tr>
      <w:tr w:rsidR="00000000">
        <w:tblPrEx>
          <w:tblCellMar>
            <w:top w:w="0" w:type="dxa"/>
            <w:bottom w:w="0" w:type="dxa"/>
          </w:tblCellMar>
        </w:tblPrEx>
        <w:trPr>
          <w:jc w:val="center"/>
        </w:trPr>
        <w:tc>
          <w:tcPr>
            <w:tcW w:w="2746" w:type="dxa"/>
            <w:tcBorders>
              <w:top w:val="single" w:sz="4" w:space="0" w:color="auto"/>
            </w:tcBorders>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Ensemble du pays </w:t>
            </w:r>
          </w:p>
        </w:tc>
        <w:tc>
          <w:tcPr>
            <w:tcW w:w="1460" w:type="dxa"/>
            <w:tcBorders>
              <w:top w:val="single" w:sz="4" w:space="0" w:color="auto"/>
            </w:tcBorders>
          </w:tcPr>
          <w:p w:rsidR="00000000" w:rsidRDefault="00000000">
            <w:pPr>
              <w:tabs>
                <w:tab w:val="decimal" w:pos="1111"/>
              </w:tabs>
              <w:autoSpaceDE w:val="0"/>
              <w:autoSpaceDN w:val="0"/>
              <w:adjustRightInd w:val="0"/>
              <w:spacing w:before="20" w:after="40"/>
              <w:rPr>
                <w:color w:val="000000"/>
                <w:sz w:val="20"/>
                <w:szCs w:val="22"/>
                <w:lang w:val="fr-FR"/>
              </w:rPr>
            </w:pPr>
            <w:r>
              <w:rPr>
                <w:color w:val="000000"/>
                <w:sz w:val="20"/>
                <w:szCs w:val="22"/>
                <w:lang w:val="fr-FR"/>
              </w:rPr>
              <w:t xml:space="preserve">91,3 </w:t>
            </w:r>
          </w:p>
        </w:tc>
        <w:tc>
          <w:tcPr>
            <w:tcW w:w="1461" w:type="dxa"/>
            <w:tcBorders>
              <w:top w:val="single" w:sz="4" w:space="0" w:color="auto"/>
            </w:tcBorders>
          </w:tcPr>
          <w:p w:rsidR="00000000" w:rsidRDefault="00000000">
            <w:pPr>
              <w:tabs>
                <w:tab w:val="decimal" w:pos="935"/>
              </w:tabs>
              <w:autoSpaceDE w:val="0"/>
              <w:autoSpaceDN w:val="0"/>
              <w:adjustRightInd w:val="0"/>
              <w:spacing w:before="20" w:after="40"/>
              <w:rPr>
                <w:color w:val="000000"/>
                <w:sz w:val="20"/>
                <w:szCs w:val="22"/>
                <w:lang w:val="fr-FR"/>
              </w:rPr>
            </w:pPr>
            <w:r>
              <w:rPr>
                <w:color w:val="000000"/>
                <w:sz w:val="20"/>
                <w:szCs w:val="22"/>
                <w:lang w:val="fr-FR"/>
              </w:rPr>
              <w:t xml:space="preserve">8,7  </w:t>
            </w:r>
          </w:p>
        </w:tc>
      </w:tr>
      <w:tr w:rsidR="00000000">
        <w:tblPrEx>
          <w:tblCellMar>
            <w:top w:w="0" w:type="dxa"/>
            <w:bottom w:w="0" w:type="dxa"/>
          </w:tblCellMar>
        </w:tblPrEx>
        <w:trPr>
          <w:jc w:val="center"/>
        </w:trPr>
        <w:tc>
          <w:tcPr>
            <w:tcW w:w="2746" w:type="dxa"/>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Secteur  </w:t>
            </w:r>
          </w:p>
        </w:tc>
        <w:tc>
          <w:tcPr>
            <w:tcW w:w="1460" w:type="dxa"/>
          </w:tcPr>
          <w:p w:rsidR="00000000" w:rsidRDefault="00000000">
            <w:pPr>
              <w:tabs>
                <w:tab w:val="decimal" w:pos="1111"/>
              </w:tabs>
              <w:autoSpaceDE w:val="0"/>
              <w:autoSpaceDN w:val="0"/>
              <w:adjustRightInd w:val="0"/>
              <w:spacing w:before="20" w:after="40"/>
              <w:rPr>
                <w:color w:val="000000"/>
                <w:sz w:val="20"/>
                <w:szCs w:val="22"/>
                <w:lang w:val="fr-FR"/>
              </w:rPr>
            </w:pPr>
          </w:p>
        </w:tc>
        <w:tc>
          <w:tcPr>
            <w:tcW w:w="1461" w:type="dxa"/>
          </w:tcPr>
          <w:p w:rsidR="00000000" w:rsidRDefault="00000000">
            <w:pPr>
              <w:tabs>
                <w:tab w:val="decimal" w:pos="935"/>
              </w:tabs>
              <w:autoSpaceDE w:val="0"/>
              <w:autoSpaceDN w:val="0"/>
              <w:adjustRightInd w:val="0"/>
              <w:spacing w:before="20" w:after="40"/>
              <w:rPr>
                <w:color w:val="000000"/>
                <w:sz w:val="20"/>
                <w:szCs w:val="22"/>
                <w:lang w:val="fr-FR"/>
              </w:rPr>
            </w:pPr>
          </w:p>
        </w:tc>
      </w:tr>
      <w:tr w:rsidR="00000000">
        <w:tblPrEx>
          <w:tblCellMar>
            <w:top w:w="0" w:type="dxa"/>
            <w:bottom w:w="0" w:type="dxa"/>
          </w:tblCellMar>
        </w:tblPrEx>
        <w:trPr>
          <w:jc w:val="center"/>
        </w:trPr>
        <w:tc>
          <w:tcPr>
            <w:tcW w:w="2746" w:type="dxa"/>
          </w:tcPr>
          <w:p w:rsidR="00000000" w:rsidRDefault="00000000">
            <w:pPr>
              <w:autoSpaceDE w:val="0"/>
              <w:autoSpaceDN w:val="0"/>
              <w:adjustRightInd w:val="0"/>
              <w:spacing w:before="20" w:after="40"/>
              <w:ind w:left="57"/>
              <w:rPr>
                <w:color w:val="000000"/>
                <w:sz w:val="20"/>
                <w:szCs w:val="22"/>
                <w:lang w:val="fr-FR"/>
              </w:rPr>
            </w:pPr>
            <w:r>
              <w:rPr>
                <w:color w:val="000000"/>
                <w:sz w:val="20"/>
                <w:szCs w:val="22"/>
                <w:lang w:val="fr-FR"/>
              </w:rPr>
              <w:t xml:space="preserve">  Urbain </w:t>
            </w:r>
          </w:p>
        </w:tc>
        <w:tc>
          <w:tcPr>
            <w:tcW w:w="1460" w:type="dxa"/>
          </w:tcPr>
          <w:p w:rsidR="00000000" w:rsidRDefault="00000000">
            <w:pPr>
              <w:tabs>
                <w:tab w:val="decimal" w:pos="1111"/>
              </w:tabs>
              <w:autoSpaceDE w:val="0"/>
              <w:autoSpaceDN w:val="0"/>
              <w:adjustRightInd w:val="0"/>
              <w:spacing w:before="20" w:after="40"/>
              <w:rPr>
                <w:color w:val="000000"/>
                <w:sz w:val="20"/>
                <w:szCs w:val="22"/>
                <w:lang w:val="fr-FR"/>
              </w:rPr>
            </w:pPr>
            <w:r>
              <w:rPr>
                <w:color w:val="000000"/>
                <w:sz w:val="20"/>
                <w:szCs w:val="22"/>
                <w:lang w:val="fr-FR"/>
              </w:rPr>
              <w:t xml:space="preserve">94,1 </w:t>
            </w:r>
          </w:p>
        </w:tc>
        <w:tc>
          <w:tcPr>
            <w:tcW w:w="1461" w:type="dxa"/>
          </w:tcPr>
          <w:p w:rsidR="00000000" w:rsidRDefault="00000000">
            <w:pPr>
              <w:tabs>
                <w:tab w:val="decimal" w:pos="935"/>
              </w:tabs>
              <w:autoSpaceDE w:val="0"/>
              <w:autoSpaceDN w:val="0"/>
              <w:adjustRightInd w:val="0"/>
              <w:spacing w:before="20" w:after="40"/>
              <w:rPr>
                <w:color w:val="000000"/>
                <w:sz w:val="20"/>
                <w:szCs w:val="22"/>
                <w:lang w:val="fr-FR"/>
              </w:rPr>
            </w:pPr>
            <w:r>
              <w:rPr>
                <w:color w:val="000000"/>
                <w:sz w:val="20"/>
                <w:szCs w:val="22"/>
                <w:lang w:val="fr-FR"/>
              </w:rPr>
              <w:t xml:space="preserve">5,9  </w:t>
            </w:r>
          </w:p>
        </w:tc>
      </w:tr>
      <w:tr w:rsidR="00000000">
        <w:tblPrEx>
          <w:tblCellMar>
            <w:top w:w="0" w:type="dxa"/>
            <w:bottom w:w="0" w:type="dxa"/>
          </w:tblCellMar>
        </w:tblPrEx>
        <w:trPr>
          <w:jc w:val="center"/>
        </w:trPr>
        <w:tc>
          <w:tcPr>
            <w:tcW w:w="2746" w:type="dxa"/>
          </w:tcPr>
          <w:p w:rsidR="00000000" w:rsidRDefault="00000000">
            <w:pPr>
              <w:autoSpaceDE w:val="0"/>
              <w:autoSpaceDN w:val="0"/>
              <w:adjustRightInd w:val="0"/>
              <w:spacing w:before="20" w:after="40"/>
              <w:ind w:left="57"/>
              <w:rPr>
                <w:color w:val="000000"/>
                <w:sz w:val="20"/>
                <w:szCs w:val="22"/>
                <w:lang w:val="fr-FR"/>
              </w:rPr>
            </w:pPr>
            <w:r>
              <w:rPr>
                <w:color w:val="000000"/>
                <w:sz w:val="20"/>
                <w:szCs w:val="22"/>
                <w:lang w:val="fr-FR"/>
              </w:rPr>
              <w:t xml:space="preserve">  Rural </w:t>
            </w:r>
          </w:p>
        </w:tc>
        <w:tc>
          <w:tcPr>
            <w:tcW w:w="1460" w:type="dxa"/>
          </w:tcPr>
          <w:p w:rsidR="00000000" w:rsidRDefault="00000000">
            <w:pPr>
              <w:tabs>
                <w:tab w:val="decimal" w:pos="1111"/>
              </w:tabs>
              <w:autoSpaceDE w:val="0"/>
              <w:autoSpaceDN w:val="0"/>
              <w:adjustRightInd w:val="0"/>
              <w:spacing w:before="20" w:after="40"/>
              <w:rPr>
                <w:color w:val="000000"/>
                <w:sz w:val="20"/>
                <w:szCs w:val="22"/>
                <w:lang w:val="fr-FR"/>
              </w:rPr>
            </w:pPr>
            <w:r>
              <w:rPr>
                <w:color w:val="000000"/>
                <w:sz w:val="20"/>
                <w:szCs w:val="22"/>
                <w:lang w:val="fr-FR"/>
              </w:rPr>
              <w:t xml:space="preserve">87,9 </w:t>
            </w:r>
          </w:p>
        </w:tc>
        <w:tc>
          <w:tcPr>
            <w:tcW w:w="1461" w:type="dxa"/>
          </w:tcPr>
          <w:p w:rsidR="00000000" w:rsidRDefault="00000000">
            <w:pPr>
              <w:tabs>
                <w:tab w:val="decimal" w:pos="935"/>
              </w:tabs>
              <w:autoSpaceDE w:val="0"/>
              <w:autoSpaceDN w:val="0"/>
              <w:adjustRightInd w:val="0"/>
              <w:spacing w:before="20" w:after="40"/>
              <w:rPr>
                <w:color w:val="000000"/>
                <w:sz w:val="20"/>
                <w:szCs w:val="22"/>
                <w:lang w:val="fr-FR"/>
              </w:rPr>
            </w:pPr>
            <w:r>
              <w:rPr>
                <w:color w:val="000000"/>
                <w:sz w:val="20"/>
                <w:szCs w:val="22"/>
                <w:lang w:val="fr-FR"/>
              </w:rPr>
              <w:t xml:space="preserve">12,1  </w:t>
            </w:r>
          </w:p>
        </w:tc>
      </w:tr>
      <w:tr w:rsidR="00000000">
        <w:tblPrEx>
          <w:tblCellMar>
            <w:top w:w="0" w:type="dxa"/>
            <w:bottom w:w="0" w:type="dxa"/>
          </w:tblCellMar>
        </w:tblPrEx>
        <w:trPr>
          <w:jc w:val="center"/>
        </w:trPr>
        <w:tc>
          <w:tcPr>
            <w:tcW w:w="2746" w:type="dxa"/>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Région  </w:t>
            </w:r>
          </w:p>
        </w:tc>
        <w:tc>
          <w:tcPr>
            <w:tcW w:w="1460" w:type="dxa"/>
          </w:tcPr>
          <w:p w:rsidR="00000000" w:rsidRDefault="00000000">
            <w:pPr>
              <w:tabs>
                <w:tab w:val="decimal" w:pos="1111"/>
              </w:tabs>
              <w:autoSpaceDE w:val="0"/>
              <w:autoSpaceDN w:val="0"/>
              <w:adjustRightInd w:val="0"/>
              <w:spacing w:before="20" w:after="40"/>
              <w:rPr>
                <w:color w:val="000000"/>
                <w:sz w:val="20"/>
                <w:szCs w:val="22"/>
                <w:lang w:val="fr-FR"/>
              </w:rPr>
            </w:pPr>
          </w:p>
        </w:tc>
        <w:tc>
          <w:tcPr>
            <w:tcW w:w="1461" w:type="dxa"/>
          </w:tcPr>
          <w:p w:rsidR="00000000" w:rsidRDefault="00000000">
            <w:pPr>
              <w:tabs>
                <w:tab w:val="decimal" w:pos="935"/>
              </w:tabs>
              <w:autoSpaceDE w:val="0"/>
              <w:autoSpaceDN w:val="0"/>
              <w:adjustRightInd w:val="0"/>
              <w:spacing w:before="20" w:after="40"/>
              <w:rPr>
                <w:color w:val="000000"/>
                <w:sz w:val="20"/>
                <w:szCs w:val="22"/>
                <w:lang w:val="fr-FR"/>
              </w:rPr>
            </w:pPr>
          </w:p>
        </w:tc>
      </w:tr>
      <w:tr w:rsidR="00000000">
        <w:tblPrEx>
          <w:tblCellMar>
            <w:top w:w="0" w:type="dxa"/>
            <w:bottom w:w="0" w:type="dxa"/>
          </w:tblCellMar>
        </w:tblPrEx>
        <w:trPr>
          <w:jc w:val="center"/>
        </w:trPr>
        <w:tc>
          <w:tcPr>
            <w:tcW w:w="2746" w:type="dxa"/>
          </w:tcPr>
          <w:p w:rsidR="00000000" w:rsidRDefault="00000000">
            <w:pPr>
              <w:autoSpaceDE w:val="0"/>
              <w:autoSpaceDN w:val="0"/>
              <w:adjustRightInd w:val="0"/>
              <w:spacing w:before="20" w:after="40"/>
              <w:ind w:left="57"/>
              <w:rPr>
                <w:color w:val="000000"/>
                <w:sz w:val="20"/>
                <w:szCs w:val="22"/>
                <w:lang w:val="fr-FR"/>
              </w:rPr>
            </w:pPr>
            <w:r>
              <w:rPr>
                <w:color w:val="000000"/>
                <w:sz w:val="20"/>
                <w:szCs w:val="22"/>
                <w:lang w:val="fr-FR"/>
              </w:rPr>
              <w:t xml:space="preserve">  Costa </w:t>
            </w:r>
          </w:p>
        </w:tc>
        <w:tc>
          <w:tcPr>
            <w:tcW w:w="1460" w:type="dxa"/>
          </w:tcPr>
          <w:p w:rsidR="00000000" w:rsidRDefault="00000000">
            <w:pPr>
              <w:tabs>
                <w:tab w:val="decimal" w:pos="1111"/>
              </w:tabs>
              <w:autoSpaceDE w:val="0"/>
              <w:autoSpaceDN w:val="0"/>
              <w:adjustRightInd w:val="0"/>
              <w:spacing w:before="20" w:after="40"/>
              <w:rPr>
                <w:color w:val="000000"/>
                <w:sz w:val="20"/>
                <w:szCs w:val="22"/>
                <w:lang w:val="fr-FR"/>
              </w:rPr>
            </w:pPr>
            <w:r>
              <w:rPr>
                <w:color w:val="000000"/>
                <w:sz w:val="20"/>
                <w:szCs w:val="22"/>
                <w:lang w:val="fr-FR"/>
              </w:rPr>
              <w:t xml:space="preserve">92,7 </w:t>
            </w:r>
          </w:p>
        </w:tc>
        <w:tc>
          <w:tcPr>
            <w:tcW w:w="1461" w:type="dxa"/>
          </w:tcPr>
          <w:p w:rsidR="00000000" w:rsidRDefault="00000000">
            <w:pPr>
              <w:tabs>
                <w:tab w:val="decimal" w:pos="935"/>
              </w:tabs>
              <w:autoSpaceDE w:val="0"/>
              <w:autoSpaceDN w:val="0"/>
              <w:adjustRightInd w:val="0"/>
              <w:spacing w:before="20" w:after="40"/>
              <w:rPr>
                <w:color w:val="000000"/>
                <w:sz w:val="20"/>
                <w:szCs w:val="22"/>
                <w:lang w:val="fr-FR"/>
              </w:rPr>
            </w:pPr>
            <w:r>
              <w:rPr>
                <w:color w:val="000000"/>
                <w:sz w:val="20"/>
                <w:szCs w:val="22"/>
                <w:lang w:val="fr-FR"/>
              </w:rPr>
              <w:t xml:space="preserve">7,3  </w:t>
            </w:r>
          </w:p>
        </w:tc>
      </w:tr>
      <w:tr w:rsidR="00000000">
        <w:tblPrEx>
          <w:tblCellMar>
            <w:top w:w="0" w:type="dxa"/>
            <w:bottom w:w="0" w:type="dxa"/>
          </w:tblCellMar>
        </w:tblPrEx>
        <w:trPr>
          <w:jc w:val="center"/>
        </w:trPr>
        <w:tc>
          <w:tcPr>
            <w:tcW w:w="2746" w:type="dxa"/>
          </w:tcPr>
          <w:p w:rsidR="00000000" w:rsidRDefault="00000000">
            <w:pPr>
              <w:autoSpaceDE w:val="0"/>
              <w:autoSpaceDN w:val="0"/>
              <w:adjustRightInd w:val="0"/>
              <w:spacing w:before="20" w:after="40"/>
              <w:ind w:left="57"/>
              <w:rPr>
                <w:color w:val="000000"/>
                <w:sz w:val="20"/>
                <w:szCs w:val="22"/>
                <w:lang w:val="fr-FR"/>
              </w:rPr>
            </w:pPr>
            <w:r>
              <w:rPr>
                <w:color w:val="000000"/>
                <w:sz w:val="20"/>
                <w:szCs w:val="22"/>
                <w:lang w:val="fr-FR"/>
              </w:rPr>
              <w:t xml:space="preserve">  Sierra </w:t>
            </w:r>
          </w:p>
        </w:tc>
        <w:tc>
          <w:tcPr>
            <w:tcW w:w="1460" w:type="dxa"/>
          </w:tcPr>
          <w:p w:rsidR="00000000" w:rsidRDefault="00000000">
            <w:pPr>
              <w:tabs>
                <w:tab w:val="decimal" w:pos="1111"/>
              </w:tabs>
              <w:autoSpaceDE w:val="0"/>
              <w:autoSpaceDN w:val="0"/>
              <w:adjustRightInd w:val="0"/>
              <w:spacing w:before="20" w:after="40"/>
              <w:rPr>
                <w:color w:val="000000"/>
                <w:sz w:val="20"/>
                <w:szCs w:val="22"/>
                <w:lang w:val="fr-FR"/>
              </w:rPr>
            </w:pPr>
            <w:r>
              <w:rPr>
                <w:color w:val="000000"/>
                <w:sz w:val="20"/>
                <w:szCs w:val="22"/>
                <w:lang w:val="fr-FR"/>
              </w:rPr>
              <w:t xml:space="preserve">90,9 </w:t>
            </w:r>
          </w:p>
        </w:tc>
        <w:tc>
          <w:tcPr>
            <w:tcW w:w="1461" w:type="dxa"/>
          </w:tcPr>
          <w:p w:rsidR="00000000" w:rsidRDefault="00000000">
            <w:pPr>
              <w:tabs>
                <w:tab w:val="decimal" w:pos="935"/>
              </w:tabs>
              <w:autoSpaceDE w:val="0"/>
              <w:autoSpaceDN w:val="0"/>
              <w:adjustRightInd w:val="0"/>
              <w:spacing w:before="20" w:after="40"/>
              <w:rPr>
                <w:color w:val="000000"/>
                <w:sz w:val="20"/>
                <w:szCs w:val="22"/>
                <w:lang w:val="fr-FR"/>
              </w:rPr>
            </w:pPr>
            <w:r>
              <w:rPr>
                <w:color w:val="000000"/>
                <w:sz w:val="20"/>
                <w:szCs w:val="22"/>
                <w:lang w:val="fr-FR"/>
              </w:rPr>
              <w:t xml:space="preserve">9,1  </w:t>
            </w:r>
          </w:p>
        </w:tc>
      </w:tr>
      <w:tr w:rsidR="00000000">
        <w:tblPrEx>
          <w:tblCellMar>
            <w:top w:w="0" w:type="dxa"/>
            <w:bottom w:w="0" w:type="dxa"/>
          </w:tblCellMar>
        </w:tblPrEx>
        <w:trPr>
          <w:jc w:val="center"/>
        </w:trPr>
        <w:tc>
          <w:tcPr>
            <w:tcW w:w="2746" w:type="dxa"/>
          </w:tcPr>
          <w:p w:rsidR="00000000" w:rsidRDefault="00000000">
            <w:pPr>
              <w:autoSpaceDE w:val="0"/>
              <w:autoSpaceDN w:val="0"/>
              <w:adjustRightInd w:val="0"/>
              <w:spacing w:before="20" w:after="40"/>
              <w:ind w:left="57"/>
              <w:rPr>
                <w:color w:val="000000"/>
                <w:sz w:val="20"/>
                <w:szCs w:val="22"/>
                <w:lang w:val="fr-FR"/>
              </w:rPr>
            </w:pPr>
            <w:r>
              <w:rPr>
                <w:color w:val="000000"/>
                <w:sz w:val="20"/>
                <w:szCs w:val="22"/>
                <w:lang w:val="fr-FR"/>
              </w:rPr>
              <w:t xml:space="preserve">  Amazonía </w:t>
            </w:r>
          </w:p>
        </w:tc>
        <w:tc>
          <w:tcPr>
            <w:tcW w:w="1460" w:type="dxa"/>
          </w:tcPr>
          <w:p w:rsidR="00000000" w:rsidRDefault="00000000">
            <w:pPr>
              <w:tabs>
                <w:tab w:val="decimal" w:pos="1111"/>
              </w:tabs>
              <w:autoSpaceDE w:val="0"/>
              <w:autoSpaceDN w:val="0"/>
              <w:adjustRightInd w:val="0"/>
              <w:spacing w:before="20" w:after="40"/>
              <w:rPr>
                <w:color w:val="000000"/>
                <w:sz w:val="20"/>
                <w:szCs w:val="22"/>
                <w:lang w:val="fr-FR"/>
              </w:rPr>
            </w:pPr>
            <w:r>
              <w:rPr>
                <w:color w:val="000000"/>
                <w:sz w:val="20"/>
                <w:szCs w:val="22"/>
                <w:lang w:val="fr-FR"/>
              </w:rPr>
              <w:t xml:space="preserve">84,0 </w:t>
            </w:r>
          </w:p>
        </w:tc>
        <w:tc>
          <w:tcPr>
            <w:tcW w:w="1461" w:type="dxa"/>
          </w:tcPr>
          <w:p w:rsidR="00000000" w:rsidRDefault="00000000">
            <w:pPr>
              <w:tabs>
                <w:tab w:val="decimal" w:pos="935"/>
              </w:tabs>
              <w:autoSpaceDE w:val="0"/>
              <w:autoSpaceDN w:val="0"/>
              <w:adjustRightInd w:val="0"/>
              <w:spacing w:before="20" w:after="40"/>
              <w:rPr>
                <w:color w:val="000000"/>
                <w:sz w:val="20"/>
                <w:szCs w:val="22"/>
                <w:lang w:val="fr-FR"/>
              </w:rPr>
            </w:pPr>
            <w:r>
              <w:rPr>
                <w:color w:val="000000"/>
                <w:sz w:val="20"/>
                <w:szCs w:val="22"/>
                <w:lang w:val="fr-FR"/>
              </w:rPr>
              <w:t xml:space="preserve">16,0  </w:t>
            </w:r>
          </w:p>
        </w:tc>
      </w:tr>
      <w:tr w:rsidR="00000000">
        <w:tblPrEx>
          <w:tblCellMar>
            <w:top w:w="0" w:type="dxa"/>
            <w:bottom w:w="0" w:type="dxa"/>
          </w:tblCellMar>
        </w:tblPrEx>
        <w:trPr>
          <w:jc w:val="center"/>
        </w:trPr>
        <w:tc>
          <w:tcPr>
            <w:tcW w:w="2746" w:type="dxa"/>
          </w:tcPr>
          <w:p w:rsidR="00000000" w:rsidRDefault="00000000">
            <w:pPr>
              <w:autoSpaceDE w:val="0"/>
              <w:autoSpaceDN w:val="0"/>
              <w:adjustRightInd w:val="0"/>
              <w:spacing w:before="20" w:after="40"/>
              <w:ind w:left="57"/>
              <w:rPr>
                <w:color w:val="000000"/>
                <w:sz w:val="20"/>
                <w:szCs w:val="22"/>
                <w:lang w:val="fr-FR"/>
              </w:rPr>
            </w:pPr>
            <w:r>
              <w:rPr>
                <w:color w:val="000000"/>
                <w:sz w:val="20"/>
                <w:szCs w:val="22"/>
                <w:lang w:val="fr-FR"/>
              </w:rPr>
              <w:t xml:space="preserve">  Insular </w:t>
            </w:r>
          </w:p>
        </w:tc>
        <w:tc>
          <w:tcPr>
            <w:tcW w:w="1460" w:type="dxa"/>
          </w:tcPr>
          <w:p w:rsidR="00000000" w:rsidRDefault="00000000">
            <w:pPr>
              <w:tabs>
                <w:tab w:val="decimal" w:pos="1111"/>
              </w:tabs>
              <w:autoSpaceDE w:val="0"/>
              <w:autoSpaceDN w:val="0"/>
              <w:adjustRightInd w:val="0"/>
              <w:spacing w:before="20" w:after="40"/>
              <w:rPr>
                <w:color w:val="000000"/>
                <w:sz w:val="20"/>
                <w:szCs w:val="22"/>
                <w:lang w:val="fr-FR"/>
              </w:rPr>
            </w:pPr>
            <w:r>
              <w:rPr>
                <w:color w:val="000000"/>
                <w:sz w:val="20"/>
                <w:szCs w:val="22"/>
                <w:lang w:val="fr-FR"/>
              </w:rPr>
              <w:t xml:space="preserve">95,5 </w:t>
            </w:r>
          </w:p>
        </w:tc>
        <w:tc>
          <w:tcPr>
            <w:tcW w:w="1461" w:type="dxa"/>
          </w:tcPr>
          <w:p w:rsidR="00000000" w:rsidRDefault="00000000">
            <w:pPr>
              <w:tabs>
                <w:tab w:val="decimal" w:pos="935"/>
              </w:tabs>
              <w:autoSpaceDE w:val="0"/>
              <w:autoSpaceDN w:val="0"/>
              <w:adjustRightInd w:val="0"/>
              <w:spacing w:before="20" w:after="40"/>
              <w:rPr>
                <w:color w:val="000000"/>
                <w:sz w:val="20"/>
                <w:szCs w:val="22"/>
                <w:lang w:val="fr-FR"/>
              </w:rPr>
            </w:pPr>
            <w:r>
              <w:rPr>
                <w:color w:val="000000"/>
                <w:sz w:val="20"/>
                <w:szCs w:val="22"/>
                <w:lang w:val="fr-FR"/>
              </w:rPr>
              <w:t xml:space="preserve">4,5  </w:t>
            </w:r>
          </w:p>
        </w:tc>
      </w:tr>
    </w:tbl>
    <w:p w:rsidR="00000000" w:rsidRDefault="00000000">
      <w:pPr>
        <w:autoSpaceDE w:val="0"/>
        <w:autoSpaceDN w:val="0"/>
        <w:adjustRightInd w:val="0"/>
        <w:spacing w:before="80" w:after="240"/>
        <w:ind w:left="720"/>
        <w:rPr>
          <w:color w:val="000000"/>
          <w:sz w:val="20"/>
          <w:szCs w:val="22"/>
          <w:lang w:val="fr-FR"/>
        </w:rPr>
      </w:pPr>
      <w:r>
        <w:rPr>
          <w:i/>
          <w:iCs/>
          <w:color w:val="000000"/>
          <w:sz w:val="20"/>
          <w:szCs w:val="22"/>
          <w:lang w:val="fr-FR"/>
        </w:rPr>
        <w:t>Source :</w:t>
      </w:r>
      <w:r>
        <w:rPr>
          <w:color w:val="000000"/>
          <w:sz w:val="20"/>
          <w:szCs w:val="22"/>
          <w:lang w:val="fr-FR"/>
        </w:rPr>
        <w:t xml:space="preserve"> CEPAR, ENDEMAIN-99.  </w:t>
      </w:r>
    </w:p>
    <w:p w:rsidR="00000000" w:rsidRDefault="00000000">
      <w:pPr>
        <w:spacing w:after="240"/>
        <w:rPr>
          <w:iCs/>
          <w:color w:val="000000"/>
          <w:lang w:val="fr-FR"/>
        </w:rPr>
      </w:pPr>
      <w:r>
        <w:rPr>
          <w:i/>
          <w:iCs/>
          <w:color w:val="000000"/>
          <w:lang w:val="fr-FR"/>
        </w:rPr>
        <w:t>Situation de la population</w:t>
      </w:r>
    </w:p>
    <w:p w:rsidR="00000000" w:rsidRDefault="00000000">
      <w:pPr>
        <w:spacing w:after="240"/>
        <w:rPr>
          <w:iCs/>
          <w:color w:val="000000"/>
          <w:lang w:val="fr-FR"/>
        </w:rPr>
      </w:pPr>
      <w:r>
        <w:rPr>
          <w:iCs/>
          <w:color w:val="000000"/>
          <w:lang w:val="fr-FR"/>
        </w:rPr>
        <w:t>436.</w:t>
      </w:r>
      <w:r>
        <w:rPr>
          <w:iCs/>
          <w:color w:val="000000"/>
          <w:lang w:val="fr-FR"/>
        </w:rPr>
        <w:tab/>
        <w:t>Dans le pays, la pauvreté sévit surtout dans des cantons et districts ruraux où prédominent les populations autochtones et noires.  Ces populations sont victimes d'un processus de paupérisation continue qui se manifeste par une dégradation de la qualité de la vie et des conditions de santé ― une relation étroite existe entre développement socio-économique et santé; pour survivre, il leur faut choisir entre continuer à vivre dans les campagnes ou émigrer vers les grandes villes, ou d'autres pays, où il leur faut affronter de gros problèmes d’ordre économique, d’entassement, de ségrégation et, ce qui est le plus grave, d'aliénation culturelle, avec l’apparition de nouveaux problèmes de santé et le bouleversement du profil épidémiologique que cela entraîne.</w:t>
      </w:r>
    </w:p>
    <w:p w:rsidR="00000000" w:rsidRDefault="00000000">
      <w:pPr>
        <w:spacing w:after="240"/>
        <w:rPr>
          <w:iCs/>
          <w:color w:val="000000"/>
          <w:lang w:val="fr-FR"/>
        </w:rPr>
      </w:pPr>
      <w:r>
        <w:rPr>
          <w:iCs/>
          <w:color w:val="000000"/>
          <w:lang w:val="fr-FR"/>
        </w:rPr>
        <w:t>437.</w:t>
      </w:r>
      <w:r>
        <w:rPr>
          <w:iCs/>
          <w:color w:val="000000"/>
          <w:lang w:val="fr-FR"/>
        </w:rPr>
        <w:tab/>
        <w:t>Les problèmes de santé parmi les populations autochtones sont directement liés à la pauvreté et à des causes spécifiques telles que la malnutrition, le manque de services de base, l'absence d'infrastructures, l'insuffisance ou l'absence d'accès à l'eau potable, au système d'évacuation des eaux usées, etc., ce dont témoignent les indices élevés de mortalité enregistrés dans les provinces à forte composante autochtone comme Bolivar (5,8), Cotopaxi (7,8), Chimborazo (6,8), Imbabura (6,6) et Tungurahua (6,2), alors que le taux général de mortalité pour l'ensemble du pays est de 4,5 pour 1000 naissances vivantes</w:t>
      </w:r>
      <w:r>
        <w:rPr>
          <w:rStyle w:val="FootnoteReference"/>
          <w:b/>
          <w:iCs/>
          <w:color w:val="000000"/>
          <w:lang w:val="fr-FR"/>
        </w:rPr>
        <w:footnoteReference w:id="62"/>
      </w:r>
      <w:r>
        <w:rPr>
          <w:iCs/>
          <w:color w:val="000000"/>
          <w:lang w:val="fr-FR"/>
        </w:rPr>
        <w:t>.</w:t>
      </w:r>
    </w:p>
    <w:p w:rsidR="00000000" w:rsidRDefault="00000000">
      <w:pPr>
        <w:spacing w:after="240"/>
        <w:rPr>
          <w:iCs/>
          <w:color w:val="000000"/>
          <w:lang w:val="fr-FR"/>
        </w:rPr>
      </w:pPr>
      <w:r>
        <w:rPr>
          <w:iCs/>
          <w:color w:val="000000"/>
          <w:lang w:val="fr-FR"/>
        </w:rPr>
        <w:t>438.</w:t>
      </w:r>
      <w:r>
        <w:rPr>
          <w:iCs/>
          <w:color w:val="000000"/>
          <w:lang w:val="fr-FR"/>
        </w:rPr>
        <w:tab/>
        <w:t>Le savoir autochtone en matière de santé a été officiellement discréditée, associé à la sorcellerie ou à la charlatanerie et considéré comme dénué de fondement scientifique; la médecine autochtone n'en a pas moins survécu, faisant la preuve de son efficacité pour la majorité des populations autochtones qui recourent aux taitayachac, cuyfichac, mapashitador, chamans, etc.</w:t>
      </w:r>
    </w:p>
    <w:p w:rsidR="00000000" w:rsidRDefault="00000000">
      <w:pPr>
        <w:spacing w:after="240"/>
        <w:rPr>
          <w:iCs/>
          <w:color w:val="000000"/>
          <w:lang w:val="fr-FR"/>
        </w:rPr>
      </w:pPr>
      <w:r>
        <w:rPr>
          <w:iCs/>
          <w:color w:val="000000"/>
          <w:lang w:val="fr-FR"/>
        </w:rPr>
        <w:t>439.</w:t>
      </w:r>
      <w:r>
        <w:rPr>
          <w:iCs/>
          <w:color w:val="000000"/>
          <w:lang w:val="fr-FR"/>
        </w:rPr>
        <w:tab/>
        <w:t>Les données des études réalisées dans neuf communautés de Otavalo révèlent la non-acceptation par la populations autochtones des services officiels de santé; cela tient essentiellement à l'existence d'un obstacle culturel qui est lié à la méconnaissance par le personnel de santé de la vision du monde et de la langue de ces populations et au coût élevé des traitements.  Pour surmonter ces problèmes, il est nécessaire d’établir un dialogue horizontal entre la médecine autochtone et la médecine occidentale et d'essayer d'instaurer un "système mixte de santé" qui permet de tenir compte de la diversité culturelle dans le traitement des patients et qui fait appel aux deux types de savoir.</w:t>
      </w:r>
    </w:p>
    <w:p w:rsidR="00000000" w:rsidRDefault="00000000">
      <w:pPr>
        <w:spacing w:after="240"/>
        <w:rPr>
          <w:iCs/>
          <w:color w:val="000000"/>
          <w:lang w:val="fr-FR"/>
        </w:rPr>
      </w:pPr>
      <w:r>
        <w:rPr>
          <w:iCs/>
          <w:color w:val="000000"/>
          <w:lang w:val="fr-FR"/>
        </w:rPr>
        <w:t>440.</w:t>
      </w:r>
      <w:r>
        <w:rPr>
          <w:iCs/>
          <w:color w:val="000000"/>
          <w:lang w:val="fr-FR"/>
        </w:rPr>
        <w:tab/>
        <w:t>L’application de cette formule a donné de bons résultats, comme à Jambi Huasi (Otavalo) et à Saquisilí (Cotopaxi), où les soins médicaux sont dispensés dans des conditions de respect mutuel et d'égalité entre les deux types de médecine, ce qui permet aux patients de choisir le type de soins qu'ils souhaitent; cela souligne la nécessité d'étendre cette expérience à d'autres secteurs du pays où vivent des populations autochtones</w:t>
      </w:r>
      <w:r>
        <w:rPr>
          <w:rStyle w:val="FootnoteReference"/>
          <w:b/>
          <w:iCs/>
          <w:color w:val="000000"/>
          <w:lang w:val="fr-FR"/>
        </w:rPr>
        <w:footnoteReference w:id="63"/>
      </w:r>
      <w:r>
        <w:rPr>
          <w:iCs/>
          <w:color w:val="000000"/>
          <w:lang w:val="fr-FR"/>
        </w:rPr>
        <w:t>.</w:t>
      </w:r>
    </w:p>
    <w:p w:rsidR="00000000" w:rsidRDefault="00000000">
      <w:pPr>
        <w:spacing w:after="240"/>
        <w:rPr>
          <w:iCs/>
          <w:color w:val="000000"/>
          <w:lang w:val="fr-FR"/>
        </w:rPr>
      </w:pPr>
      <w:r>
        <w:rPr>
          <w:i/>
          <w:iCs/>
          <w:color w:val="000000"/>
          <w:lang w:val="fr-FR"/>
        </w:rPr>
        <w:br w:type="page"/>
        <w:t>Mesures de lutte contre l'insalubrité</w:t>
      </w:r>
    </w:p>
    <w:p w:rsidR="00000000" w:rsidRDefault="00000000">
      <w:pPr>
        <w:spacing w:after="240"/>
        <w:rPr>
          <w:iCs/>
          <w:color w:val="000000"/>
          <w:lang w:val="fr-FR"/>
        </w:rPr>
      </w:pPr>
      <w:r>
        <w:rPr>
          <w:iCs/>
          <w:color w:val="000000"/>
          <w:lang w:val="fr-FR"/>
        </w:rPr>
        <w:t>441.</w:t>
      </w:r>
      <w:r>
        <w:rPr>
          <w:iCs/>
          <w:color w:val="000000"/>
          <w:lang w:val="fr-FR"/>
        </w:rPr>
        <w:tab/>
        <w:t>La couverture des services d'eau potable et d'évacuation des eaux usées et des ordures s’est accrue de 15 %; on a instauré des mécanismes pour l’amélioration de la qualité dans le domaine de la protection sanitaire du citoyen, en particulier en ce qui concerne la mise au point de produits destinés à la consommation humaine (médicaments et aliments surtout) et la fourniture de services de santé, tant du point de vue de la satisfaction des usagers que pour le respect des normes techniques; des activités sont menées à ce titre dans les domaine des services de santé, de la formation et du développement des ressources humaines, notamment.</w:t>
      </w:r>
    </w:p>
    <w:p w:rsidR="00000000" w:rsidRDefault="00000000">
      <w:pPr>
        <w:spacing w:after="240"/>
        <w:rPr>
          <w:iCs/>
          <w:color w:val="000000"/>
          <w:lang w:val="fr-FR"/>
        </w:rPr>
      </w:pPr>
      <w:r>
        <w:rPr>
          <w:iCs/>
          <w:color w:val="000000"/>
          <w:lang w:val="fr-FR"/>
        </w:rPr>
        <w:t>442.</w:t>
      </w:r>
      <w:r>
        <w:rPr>
          <w:iCs/>
          <w:color w:val="000000"/>
          <w:lang w:val="fr-FR"/>
        </w:rPr>
        <w:tab/>
        <w:t>À cet effet, le Gouvernement a mis en oeuvre depuis la fin de l'année 1999 le Plan national de santé dont l'application s'étend actuellement à l'ensemble du pays.</w:t>
      </w:r>
    </w:p>
    <w:p w:rsidR="00000000" w:rsidRDefault="00000000">
      <w:pPr>
        <w:spacing w:after="240"/>
        <w:rPr>
          <w:iCs/>
          <w:color w:val="000000"/>
          <w:lang w:val="fr-FR"/>
        </w:rPr>
      </w:pPr>
      <w:r>
        <w:rPr>
          <w:iCs/>
          <w:color w:val="000000"/>
          <w:lang w:val="fr-FR"/>
        </w:rPr>
        <w:t>443.</w:t>
      </w:r>
      <w:r>
        <w:rPr>
          <w:iCs/>
          <w:color w:val="000000"/>
          <w:lang w:val="fr-FR"/>
        </w:rPr>
        <w:tab/>
        <w:t>L’État garantit le droit à la santé, concept qui, fondamentalement, regroupe les entités du secteur de la santé.</w:t>
      </w:r>
    </w:p>
    <w:p w:rsidR="00000000" w:rsidRDefault="00000000">
      <w:pPr>
        <w:spacing w:after="240"/>
        <w:rPr>
          <w:iCs/>
          <w:color w:val="000000"/>
          <w:lang w:val="fr-FR"/>
        </w:rPr>
      </w:pPr>
      <w:r>
        <w:rPr>
          <w:iCs/>
          <w:color w:val="000000"/>
          <w:lang w:val="fr-FR"/>
        </w:rPr>
        <w:t>444.</w:t>
      </w:r>
      <w:r>
        <w:rPr>
          <w:iCs/>
          <w:color w:val="000000"/>
          <w:lang w:val="fr-FR"/>
        </w:rPr>
        <w:tab/>
        <w:t>La législation en vigueur dispose que l’État doit organiser un Système national de santé, composé des institutions publiques, autonomes et communautaires du secteur, fonctionnant sur une base décentralisée, déconcentrés et participative, et assurant le financement des institutions publiques du système, y compris par le recours aux contributions des usagers ayant la capacité de payer.</w:t>
      </w:r>
    </w:p>
    <w:p w:rsidR="00000000" w:rsidRDefault="00000000">
      <w:pPr>
        <w:spacing w:after="240"/>
        <w:rPr>
          <w:iCs/>
          <w:color w:val="000000"/>
          <w:lang w:val="fr-FR"/>
        </w:rPr>
      </w:pPr>
      <w:r>
        <w:rPr>
          <w:iCs/>
          <w:color w:val="000000"/>
          <w:lang w:val="fr-FR"/>
        </w:rPr>
        <w:t>445.</w:t>
      </w:r>
      <w:r>
        <w:rPr>
          <w:iCs/>
          <w:color w:val="000000"/>
          <w:lang w:val="fr-FR"/>
        </w:rPr>
        <w:tab/>
        <w:t>Le Plan national de santé, conçu pour une période de cinq ans (2000-2005), a les objectifs suivants :</w:t>
      </w:r>
    </w:p>
    <w:p w:rsidR="00000000" w:rsidRDefault="00000000">
      <w:pPr>
        <w:numPr>
          <w:ilvl w:val="0"/>
          <w:numId w:val="76"/>
        </w:numPr>
        <w:spacing w:after="240"/>
        <w:rPr>
          <w:iCs/>
          <w:color w:val="000000"/>
          <w:lang w:val="fr-FR"/>
        </w:rPr>
      </w:pPr>
      <w:r>
        <w:rPr>
          <w:iCs/>
          <w:color w:val="000000"/>
          <w:lang w:val="fr-FR"/>
        </w:rPr>
        <w:t>Réduire de 25 % la mortalité infantile;</w:t>
      </w:r>
    </w:p>
    <w:p w:rsidR="00000000" w:rsidRDefault="00000000">
      <w:pPr>
        <w:numPr>
          <w:ilvl w:val="0"/>
          <w:numId w:val="76"/>
        </w:numPr>
        <w:spacing w:after="240"/>
        <w:rPr>
          <w:iCs/>
          <w:color w:val="000000"/>
          <w:lang w:val="fr-FR"/>
        </w:rPr>
      </w:pPr>
      <w:r>
        <w:rPr>
          <w:iCs/>
          <w:color w:val="000000"/>
          <w:lang w:val="fr-FR"/>
        </w:rPr>
        <w:t>Réduire de 25 % la mortalité maternelle;</w:t>
      </w:r>
    </w:p>
    <w:p w:rsidR="00000000" w:rsidRDefault="00000000">
      <w:pPr>
        <w:numPr>
          <w:ilvl w:val="0"/>
          <w:numId w:val="76"/>
        </w:numPr>
        <w:spacing w:after="240"/>
        <w:rPr>
          <w:iCs/>
          <w:color w:val="000000"/>
          <w:lang w:val="fr-FR"/>
        </w:rPr>
      </w:pPr>
      <w:r>
        <w:rPr>
          <w:iCs/>
          <w:color w:val="000000"/>
          <w:lang w:val="fr-FR"/>
        </w:rPr>
        <w:t>Réduire l'incidence des maladies;</w:t>
      </w:r>
    </w:p>
    <w:p w:rsidR="00000000" w:rsidRDefault="00000000">
      <w:pPr>
        <w:numPr>
          <w:ilvl w:val="0"/>
          <w:numId w:val="76"/>
        </w:numPr>
        <w:spacing w:after="240"/>
        <w:rPr>
          <w:iCs/>
          <w:color w:val="000000"/>
          <w:lang w:val="fr-FR"/>
        </w:rPr>
      </w:pPr>
      <w:r>
        <w:rPr>
          <w:iCs/>
          <w:color w:val="000000"/>
          <w:lang w:val="fr-FR"/>
        </w:rPr>
        <w:t>Réduire de 25 % la mortalité causée par les maladies émergentes et réémergentes;</w:t>
      </w:r>
    </w:p>
    <w:p w:rsidR="00000000" w:rsidRDefault="00000000">
      <w:pPr>
        <w:numPr>
          <w:ilvl w:val="0"/>
          <w:numId w:val="76"/>
        </w:numPr>
        <w:spacing w:after="240"/>
        <w:rPr>
          <w:iCs/>
          <w:color w:val="000000"/>
          <w:lang w:val="fr-FR"/>
        </w:rPr>
      </w:pPr>
      <w:r>
        <w:rPr>
          <w:iCs/>
          <w:color w:val="000000"/>
          <w:lang w:val="fr-FR"/>
        </w:rPr>
        <w:t>Réduire de 15 % la morbidité et la mortalité;</w:t>
      </w:r>
    </w:p>
    <w:p w:rsidR="00000000" w:rsidRDefault="00000000">
      <w:pPr>
        <w:numPr>
          <w:ilvl w:val="0"/>
          <w:numId w:val="76"/>
        </w:numPr>
        <w:spacing w:after="240"/>
        <w:rPr>
          <w:iCs/>
          <w:color w:val="000000"/>
          <w:lang w:val="fr-FR"/>
        </w:rPr>
      </w:pPr>
      <w:r>
        <w:rPr>
          <w:iCs/>
          <w:color w:val="000000"/>
          <w:lang w:val="fr-FR"/>
        </w:rPr>
        <w:t>Réduire de 30 % la prévalence de caries et des affections parodontales;</w:t>
      </w:r>
    </w:p>
    <w:p w:rsidR="00000000" w:rsidRDefault="00000000">
      <w:pPr>
        <w:numPr>
          <w:ilvl w:val="0"/>
          <w:numId w:val="76"/>
        </w:numPr>
        <w:spacing w:after="240"/>
        <w:rPr>
          <w:iCs/>
          <w:color w:val="000000"/>
          <w:lang w:val="fr-FR"/>
        </w:rPr>
      </w:pPr>
      <w:r>
        <w:rPr>
          <w:iCs/>
          <w:color w:val="000000"/>
          <w:lang w:val="fr-FR"/>
        </w:rPr>
        <w:t xml:space="preserve">Accroître de 15 % la couverture des réseaux d'eau potable et d'évacuation </w:t>
      </w:r>
      <w:r>
        <w:rPr>
          <w:iCs/>
          <w:color w:val="000000"/>
          <w:lang w:val="fr-FR"/>
        </w:rPr>
        <w:br/>
        <w:t>des eaux usées;</w:t>
      </w:r>
    </w:p>
    <w:p w:rsidR="00000000" w:rsidRDefault="00000000">
      <w:pPr>
        <w:numPr>
          <w:ilvl w:val="0"/>
          <w:numId w:val="76"/>
        </w:numPr>
        <w:spacing w:after="240"/>
        <w:rPr>
          <w:iCs/>
          <w:color w:val="000000"/>
          <w:lang w:val="fr-FR"/>
        </w:rPr>
      </w:pPr>
      <w:r>
        <w:rPr>
          <w:iCs/>
          <w:color w:val="000000"/>
          <w:lang w:val="fr-FR"/>
        </w:rPr>
        <w:t>Accroître de 25 % la couverture des services de santé;</w:t>
      </w:r>
    </w:p>
    <w:p w:rsidR="00000000" w:rsidRDefault="00000000">
      <w:pPr>
        <w:numPr>
          <w:ilvl w:val="0"/>
          <w:numId w:val="76"/>
        </w:numPr>
        <w:spacing w:after="240"/>
        <w:rPr>
          <w:iCs/>
          <w:color w:val="000000"/>
          <w:lang w:val="fr-FR"/>
        </w:rPr>
      </w:pPr>
      <w:r>
        <w:rPr>
          <w:iCs/>
          <w:color w:val="000000"/>
          <w:lang w:val="fr-FR"/>
        </w:rPr>
        <w:t>Moderniser le Ministère de la santé pour permettre à l’État de remplir ses nouvelles fonctions en matière de santé à tous les niveaux de la gestion et de l'exploitation.</w:t>
      </w:r>
    </w:p>
    <w:p w:rsidR="00000000" w:rsidRDefault="00000000">
      <w:pPr>
        <w:spacing w:after="240"/>
        <w:rPr>
          <w:iCs/>
          <w:color w:val="000000"/>
          <w:lang w:val="fr-FR"/>
        </w:rPr>
      </w:pPr>
      <w:r>
        <w:rPr>
          <w:iCs/>
          <w:color w:val="000000"/>
          <w:lang w:val="fr-FR"/>
        </w:rPr>
        <w:t>446.</w:t>
      </w:r>
      <w:r>
        <w:rPr>
          <w:iCs/>
          <w:color w:val="000000"/>
          <w:lang w:val="fr-FR"/>
        </w:rPr>
        <w:tab/>
        <w:t>L’État s'efforce de renforcer la Direction nationale de la santé environnementale du Ministère et la coordination permanente avec les Ministères du logement et de l'environnement, afin de contribuer au positionnement politique de la santé environnementale, à l'établissement de système de surveillance de l’hygiène environnementale et à l'élaboration de directives nationales concernant l’hygiène de l'environnement, ainsi que l'assainissement de base en encourageant la conception et l'application de nouvelles technologies pour la distribution d'eau salubre, l'évacuation des excrétas et des déchets, en particulier dans les zones rurales, la normalisation et la surveillance des effets sur la santé des risques environnementaux et des catastrophesb naturelles, à l'élaboration des programmes de prévention et de lutte contre la pollution d'origine hydrique, atmosphérique et terrestre et du programme relatif aux déchets hospitaliers, la prévention, la détection précoce et le contrôle des risques professionnels, la surveillance épidémiologique des maladies professionnelles et la coordination des services de santé avec les départements de sécurité industrielle et de médecine du travail.</w:t>
      </w:r>
    </w:p>
    <w:p w:rsidR="00000000" w:rsidRDefault="00000000">
      <w:pPr>
        <w:spacing w:after="240"/>
        <w:rPr>
          <w:iCs/>
          <w:color w:val="000000"/>
          <w:lang w:val="fr-FR"/>
        </w:rPr>
      </w:pPr>
      <w:r>
        <w:rPr>
          <w:b/>
          <w:iCs/>
          <w:color w:val="000000"/>
          <w:lang w:val="fr-FR"/>
        </w:rPr>
        <w:t>Réduction de la mortalité infantile</w:t>
      </w:r>
    </w:p>
    <w:p w:rsidR="00000000" w:rsidRDefault="00000000">
      <w:pPr>
        <w:spacing w:after="240"/>
        <w:rPr>
          <w:iCs/>
          <w:color w:val="000000"/>
          <w:lang w:val="fr-FR"/>
        </w:rPr>
      </w:pPr>
      <w:r>
        <w:rPr>
          <w:iCs/>
          <w:color w:val="000000"/>
          <w:lang w:val="fr-FR"/>
        </w:rPr>
        <w:t>447.</w:t>
      </w:r>
      <w:r>
        <w:rPr>
          <w:iCs/>
          <w:color w:val="000000"/>
          <w:lang w:val="fr-FR"/>
        </w:rPr>
        <w:tab/>
        <w:t>Les mesures adoptées par le Gouvernement par l'intermédiaire du Ministère de la santé en vue de réduire la mortalité et la morbidité infantiles sont les suivantes :</w:t>
      </w:r>
    </w:p>
    <w:p w:rsidR="00000000" w:rsidRDefault="00000000">
      <w:pPr>
        <w:numPr>
          <w:ilvl w:val="0"/>
          <w:numId w:val="78"/>
        </w:numPr>
        <w:spacing w:after="240"/>
        <w:rPr>
          <w:iCs/>
          <w:color w:val="000000"/>
          <w:lang w:val="fr-FR"/>
        </w:rPr>
      </w:pPr>
      <w:r>
        <w:rPr>
          <w:iCs/>
          <w:color w:val="000000"/>
          <w:lang w:val="fr-FR"/>
        </w:rPr>
        <w:t>Contrôle de la croissance et du développement de l'enfant, pour la détection précoce de la malnutrition ou du risque de malnutrition et des problèmes de développement psychomoteur.</w:t>
      </w:r>
    </w:p>
    <w:p w:rsidR="00000000" w:rsidRDefault="00000000">
      <w:pPr>
        <w:numPr>
          <w:ilvl w:val="0"/>
          <w:numId w:val="78"/>
        </w:numPr>
        <w:spacing w:after="240"/>
        <w:rPr>
          <w:iCs/>
          <w:color w:val="000000"/>
          <w:lang w:val="fr-FR"/>
        </w:rPr>
      </w:pPr>
      <w:r>
        <w:rPr>
          <w:iCs/>
          <w:color w:val="000000"/>
          <w:lang w:val="fr-FR"/>
        </w:rPr>
        <w:t>Traitement intégral des maladies courantes de l'enfance.  Il s'agit d’encourager la participation effective de la communauté aux soins de santé infantile élargis, les mesures de promotion, la prévention et le prompt rétablissement face à ces maladies.</w:t>
      </w:r>
    </w:p>
    <w:p w:rsidR="00000000" w:rsidRDefault="00000000">
      <w:pPr>
        <w:numPr>
          <w:ilvl w:val="0"/>
          <w:numId w:val="78"/>
        </w:numPr>
        <w:spacing w:after="240"/>
        <w:rPr>
          <w:iCs/>
          <w:color w:val="000000"/>
          <w:lang w:val="fr-FR"/>
        </w:rPr>
      </w:pPr>
      <w:r>
        <w:rPr>
          <w:iCs/>
          <w:color w:val="000000"/>
          <w:lang w:val="fr-FR"/>
        </w:rPr>
        <w:t>Promotion de l'allaitement maternel.  La meilleure manière de nourrir un nouveau-né est l'allaitement exclusif jusqu'à l'âge de six mois.</w:t>
      </w:r>
    </w:p>
    <w:p w:rsidR="00000000" w:rsidRDefault="00000000">
      <w:pPr>
        <w:numPr>
          <w:ilvl w:val="0"/>
          <w:numId w:val="78"/>
        </w:numPr>
        <w:spacing w:after="240"/>
        <w:rPr>
          <w:iCs/>
          <w:color w:val="000000"/>
          <w:lang w:val="fr-FR"/>
        </w:rPr>
      </w:pPr>
      <w:r>
        <w:rPr>
          <w:iCs/>
          <w:color w:val="000000"/>
          <w:lang w:val="fr-FR"/>
        </w:rPr>
        <w:t>Programme élargi d'immunisation.  Maintien des couvertures utiles des vaccins existants; introduction progressive de nouveaux vaccins contre des maladies telles que la rubéole, les oreillons, l'hépatite B, la méningite; et renforcement de la vaccination antitétanique parmi les femmes en âge de procréer et contre la fièvre jaune dans les zones à risque.</w:t>
      </w:r>
    </w:p>
    <w:p w:rsidR="00000000" w:rsidRDefault="00000000">
      <w:pPr>
        <w:numPr>
          <w:ilvl w:val="0"/>
          <w:numId w:val="78"/>
        </w:numPr>
        <w:spacing w:after="240"/>
        <w:rPr>
          <w:iCs/>
          <w:color w:val="000000"/>
          <w:lang w:val="fr-FR"/>
        </w:rPr>
      </w:pPr>
      <w:r>
        <w:rPr>
          <w:iCs/>
          <w:color w:val="000000"/>
          <w:lang w:val="fr-FR"/>
        </w:rPr>
        <w:t>Programmes de compléments alimentaires, avec distribution de rations alimentaires à l'échelle nationale, à l'intention d'enfants exposés au risque de malnutrition ou atteints de malnutrition, jusqu'au rétablissement.</w:t>
      </w:r>
    </w:p>
    <w:p w:rsidR="00000000" w:rsidRDefault="00000000">
      <w:pPr>
        <w:numPr>
          <w:ilvl w:val="0"/>
          <w:numId w:val="78"/>
        </w:numPr>
        <w:spacing w:after="240"/>
        <w:rPr>
          <w:iCs/>
          <w:color w:val="000000"/>
          <w:lang w:val="fr-FR"/>
        </w:rPr>
      </w:pPr>
      <w:r>
        <w:rPr>
          <w:iCs/>
          <w:color w:val="000000"/>
          <w:lang w:val="fr-FR"/>
        </w:rPr>
        <w:t xml:space="preserve">Programme d'intégration de micronutriments.  Supplémentation en micronutriments, fer et vitamine A, à l'intention des mères enceintes et des enfants de moins d'un an.  Ce programme de portée nationale est mis en oeuvre par le biais de tous les services opérationnels du pays, avec l'appui du Ministère de la santé et la coopération internationale.  En richissement des aliments de consommation de masse, farine enrichie avec du fer, de l'acide folique, des vitamines du complexe B et </w:t>
      </w:r>
      <w:r>
        <w:rPr>
          <w:lang w:val="fr-FR"/>
        </w:rPr>
        <w:t xml:space="preserve">de </w:t>
      </w:r>
      <w:r>
        <w:rPr>
          <w:iCs/>
          <w:color w:val="000000"/>
          <w:lang w:val="fr-FR"/>
        </w:rPr>
        <w:t>la niacine, et sel enrichi au fluor et à l'iode.</w:t>
      </w:r>
    </w:p>
    <w:p w:rsidR="00000000" w:rsidRDefault="00000000">
      <w:pPr>
        <w:spacing w:after="240"/>
        <w:rPr>
          <w:iCs/>
          <w:color w:val="000000"/>
          <w:lang w:val="fr-FR"/>
        </w:rPr>
      </w:pPr>
      <w:r>
        <w:rPr>
          <w:iCs/>
          <w:color w:val="000000"/>
          <w:lang w:val="fr-FR"/>
        </w:rPr>
        <w:t>448.</w:t>
      </w:r>
      <w:r>
        <w:rPr>
          <w:iCs/>
          <w:color w:val="000000"/>
          <w:lang w:val="fr-FR"/>
        </w:rPr>
        <w:tab/>
        <w:t>En ce qui concerne l'hygiène de l'environnement, les dispositions pertinentes sont les suivantes :</w:t>
      </w:r>
    </w:p>
    <w:p w:rsidR="00000000" w:rsidRDefault="00000000">
      <w:pPr>
        <w:numPr>
          <w:ilvl w:val="0"/>
          <w:numId w:val="80"/>
        </w:numPr>
        <w:spacing w:after="240"/>
        <w:rPr>
          <w:iCs/>
          <w:color w:val="000000"/>
          <w:lang w:val="fr-FR"/>
        </w:rPr>
      </w:pPr>
      <w:r>
        <w:rPr>
          <w:iCs/>
          <w:color w:val="000000"/>
          <w:lang w:val="fr-FR"/>
        </w:rPr>
        <w:t>Loi relative à l'environnement, adoptée par le Congrès national le 10 juin 1999</w:t>
      </w:r>
    </w:p>
    <w:p w:rsidR="00000000" w:rsidRDefault="00000000">
      <w:pPr>
        <w:numPr>
          <w:ilvl w:val="0"/>
          <w:numId w:val="80"/>
        </w:numPr>
        <w:spacing w:after="240"/>
        <w:rPr>
          <w:iCs/>
          <w:color w:val="000000"/>
          <w:lang w:val="fr-FR"/>
        </w:rPr>
      </w:pPr>
      <w:r>
        <w:rPr>
          <w:iCs/>
          <w:color w:val="000000"/>
          <w:lang w:val="fr-FR"/>
        </w:rPr>
        <w:t>Code du travail, dans le Régime du travail équatorien : Règlement relatif à la sécurité et à la santé des travailleurs et à l'amélioration de l'environnement du travail (8e édition, octobre 1997).</w:t>
      </w:r>
    </w:p>
    <w:p w:rsidR="00000000" w:rsidRDefault="00000000">
      <w:pPr>
        <w:numPr>
          <w:ilvl w:val="0"/>
          <w:numId w:val="80"/>
        </w:numPr>
        <w:spacing w:after="240"/>
        <w:rPr>
          <w:iCs/>
          <w:color w:val="000000"/>
          <w:lang w:val="fr-FR"/>
        </w:rPr>
      </w:pPr>
      <w:r>
        <w:rPr>
          <w:iCs/>
          <w:color w:val="000000"/>
          <w:lang w:val="fr-FR"/>
        </w:rPr>
        <w:t>Règlement relatif à la sécurité et à la santé des travailleurs et à l'amélioration de l'environnement du travail (décret N° 2393 adopté à Quito en 1986).</w:t>
      </w:r>
    </w:p>
    <w:p w:rsidR="00000000" w:rsidRDefault="00000000">
      <w:pPr>
        <w:numPr>
          <w:ilvl w:val="0"/>
          <w:numId w:val="80"/>
        </w:numPr>
        <w:spacing w:after="240"/>
        <w:rPr>
          <w:iCs/>
          <w:color w:val="000000"/>
          <w:lang w:val="fr-FR"/>
        </w:rPr>
      </w:pPr>
      <w:r>
        <w:rPr>
          <w:iCs/>
          <w:color w:val="000000"/>
          <w:lang w:val="fr-FR"/>
        </w:rPr>
        <w:t>Ordonnance municipale substitutive du chapitre III, titre V, deuxième tome, du Code municipal, pour la prévention et la limitation de la pollution par les déchets liquides et les émissions atmosphériques de sources fixes, adoptée par la Direction de l'environnement de la Municipalité de Quito (en vigueur depuis le 5 novembre 1998).  Il faut y ajouter le contrôle et les plans d'urgence, la classification de la qualité de l'eau et de la pollution de l'environnement.</w:t>
      </w:r>
    </w:p>
    <w:p w:rsidR="00000000" w:rsidRDefault="00000000">
      <w:pPr>
        <w:numPr>
          <w:ilvl w:val="0"/>
          <w:numId w:val="80"/>
        </w:numPr>
        <w:spacing w:after="240"/>
        <w:rPr>
          <w:iCs/>
          <w:color w:val="000000"/>
          <w:lang w:val="fr-FR"/>
        </w:rPr>
      </w:pPr>
      <w:r>
        <w:rPr>
          <w:iCs/>
          <w:color w:val="000000"/>
          <w:lang w:val="fr-FR"/>
        </w:rPr>
        <w:t>Contrôle des produits chimiques par le CONSEP (Loi N° 108,</w:t>
      </w:r>
      <w:r>
        <w:rPr>
          <w:i/>
          <w:iCs/>
          <w:color w:val="000000"/>
          <w:lang w:val="fr-FR"/>
        </w:rPr>
        <w:t xml:space="preserve"> Journal officiel</w:t>
      </w:r>
      <w:r>
        <w:rPr>
          <w:iCs/>
          <w:color w:val="000000"/>
          <w:lang w:val="fr-FR"/>
        </w:rPr>
        <w:t xml:space="preserve"> N° 523 du 17 septembre 1990).</w:t>
      </w:r>
    </w:p>
    <w:p w:rsidR="00000000" w:rsidRDefault="00000000">
      <w:pPr>
        <w:numPr>
          <w:ilvl w:val="0"/>
          <w:numId w:val="80"/>
        </w:numPr>
        <w:spacing w:after="240"/>
        <w:rPr>
          <w:iCs/>
          <w:color w:val="000000"/>
          <w:lang w:val="fr-FR"/>
        </w:rPr>
      </w:pPr>
      <w:r>
        <w:rPr>
          <w:iCs/>
          <w:color w:val="000000"/>
          <w:lang w:val="fr-FR"/>
        </w:rPr>
        <w:t>Loi de lutte contre les incendies, par le corps des pompiers de Pichincha.</w:t>
      </w:r>
    </w:p>
    <w:p w:rsidR="00000000" w:rsidRDefault="00000000">
      <w:pPr>
        <w:numPr>
          <w:ilvl w:val="0"/>
          <w:numId w:val="80"/>
        </w:numPr>
        <w:spacing w:after="240"/>
        <w:rPr>
          <w:iCs/>
          <w:color w:val="000000"/>
          <w:lang w:val="fr-FR"/>
        </w:rPr>
      </w:pPr>
      <w:r>
        <w:rPr>
          <w:iCs/>
          <w:color w:val="000000"/>
          <w:lang w:val="fr-FR"/>
        </w:rPr>
        <w:t>Protocole de Montréal.</w:t>
      </w:r>
    </w:p>
    <w:p w:rsidR="00000000" w:rsidRDefault="00000000">
      <w:pPr>
        <w:numPr>
          <w:ilvl w:val="0"/>
          <w:numId w:val="80"/>
        </w:numPr>
        <w:spacing w:after="240"/>
        <w:rPr>
          <w:iCs/>
          <w:color w:val="000000"/>
          <w:lang w:val="fr-FR"/>
        </w:rPr>
      </w:pPr>
      <w:r>
        <w:rPr>
          <w:iCs/>
          <w:color w:val="000000"/>
          <w:lang w:val="fr-FR"/>
        </w:rPr>
        <w:t>OIT.</w:t>
      </w:r>
    </w:p>
    <w:p w:rsidR="00000000" w:rsidRDefault="00000000">
      <w:pPr>
        <w:spacing w:after="240"/>
        <w:rPr>
          <w:iCs/>
          <w:color w:val="000000"/>
          <w:lang w:val="fr-FR"/>
        </w:rPr>
      </w:pPr>
      <w:r>
        <w:rPr>
          <w:iCs/>
          <w:color w:val="000000"/>
          <w:lang w:val="fr-FR"/>
        </w:rPr>
        <w:t>449.</w:t>
      </w:r>
      <w:r>
        <w:rPr>
          <w:iCs/>
          <w:color w:val="000000"/>
          <w:lang w:val="fr-FR"/>
        </w:rPr>
        <w:tab/>
        <w:t>L’État protège le droit de la population de vivre dans un environnement sain et écologiquement équilibré, condition du développement durable, veille à ce que ce droit ne soit pas affecté et garantit la conservation de la nature.</w:t>
      </w:r>
    </w:p>
    <w:p w:rsidR="00000000" w:rsidRDefault="00000000">
      <w:pPr>
        <w:spacing w:after="240"/>
        <w:rPr>
          <w:iCs/>
          <w:color w:val="000000"/>
          <w:lang w:val="fr-FR"/>
        </w:rPr>
      </w:pPr>
      <w:r>
        <w:rPr>
          <w:iCs/>
          <w:color w:val="000000"/>
          <w:lang w:val="fr-FR"/>
        </w:rPr>
        <w:t>450.</w:t>
      </w:r>
      <w:r>
        <w:rPr>
          <w:iCs/>
          <w:color w:val="000000"/>
          <w:lang w:val="fr-FR"/>
        </w:rPr>
        <w:tab/>
        <w:t>L’État prend des mesures visant à la réalisation des objectifs ci-après :</w:t>
      </w:r>
    </w:p>
    <w:p w:rsidR="00000000" w:rsidRDefault="00000000">
      <w:pPr>
        <w:numPr>
          <w:ilvl w:val="0"/>
          <w:numId w:val="82"/>
        </w:numPr>
        <w:spacing w:after="240"/>
        <w:rPr>
          <w:iCs/>
          <w:color w:val="000000"/>
          <w:lang w:val="fr-FR"/>
        </w:rPr>
      </w:pPr>
      <w:r>
        <w:rPr>
          <w:iCs/>
          <w:color w:val="000000"/>
          <w:lang w:val="fr-FR"/>
        </w:rPr>
        <w:t>Promouvoir dans le secteur public et privé l'utilisation de technologie et de sources d'énergie nouvelle non polluantes;</w:t>
      </w:r>
    </w:p>
    <w:p w:rsidR="00000000" w:rsidRDefault="00000000">
      <w:pPr>
        <w:numPr>
          <w:ilvl w:val="0"/>
          <w:numId w:val="82"/>
        </w:numPr>
        <w:spacing w:after="240"/>
        <w:rPr>
          <w:iCs/>
          <w:color w:val="000000"/>
          <w:lang w:val="fr-FR"/>
        </w:rPr>
      </w:pPr>
      <w:r>
        <w:rPr>
          <w:iCs/>
          <w:color w:val="000000"/>
          <w:lang w:val="fr-FR"/>
        </w:rPr>
        <w:t>Instituer des incitations fiscales pour encourager les mesures écologiquement saines;</w:t>
      </w:r>
    </w:p>
    <w:p w:rsidR="00000000" w:rsidRDefault="00000000">
      <w:pPr>
        <w:numPr>
          <w:ilvl w:val="0"/>
          <w:numId w:val="82"/>
        </w:numPr>
        <w:spacing w:after="240"/>
        <w:rPr>
          <w:iCs/>
          <w:color w:val="000000"/>
          <w:lang w:val="fr-FR"/>
        </w:rPr>
      </w:pPr>
      <w:r>
        <w:rPr>
          <w:iCs/>
          <w:color w:val="000000"/>
          <w:lang w:val="fr-FR"/>
        </w:rPr>
        <w:t>Interdire la fabrication, l'importation, la possession et l'utilisation d'armes chimiques, biologiques et nucléaires, ainsi que l'introduction sur le territoire national de résidus nucléaires et de déchets toxiques;</w:t>
      </w:r>
    </w:p>
    <w:p w:rsidR="00000000" w:rsidRDefault="00000000">
      <w:pPr>
        <w:numPr>
          <w:ilvl w:val="0"/>
          <w:numId w:val="82"/>
        </w:numPr>
        <w:spacing w:after="240"/>
        <w:rPr>
          <w:iCs/>
          <w:color w:val="000000"/>
          <w:lang w:val="fr-FR"/>
        </w:rPr>
      </w:pPr>
      <w:r>
        <w:rPr>
          <w:iCs/>
          <w:color w:val="000000"/>
          <w:lang w:val="fr-FR"/>
        </w:rPr>
        <w:t>Réglementer la production, l'importation, la distribution et l'utilisation des substances qui, quelle que soit leur utilité, sont toxiques et nocives pour les personnes et l'environnement.</w:t>
      </w:r>
    </w:p>
    <w:p w:rsidR="00000000" w:rsidRDefault="00000000">
      <w:pPr>
        <w:spacing w:after="240"/>
        <w:rPr>
          <w:iCs/>
          <w:color w:val="000000"/>
          <w:lang w:val="fr-FR"/>
        </w:rPr>
      </w:pPr>
      <w:r>
        <w:rPr>
          <w:iCs/>
          <w:color w:val="000000"/>
          <w:lang w:val="fr-FR"/>
        </w:rPr>
        <w:t>451.</w:t>
      </w:r>
      <w:r>
        <w:rPr>
          <w:iCs/>
          <w:color w:val="000000"/>
          <w:lang w:val="fr-FR"/>
        </w:rPr>
        <w:tab/>
        <w:t>Le Ministère de la santé est chargé, par l'intermédiaire de la Direction nationale de la santé environnementale créée en avril 1994, de veiller à la salubrité de l'environnement et a pour mission de définir, surveiller et évaluer les effets sur la santé des processus environnementaux, en se fondant sur le sous-système d'information en matière d'hygiène environnementale.</w:t>
      </w:r>
    </w:p>
    <w:p w:rsidR="00000000" w:rsidRDefault="00000000">
      <w:pPr>
        <w:spacing w:after="240"/>
        <w:rPr>
          <w:iCs/>
          <w:color w:val="000000"/>
          <w:lang w:val="fr-FR"/>
        </w:rPr>
      </w:pPr>
      <w:r>
        <w:rPr>
          <w:i/>
          <w:iCs/>
          <w:color w:val="000000"/>
          <w:lang w:val="fr-FR"/>
        </w:rPr>
        <w:br w:type="page"/>
        <w:t>Prévention des maladies endémiques</w:t>
      </w:r>
    </w:p>
    <w:p w:rsidR="00000000" w:rsidRDefault="00000000">
      <w:pPr>
        <w:spacing w:after="240"/>
        <w:rPr>
          <w:iCs/>
          <w:color w:val="000000"/>
          <w:lang w:val="fr-FR"/>
        </w:rPr>
      </w:pPr>
      <w:r>
        <w:rPr>
          <w:iCs/>
          <w:color w:val="000000"/>
          <w:lang w:val="fr-FR"/>
        </w:rPr>
        <w:t>452.</w:t>
      </w:r>
      <w:r>
        <w:rPr>
          <w:iCs/>
          <w:color w:val="000000"/>
          <w:lang w:val="fr-FR"/>
        </w:rPr>
        <w:tab/>
        <w:t>L’Équateur a souffert au cours de la dernière décennie des agressions de la nature (catastrophe de la Josefina, phénomène El Niño, tremblements de terre de Pujilí et Bahía de Caráquez, réactivation de l'activité volcanique du Pichincha et du Tungurahua, etc.), dont les effets négatifs sur la population ont imposé des pressions exceptionnelles sur le secteur de la santé.</w:t>
      </w:r>
    </w:p>
    <w:p w:rsidR="00000000" w:rsidRDefault="00000000">
      <w:pPr>
        <w:spacing w:after="240"/>
        <w:rPr>
          <w:iCs/>
          <w:color w:val="000000"/>
          <w:lang w:val="fr-FR"/>
        </w:rPr>
      </w:pPr>
      <w:r>
        <w:rPr>
          <w:iCs/>
          <w:color w:val="000000"/>
          <w:lang w:val="fr-FR"/>
        </w:rPr>
        <w:t>453.</w:t>
      </w:r>
      <w:r>
        <w:rPr>
          <w:iCs/>
          <w:color w:val="000000"/>
          <w:lang w:val="fr-FR"/>
        </w:rPr>
        <w:tab/>
        <w:t>Les actions décisives menées par le Ministère de la santé par l'intermédiaire des Directions de la santé au profit de la population ont permis avec le temps de réduire de façon substantielle les dommages potentiels, grâce à des interventions au stade de la surveillance épidémiologique et de la lutte contre l'apparition des maladies courantes et à caractère prioritaire.</w:t>
      </w:r>
    </w:p>
    <w:p w:rsidR="00000000" w:rsidRDefault="00000000">
      <w:pPr>
        <w:spacing w:after="240"/>
        <w:rPr>
          <w:iCs/>
          <w:color w:val="000000"/>
          <w:lang w:val="fr-FR"/>
        </w:rPr>
      </w:pPr>
      <w:r>
        <w:rPr>
          <w:iCs/>
          <w:color w:val="000000"/>
          <w:lang w:val="fr-FR"/>
        </w:rPr>
        <w:t>454.</w:t>
      </w:r>
      <w:r>
        <w:rPr>
          <w:iCs/>
          <w:color w:val="000000"/>
          <w:lang w:val="fr-FR"/>
        </w:rPr>
        <w:tab/>
        <w:t>Les principales actions engagées par le Ministère de la santé par l'intermédiaire des brigades médicales, avec la participation communautaire, sont les suivantes :</w:t>
      </w:r>
    </w:p>
    <w:p w:rsidR="00000000" w:rsidRDefault="00000000">
      <w:pPr>
        <w:numPr>
          <w:ilvl w:val="0"/>
          <w:numId w:val="84"/>
        </w:numPr>
        <w:spacing w:after="240"/>
        <w:rPr>
          <w:iCs/>
          <w:color w:val="000000"/>
          <w:lang w:val="fr-FR"/>
        </w:rPr>
      </w:pPr>
      <w:r>
        <w:rPr>
          <w:iCs/>
          <w:color w:val="000000"/>
          <w:lang w:val="fr-FR"/>
        </w:rPr>
        <w:t>Campagnes d'information et de prévention pour l'éducation sanitaire de la communauté;</w:t>
      </w:r>
    </w:p>
    <w:p w:rsidR="00000000" w:rsidRDefault="00000000">
      <w:pPr>
        <w:numPr>
          <w:ilvl w:val="0"/>
          <w:numId w:val="84"/>
        </w:numPr>
        <w:spacing w:after="240"/>
        <w:rPr>
          <w:iCs/>
          <w:color w:val="000000"/>
          <w:lang w:val="fr-FR"/>
        </w:rPr>
      </w:pPr>
      <w:r>
        <w:rPr>
          <w:iCs/>
          <w:color w:val="000000"/>
          <w:lang w:val="fr-FR"/>
        </w:rPr>
        <w:t>Mise en place de systèmes d'approvisionnement en eau salubre, avec production et distribution de chlore avec la participation communautaire;</w:t>
      </w:r>
    </w:p>
    <w:p w:rsidR="00000000" w:rsidRDefault="00000000">
      <w:pPr>
        <w:numPr>
          <w:ilvl w:val="0"/>
          <w:numId w:val="84"/>
        </w:numPr>
        <w:spacing w:after="240"/>
        <w:rPr>
          <w:iCs/>
          <w:color w:val="000000"/>
          <w:lang w:val="fr-FR"/>
        </w:rPr>
      </w:pPr>
      <w:r>
        <w:rPr>
          <w:iCs/>
          <w:color w:val="000000"/>
          <w:lang w:val="fr-FR"/>
        </w:rPr>
        <w:t>Immunisation contre les maladies immunoprévisibles de l'enfance, la fièvre jaune, la rage canine et humaine;</w:t>
      </w:r>
    </w:p>
    <w:p w:rsidR="00000000" w:rsidRDefault="00000000">
      <w:pPr>
        <w:numPr>
          <w:ilvl w:val="0"/>
          <w:numId w:val="84"/>
        </w:numPr>
        <w:spacing w:after="240"/>
        <w:rPr>
          <w:iCs/>
          <w:color w:val="000000"/>
          <w:lang w:val="fr-FR"/>
        </w:rPr>
      </w:pPr>
      <w:r>
        <w:rPr>
          <w:iCs/>
          <w:color w:val="000000"/>
          <w:lang w:val="fr-FR"/>
        </w:rPr>
        <w:t>Fumigation et vaporisation à l'intérieur comme à l'extérieur des habitations (achat d'équipements et de matériel);</w:t>
      </w:r>
    </w:p>
    <w:p w:rsidR="00000000" w:rsidRDefault="00000000">
      <w:pPr>
        <w:numPr>
          <w:ilvl w:val="0"/>
          <w:numId w:val="84"/>
        </w:numPr>
        <w:spacing w:after="240"/>
        <w:rPr>
          <w:iCs/>
          <w:color w:val="000000"/>
          <w:lang w:val="fr-FR"/>
        </w:rPr>
      </w:pPr>
      <w:r>
        <w:rPr>
          <w:iCs/>
          <w:color w:val="000000"/>
          <w:lang w:val="fr-FR"/>
        </w:rPr>
        <w:t>Élimination des foyers de moustiques avec la participation communautaire;</w:t>
      </w:r>
    </w:p>
    <w:p w:rsidR="00000000" w:rsidRDefault="00000000">
      <w:pPr>
        <w:numPr>
          <w:ilvl w:val="0"/>
          <w:numId w:val="84"/>
        </w:numPr>
        <w:spacing w:after="240"/>
        <w:rPr>
          <w:iCs/>
          <w:color w:val="000000"/>
          <w:lang w:val="fr-FR"/>
        </w:rPr>
      </w:pPr>
      <w:r>
        <w:rPr>
          <w:iCs/>
          <w:color w:val="000000"/>
          <w:lang w:val="fr-FR"/>
        </w:rPr>
        <w:t>Distribution de médicaments antipaludéens et de sérums antivenimeux;</w:t>
      </w:r>
    </w:p>
    <w:p w:rsidR="00000000" w:rsidRDefault="00000000">
      <w:pPr>
        <w:numPr>
          <w:ilvl w:val="0"/>
          <w:numId w:val="84"/>
        </w:numPr>
        <w:spacing w:after="240"/>
        <w:rPr>
          <w:iCs/>
          <w:color w:val="000000"/>
          <w:lang w:val="fr-FR"/>
        </w:rPr>
      </w:pPr>
      <w:r>
        <w:rPr>
          <w:iCs/>
          <w:color w:val="000000"/>
          <w:lang w:val="fr-FR"/>
        </w:rPr>
        <w:t>Dératisation des marchés et autres lieux publics;</w:t>
      </w:r>
    </w:p>
    <w:p w:rsidR="00000000" w:rsidRDefault="00000000">
      <w:pPr>
        <w:numPr>
          <w:ilvl w:val="0"/>
          <w:numId w:val="84"/>
        </w:numPr>
        <w:spacing w:after="240"/>
        <w:rPr>
          <w:iCs/>
          <w:color w:val="000000"/>
          <w:lang w:val="fr-FR"/>
        </w:rPr>
      </w:pPr>
      <w:r>
        <w:rPr>
          <w:iCs/>
          <w:color w:val="000000"/>
          <w:lang w:val="fr-FR"/>
        </w:rPr>
        <w:t>Lutte coordonnée contre les vecteurs avec le Service national d'éradication du paludisme (SNEM), fumigation et vaporisation d'insecticides dans les habitations, afin de limiter la prolifération des moustiques vecteurs du paludisme et de la fièvre dengue;</w:t>
      </w:r>
    </w:p>
    <w:p w:rsidR="00000000" w:rsidRDefault="00000000">
      <w:pPr>
        <w:numPr>
          <w:ilvl w:val="0"/>
          <w:numId w:val="84"/>
        </w:numPr>
        <w:spacing w:after="240"/>
        <w:rPr>
          <w:iCs/>
          <w:color w:val="000000"/>
          <w:lang w:val="fr-FR"/>
        </w:rPr>
      </w:pPr>
      <w:r>
        <w:rPr>
          <w:iCs/>
          <w:color w:val="000000"/>
          <w:lang w:val="fr-FR"/>
        </w:rPr>
        <w:t>Mobilisation du personnel des zones rurales.</w:t>
      </w:r>
    </w:p>
    <w:p w:rsidR="00000000" w:rsidRDefault="00000000">
      <w:pPr>
        <w:spacing w:after="240"/>
        <w:rPr>
          <w:iCs/>
          <w:color w:val="000000"/>
          <w:lang w:val="fr-FR"/>
        </w:rPr>
      </w:pPr>
      <w:r>
        <w:rPr>
          <w:i/>
          <w:iCs/>
          <w:color w:val="000000"/>
          <w:lang w:val="fr-FR"/>
        </w:rPr>
        <w:t>Soins médicaux à la population</w:t>
      </w:r>
    </w:p>
    <w:p w:rsidR="00000000" w:rsidRDefault="00000000">
      <w:pPr>
        <w:spacing w:after="240"/>
        <w:rPr>
          <w:iCs/>
          <w:color w:val="000000"/>
          <w:lang w:val="fr-FR"/>
        </w:rPr>
      </w:pPr>
      <w:r>
        <w:rPr>
          <w:iCs/>
          <w:color w:val="000000"/>
          <w:lang w:val="fr-FR"/>
        </w:rPr>
        <w:t>455.</w:t>
      </w:r>
      <w:r>
        <w:rPr>
          <w:iCs/>
          <w:color w:val="000000"/>
          <w:lang w:val="fr-FR"/>
        </w:rPr>
        <w:tab/>
        <w:t>Le Plan national de santé pour la période 2000-2005 définit les grandes lignes de l’action à engager :</w:t>
      </w:r>
    </w:p>
    <w:p w:rsidR="00000000" w:rsidRDefault="00000000">
      <w:pPr>
        <w:numPr>
          <w:ilvl w:val="0"/>
          <w:numId w:val="86"/>
        </w:numPr>
        <w:spacing w:after="240"/>
        <w:rPr>
          <w:iCs/>
          <w:color w:val="000000"/>
          <w:lang w:val="fr-FR"/>
        </w:rPr>
      </w:pPr>
      <w:r>
        <w:rPr>
          <w:iCs/>
          <w:color w:val="000000"/>
          <w:lang w:val="fr-FR"/>
        </w:rPr>
        <w:t>Valorisation politique du social, augmentant ainsi les possibilités d'intervention intersectorielle;</w:t>
      </w:r>
    </w:p>
    <w:p w:rsidR="00000000" w:rsidRDefault="00000000">
      <w:pPr>
        <w:numPr>
          <w:ilvl w:val="0"/>
          <w:numId w:val="86"/>
        </w:numPr>
        <w:spacing w:after="240"/>
        <w:rPr>
          <w:iCs/>
          <w:color w:val="000000"/>
          <w:lang w:val="fr-FR"/>
        </w:rPr>
      </w:pPr>
      <w:r>
        <w:rPr>
          <w:iCs/>
          <w:color w:val="000000"/>
          <w:lang w:val="fr-FR"/>
        </w:rPr>
        <w:t>Gestion décentralisée, déconcentrée et participative, avec la participation croissante des autorités municipales et de la société civile;</w:t>
      </w:r>
    </w:p>
    <w:p w:rsidR="00000000" w:rsidRDefault="00000000">
      <w:pPr>
        <w:numPr>
          <w:ilvl w:val="0"/>
          <w:numId w:val="86"/>
        </w:numPr>
        <w:spacing w:after="240"/>
        <w:rPr>
          <w:iCs/>
          <w:color w:val="000000"/>
          <w:lang w:val="fr-FR"/>
        </w:rPr>
      </w:pPr>
      <w:r>
        <w:rPr>
          <w:iCs/>
          <w:color w:val="000000"/>
          <w:lang w:val="fr-FR"/>
        </w:rPr>
        <w:t>Modernisation de la gestion des institutions et services;</w:t>
      </w:r>
    </w:p>
    <w:p w:rsidR="00000000" w:rsidRDefault="00000000">
      <w:pPr>
        <w:numPr>
          <w:ilvl w:val="0"/>
          <w:numId w:val="86"/>
        </w:numPr>
        <w:spacing w:after="240"/>
        <w:rPr>
          <w:iCs/>
          <w:color w:val="000000"/>
          <w:lang w:val="fr-FR"/>
        </w:rPr>
      </w:pPr>
      <w:r>
        <w:rPr>
          <w:iCs/>
          <w:color w:val="000000"/>
          <w:lang w:val="fr-FR"/>
        </w:rPr>
        <w:t>Lutte frontale contre la corruption.</w:t>
      </w:r>
    </w:p>
    <w:p w:rsidR="00000000" w:rsidRDefault="00000000">
      <w:pPr>
        <w:spacing w:after="240"/>
        <w:rPr>
          <w:iCs/>
          <w:color w:val="000000"/>
          <w:lang w:val="fr-FR"/>
        </w:rPr>
      </w:pPr>
      <w:r>
        <w:rPr>
          <w:iCs/>
          <w:color w:val="000000"/>
          <w:lang w:val="fr-FR"/>
        </w:rPr>
        <w:t>456.</w:t>
      </w:r>
      <w:r>
        <w:rPr>
          <w:iCs/>
          <w:color w:val="000000"/>
          <w:lang w:val="fr-FR"/>
        </w:rPr>
        <w:tab/>
        <w:t>Pour ce qui est de la gestion du changement, trois axes principaux ont été définis :</w:t>
      </w:r>
    </w:p>
    <w:p w:rsidR="00000000" w:rsidRDefault="00000000">
      <w:pPr>
        <w:numPr>
          <w:ilvl w:val="0"/>
          <w:numId w:val="88"/>
        </w:numPr>
        <w:spacing w:after="240"/>
        <w:rPr>
          <w:iCs/>
          <w:color w:val="000000"/>
          <w:lang w:val="fr-FR"/>
        </w:rPr>
      </w:pPr>
      <w:r>
        <w:rPr>
          <w:iCs/>
          <w:color w:val="000000"/>
          <w:lang w:val="fr-FR"/>
        </w:rPr>
        <w:t>Développement des compétences;</w:t>
      </w:r>
    </w:p>
    <w:p w:rsidR="00000000" w:rsidRDefault="00000000">
      <w:pPr>
        <w:numPr>
          <w:ilvl w:val="0"/>
          <w:numId w:val="88"/>
        </w:numPr>
        <w:spacing w:after="240"/>
        <w:rPr>
          <w:iCs/>
          <w:color w:val="000000"/>
          <w:lang w:val="fr-FR"/>
        </w:rPr>
      </w:pPr>
      <w:r>
        <w:rPr>
          <w:iCs/>
          <w:color w:val="000000"/>
          <w:lang w:val="fr-FR"/>
        </w:rPr>
        <w:t>Affectation des ressources liée au rendement et aux résultats;</w:t>
      </w:r>
    </w:p>
    <w:p w:rsidR="00000000" w:rsidRDefault="00000000">
      <w:pPr>
        <w:numPr>
          <w:ilvl w:val="0"/>
          <w:numId w:val="88"/>
        </w:numPr>
        <w:spacing w:after="240"/>
        <w:rPr>
          <w:iCs/>
          <w:color w:val="000000"/>
          <w:lang w:val="fr-FR"/>
        </w:rPr>
      </w:pPr>
      <w:r>
        <w:rPr>
          <w:iCs/>
          <w:color w:val="000000"/>
          <w:lang w:val="fr-FR"/>
        </w:rPr>
        <w:t>Autonomie de gestion.</w:t>
      </w:r>
    </w:p>
    <w:p w:rsidR="00000000" w:rsidRDefault="00000000">
      <w:pPr>
        <w:spacing w:after="240"/>
        <w:rPr>
          <w:iCs/>
          <w:color w:val="000000"/>
          <w:lang w:val="fr-FR"/>
        </w:rPr>
      </w:pPr>
      <w:r>
        <w:rPr>
          <w:iCs/>
          <w:color w:val="000000"/>
          <w:lang w:val="fr-FR"/>
        </w:rPr>
        <w:t>457.</w:t>
      </w:r>
      <w:r>
        <w:rPr>
          <w:iCs/>
          <w:color w:val="000000"/>
          <w:lang w:val="fr-FR"/>
        </w:rPr>
        <w:tab/>
        <w:t>Les actions ci-après ont été menées à bien au cours de la première année :</w:t>
      </w:r>
    </w:p>
    <w:p w:rsidR="00000000" w:rsidRDefault="00000000">
      <w:pPr>
        <w:numPr>
          <w:ilvl w:val="0"/>
          <w:numId w:val="90"/>
        </w:numPr>
        <w:spacing w:after="240"/>
        <w:rPr>
          <w:iCs/>
          <w:color w:val="000000"/>
          <w:lang w:val="fr-FR"/>
        </w:rPr>
      </w:pPr>
      <w:r>
        <w:rPr>
          <w:iCs/>
          <w:color w:val="000000"/>
          <w:lang w:val="fr-FR"/>
        </w:rPr>
        <w:t>Élaboration du Plan national de santé sur la base de plan locaux et provinciaux;</w:t>
      </w:r>
    </w:p>
    <w:p w:rsidR="00000000" w:rsidRDefault="00000000">
      <w:pPr>
        <w:numPr>
          <w:ilvl w:val="0"/>
          <w:numId w:val="90"/>
        </w:numPr>
        <w:spacing w:after="240"/>
        <w:rPr>
          <w:iCs/>
          <w:color w:val="000000"/>
          <w:lang w:val="fr-FR"/>
        </w:rPr>
      </w:pPr>
      <w:r>
        <w:rPr>
          <w:iCs/>
          <w:color w:val="000000"/>
          <w:lang w:val="fr-FR"/>
        </w:rPr>
        <w:t>Adoption du Décret exécutif habilitant le Ministère de la santé à établir des systèmes décentralisés de santé et des modèles de gestion autonome des services;</w:t>
      </w:r>
    </w:p>
    <w:p w:rsidR="00000000" w:rsidRDefault="00000000">
      <w:pPr>
        <w:numPr>
          <w:ilvl w:val="0"/>
          <w:numId w:val="90"/>
        </w:numPr>
        <w:spacing w:after="240"/>
        <w:rPr>
          <w:iCs/>
          <w:color w:val="000000"/>
          <w:lang w:val="fr-FR"/>
        </w:rPr>
      </w:pPr>
      <w:r>
        <w:rPr>
          <w:iCs/>
          <w:color w:val="000000"/>
          <w:lang w:val="fr-FR"/>
        </w:rPr>
        <w:t>Adoption de l'Accord du Ministère des finances et du crédit public sur le recouvrement des revenus provenant des contributions des usagers ayant la capacité de payer;</w:t>
      </w:r>
    </w:p>
    <w:p w:rsidR="00000000" w:rsidRDefault="00000000">
      <w:pPr>
        <w:numPr>
          <w:ilvl w:val="0"/>
          <w:numId w:val="90"/>
        </w:numPr>
        <w:spacing w:after="240"/>
        <w:rPr>
          <w:iCs/>
          <w:color w:val="000000"/>
          <w:lang w:val="fr-FR"/>
        </w:rPr>
      </w:pPr>
      <w:r>
        <w:rPr>
          <w:iCs/>
          <w:color w:val="000000"/>
          <w:lang w:val="fr-FR"/>
        </w:rPr>
        <w:t>Élaboration de critères pour l'offre de soins gratuits aux bénéficiaires du Fonds de solidarité et le recouvrement des contributions des usagers ayant la capacité de payer, suivant les catégories de la population;</w:t>
      </w:r>
    </w:p>
    <w:p w:rsidR="00000000" w:rsidRDefault="00000000">
      <w:pPr>
        <w:numPr>
          <w:ilvl w:val="0"/>
          <w:numId w:val="90"/>
        </w:numPr>
        <w:spacing w:after="240"/>
        <w:rPr>
          <w:iCs/>
          <w:color w:val="000000"/>
          <w:lang w:val="fr-FR"/>
        </w:rPr>
      </w:pPr>
      <w:r>
        <w:rPr>
          <w:iCs/>
          <w:color w:val="000000"/>
          <w:lang w:val="fr-FR"/>
        </w:rPr>
        <w:t>Adoption d'accords ministériels de déconcentration de la gestion des ressources humaines et des compétences juridiques, administratives et financières en faveur des directions provinciales, des entités locales, des hôpitaux et établissements de santé;</w:t>
      </w:r>
    </w:p>
    <w:p w:rsidR="00000000" w:rsidRDefault="00000000">
      <w:pPr>
        <w:numPr>
          <w:ilvl w:val="0"/>
          <w:numId w:val="90"/>
        </w:numPr>
        <w:spacing w:after="240"/>
        <w:rPr>
          <w:iCs/>
          <w:color w:val="000000"/>
          <w:lang w:val="fr-FR"/>
        </w:rPr>
      </w:pPr>
      <w:r>
        <w:rPr>
          <w:iCs/>
          <w:color w:val="000000"/>
          <w:lang w:val="fr-FR"/>
        </w:rPr>
        <w:t>Réforme de la structure organique de l'institution, afin de débureaucratiser les procédures et de transformer le Ministère ans une organisation flexible et efficace, tournée vers les résultats et la satisfaction des usagers internes et externes;</w:t>
      </w:r>
    </w:p>
    <w:p w:rsidR="00000000" w:rsidRDefault="00000000">
      <w:pPr>
        <w:numPr>
          <w:ilvl w:val="0"/>
          <w:numId w:val="90"/>
        </w:numPr>
        <w:spacing w:after="240"/>
        <w:rPr>
          <w:iCs/>
          <w:color w:val="000000"/>
          <w:lang w:val="fr-FR"/>
        </w:rPr>
      </w:pPr>
      <w:r>
        <w:rPr>
          <w:iCs/>
          <w:color w:val="000000"/>
          <w:lang w:val="fr-FR"/>
        </w:rPr>
        <w:t>Incitation à la formation de conseils locaux de santé et mise au point d'expériences pilotes d'organisation et de fonctionnement de systèmes décentralisés d'assurance de santé universelle.</w:t>
      </w:r>
    </w:p>
    <w:p w:rsidR="00000000" w:rsidRDefault="00000000">
      <w:pPr>
        <w:spacing w:after="240"/>
        <w:rPr>
          <w:iCs/>
          <w:color w:val="000000"/>
          <w:lang w:val="fr-FR"/>
        </w:rPr>
      </w:pPr>
      <w:r>
        <w:rPr>
          <w:i/>
          <w:iCs/>
          <w:color w:val="000000"/>
          <w:lang w:val="fr-FR"/>
        </w:rPr>
        <w:t>Situation des groupes vulnérables</w:t>
      </w:r>
    </w:p>
    <w:p w:rsidR="00000000" w:rsidRDefault="00000000">
      <w:pPr>
        <w:spacing w:after="240"/>
        <w:rPr>
          <w:iCs/>
          <w:color w:val="000000"/>
          <w:lang w:val="fr-FR"/>
        </w:rPr>
      </w:pPr>
      <w:r>
        <w:rPr>
          <w:iCs/>
          <w:color w:val="000000"/>
          <w:lang w:val="fr-FR"/>
        </w:rPr>
        <w:t>458.</w:t>
      </w:r>
      <w:r>
        <w:rPr>
          <w:iCs/>
          <w:color w:val="000000"/>
          <w:lang w:val="fr-FR"/>
        </w:rPr>
        <w:tab/>
        <w:t>L’Équateur est un pays en développement qui souffre de problèmes structurels non encore résolus, dont un des plus graves est la faiblesse des revenus de la population, qui empêche la grande majorité de cette population d'avoir accès aux services de base nécessaires à une qualité de vie simplement acceptable, et notamment aux services de santé.</w:t>
      </w:r>
    </w:p>
    <w:p w:rsidR="00000000" w:rsidRDefault="00000000">
      <w:pPr>
        <w:spacing w:after="240"/>
        <w:rPr>
          <w:iCs/>
          <w:color w:val="000000"/>
          <w:lang w:val="fr-FR"/>
        </w:rPr>
      </w:pPr>
      <w:r>
        <w:rPr>
          <w:iCs/>
          <w:color w:val="000000"/>
          <w:lang w:val="fr-FR"/>
        </w:rPr>
        <w:t>459.</w:t>
      </w:r>
      <w:r>
        <w:rPr>
          <w:iCs/>
          <w:color w:val="000000"/>
          <w:lang w:val="fr-FR"/>
        </w:rPr>
        <w:tab/>
        <w:t>La santé, qui est un droit fondamental pour tout être humain, est devenue en Équateur un privilège de minorités qui peuvent recourir aux services de santé privés.</w:t>
      </w:r>
    </w:p>
    <w:p w:rsidR="00000000" w:rsidRDefault="00000000">
      <w:pPr>
        <w:spacing w:after="240"/>
        <w:rPr>
          <w:iCs/>
          <w:color w:val="000000"/>
          <w:lang w:val="fr-FR"/>
        </w:rPr>
      </w:pPr>
      <w:r>
        <w:rPr>
          <w:iCs/>
          <w:color w:val="000000"/>
          <w:lang w:val="fr-FR"/>
        </w:rPr>
        <w:t>460.</w:t>
      </w:r>
      <w:r>
        <w:rPr>
          <w:iCs/>
          <w:color w:val="000000"/>
          <w:lang w:val="fr-FR"/>
        </w:rPr>
        <w:tab/>
        <w:t>Les personnes aux faibles ressources économiques ne peuvent accéder aux services de santé publics car, lorsqu'elles s'adressent à ces établissements publics pour obtenir des soins médicaux, il arrive que ces services ne disposent pas des équipements nécessaires pour offrir aux patients l'attention dont ils ont besoin, ou bien qu'ils soient fermés par les fréquents arrêts de travail et conflits sociaux auxquels participent les agents des services de santé; en outre, le coût élevé des médicaments les oblige à faire un choix entre se soigner, le faire à moitié ou ne pas le faire du tout.</w:t>
      </w:r>
    </w:p>
    <w:p w:rsidR="00000000" w:rsidRDefault="00000000">
      <w:pPr>
        <w:spacing w:after="240"/>
        <w:rPr>
          <w:iCs/>
          <w:color w:val="000000"/>
          <w:lang w:val="fr-FR"/>
        </w:rPr>
      </w:pPr>
      <w:r>
        <w:rPr>
          <w:iCs/>
          <w:color w:val="000000"/>
          <w:lang w:val="fr-FR"/>
        </w:rPr>
        <w:t>461.</w:t>
      </w:r>
      <w:r>
        <w:rPr>
          <w:iCs/>
          <w:color w:val="000000"/>
          <w:lang w:val="fr-FR"/>
        </w:rPr>
        <w:tab/>
        <w:t>Il y a inégalité dans les services de santé, et cela est devenu un problème social alarmant, bien que la Constitution en vigueur garantisse la santé pour tous les citoyens et que les gouvernements successifs proclament leur volonté de faire de la santé une priorité.</w:t>
      </w:r>
    </w:p>
    <w:p w:rsidR="00000000" w:rsidRDefault="00000000">
      <w:pPr>
        <w:spacing w:after="240"/>
        <w:rPr>
          <w:iCs/>
          <w:color w:val="000000"/>
          <w:lang w:val="fr-FR"/>
        </w:rPr>
      </w:pPr>
      <w:r>
        <w:rPr>
          <w:iCs/>
          <w:color w:val="000000"/>
          <w:lang w:val="fr-FR"/>
        </w:rPr>
        <w:t>462.</w:t>
      </w:r>
      <w:r>
        <w:rPr>
          <w:iCs/>
          <w:color w:val="000000"/>
          <w:lang w:val="fr-FR"/>
        </w:rPr>
        <w:tab/>
        <w:t>Il apparaît aussi que le développement industriel lui-même et l'absence de prise de conscience des préoccupations écologiques ont conduit à négliger la protection de l'environnement, ce qui a eu pour effet de faire apparaître des maladies associées à la pollution et aux intoxications chroniques qui favorisent la contamination des aliments et des ressources en eau.  On commence, dans les services de soins primaires, à ressentir les effets de l'absence de ressources nécessaire pour maintenir les couvertures de santé antérieures, ainsi que ceux de la dégradation manifeste des services de santé résultant de l'insuffisance des équipements de base et de la motivation d'un personnel mal rémunéré.</w:t>
      </w:r>
    </w:p>
    <w:p w:rsidR="00000000" w:rsidRDefault="00000000">
      <w:pPr>
        <w:spacing w:after="240"/>
        <w:rPr>
          <w:iCs/>
          <w:color w:val="000000"/>
          <w:lang w:val="fr-FR"/>
        </w:rPr>
      </w:pPr>
      <w:r>
        <w:rPr>
          <w:i/>
          <w:iCs/>
          <w:color w:val="000000"/>
          <w:lang w:val="fr-FR"/>
        </w:rPr>
        <w:t>Personnes âgées</w:t>
      </w:r>
    </w:p>
    <w:p w:rsidR="00000000" w:rsidRDefault="00000000">
      <w:pPr>
        <w:spacing w:after="240"/>
        <w:rPr>
          <w:iCs/>
          <w:color w:val="000000"/>
          <w:lang w:val="fr-FR"/>
        </w:rPr>
      </w:pPr>
      <w:r>
        <w:rPr>
          <w:iCs/>
          <w:color w:val="000000"/>
          <w:lang w:val="fr-FR"/>
        </w:rPr>
        <w:t>463.</w:t>
      </w:r>
      <w:r>
        <w:rPr>
          <w:iCs/>
          <w:color w:val="000000"/>
          <w:lang w:val="fr-FR"/>
        </w:rPr>
        <w:tab/>
        <w:t>La Constitution de l’Équateur, dont les dispositions régissent l'ordre juridique, détermine la forme de gouvernement conformément à la volonté et aux besoins du peuple et prévoit des normes de protection qui se traduisent en droits et en garanties assurés, sans distinction d'âge, à tous les Équatoriens..  La Loi spéciale relative aux personnes âgées, adoptée par Décret N° 130 du 17 octobre 1991 (</w:t>
      </w:r>
      <w:r>
        <w:rPr>
          <w:i/>
          <w:iCs/>
          <w:color w:val="000000"/>
          <w:lang w:val="fr-FR"/>
        </w:rPr>
        <w:t>Journal officiel</w:t>
      </w:r>
      <w:r>
        <w:rPr>
          <w:iCs/>
          <w:color w:val="000000"/>
          <w:lang w:val="fr-FR"/>
        </w:rPr>
        <w:t xml:space="preserve"> N° 806 du 6 novembre 1991) constitue une norme à caractère obligatoire et permanent qui traite spécialement de toutes les personnes âgées de plus de soixante-cinq ans, protégeant leurs droits économiques, sociaux et juridiques et leur droit au bénéfice intégral de services d'assistance médicale.</w:t>
      </w:r>
    </w:p>
    <w:p w:rsidR="00000000" w:rsidRDefault="00000000">
      <w:pPr>
        <w:spacing w:after="240"/>
        <w:rPr>
          <w:iCs/>
          <w:color w:val="000000"/>
          <w:lang w:val="fr-FR"/>
        </w:rPr>
      </w:pPr>
      <w:r>
        <w:rPr>
          <w:iCs/>
          <w:color w:val="000000"/>
          <w:lang w:val="fr-FR"/>
        </w:rPr>
        <w:t>464.</w:t>
      </w:r>
      <w:r>
        <w:rPr>
          <w:iCs/>
          <w:color w:val="000000"/>
          <w:lang w:val="fr-FR"/>
        </w:rPr>
        <w:tab/>
        <w:t>L'article 3 de la Loi relative aux personnes âgées autorise les institutions qui s'occupent de la protection et des soins en faveur des personnes âgées à importer des médicaments, hors taxes et en franchise de droits de douane, sous réserve d'une autorisation préalable du Ministère de la protection sociale.  La crise sociale et économique affecte profondément les personnes du troisième âge qui ont à faire face à toutes sortes de problèmes liés à la marginalité et la négligence.  Il y a dans le pays des lois qui, officiellement, accordent un traitement privilégié à cette catégorie de la population, mais, dans la pratique, tout autre est la réalité que vivent ces personnes confrontées à la pauvreté.  Les personnes âgées constituent un des groupes les plus vulnérables et les moins protégés de la société, percevant des revenus, allocations et pensions de misère qui ne leur permettent pas de vivre décemment et ni d’améliorer leurs conditions de vie.</w:t>
      </w:r>
    </w:p>
    <w:p w:rsidR="00000000" w:rsidRDefault="00000000">
      <w:pPr>
        <w:keepNext/>
        <w:spacing w:after="240"/>
        <w:rPr>
          <w:iCs/>
          <w:color w:val="000000"/>
          <w:lang w:val="fr-FR"/>
        </w:rPr>
      </w:pPr>
      <w:r>
        <w:rPr>
          <w:i/>
          <w:iCs/>
          <w:color w:val="000000"/>
          <w:lang w:val="fr-FR"/>
        </w:rPr>
        <w:t>Soins primaires de santé</w:t>
      </w:r>
    </w:p>
    <w:p w:rsidR="00000000" w:rsidRDefault="00000000">
      <w:pPr>
        <w:keepNext/>
        <w:spacing w:after="240"/>
        <w:rPr>
          <w:iCs/>
          <w:color w:val="000000"/>
          <w:lang w:val="fr-FR"/>
        </w:rPr>
      </w:pPr>
      <w:r>
        <w:rPr>
          <w:iCs/>
          <w:color w:val="000000"/>
          <w:lang w:val="fr-FR"/>
        </w:rPr>
        <w:t>465.</w:t>
      </w:r>
      <w:r>
        <w:rPr>
          <w:iCs/>
          <w:color w:val="000000"/>
          <w:lang w:val="fr-FR"/>
        </w:rPr>
        <w:tab/>
        <w:t>C'est dans ce contexte qu'on s'efforce de tenir compte de l'importance que revêt l'action des différents secteurs sociaux et économiques dans la mise en place de conditions favorables à la santé et à la vie, qu'il est possible, à partir du secteur de la santé, de promouvoir et de concrétiser, avec l'appui d'autres secteurs de l’État, des communautés et de la coopération internationale.  Il faut pour cela établir des mécanismes de financement auxquels participent ces divers secteurs sociaux et économiques en vue de compléter et d'optimiser les efforts et les ressources nécessaires pour améliorer des conditions de santé et de vie de la population.</w:t>
      </w:r>
    </w:p>
    <w:p w:rsidR="00000000" w:rsidRDefault="00000000">
      <w:pPr>
        <w:spacing w:after="240"/>
        <w:rPr>
          <w:iCs/>
          <w:color w:val="000000"/>
          <w:lang w:val="fr-FR"/>
        </w:rPr>
      </w:pPr>
      <w:r>
        <w:rPr>
          <w:iCs/>
          <w:color w:val="000000"/>
          <w:lang w:val="fr-FR"/>
        </w:rPr>
        <w:t>466.</w:t>
      </w:r>
      <w:r>
        <w:rPr>
          <w:iCs/>
          <w:color w:val="000000"/>
          <w:lang w:val="fr-FR"/>
        </w:rPr>
        <w:tab/>
        <w:t>À cet effet, le Ministère de la santé envisage les politiques suivantes :</w:t>
      </w:r>
    </w:p>
    <w:p w:rsidR="00000000" w:rsidRDefault="00000000">
      <w:pPr>
        <w:numPr>
          <w:ilvl w:val="0"/>
          <w:numId w:val="92"/>
        </w:numPr>
        <w:spacing w:after="210"/>
        <w:rPr>
          <w:iCs/>
          <w:color w:val="000000"/>
          <w:lang w:val="fr-FR"/>
        </w:rPr>
      </w:pPr>
      <w:r>
        <w:rPr>
          <w:iCs/>
          <w:color w:val="000000"/>
          <w:lang w:val="fr-FR"/>
        </w:rPr>
        <w:t>Élaborer une stratégie de promotion de la santé et des programmes d'information, d'éducation, de communication et de mobilisation sociale dans le domaine de la santé pour encourager les habitudes saines, décourager les comportements nocifs, promouvoir la prise en charge autonome et la co-responsabilité des soins de santé au niveau familial et communautaire.</w:t>
      </w:r>
    </w:p>
    <w:p w:rsidR="00000000" w:rsidRDefault="00000000">
      <w:pPr>
        <w:numPr>
          <w:ilvl w:val="0"/>
          <w:numId w:val="92"/>
        </w:numPr>
        <w:spacing w:after="210"/>
        <w:rPr>
          <w:iCs/>
          <w:color w:val="000000"/>
          <w:lang w:val="fr-FR"/>
        </w:rPr>
      </w:pPr>
      <w:r>
        <w:rPr>
          <w:iCs/>
          <w:color w:val="000000"/>
          <w:lang w:val="fr-FR"/>
        </w:rPr>
        <w:t>Promouvoir, préserver et développer les conditions propices à un environnement physique, professionnel et social sain par la promulgation de normes concernant l'exploitation rationnelle (sans effet préjudiciable sur l'environnement et les personnes) des ressources naturelles.  Une attention particulière sera accordée à l'approvisionnement en eau salubre et aux autres mesures relatives à l'instauration d'une infrastructure sanitaire de base dans les zones urbaines et rurales qui en sont dépourvues.</w:t>
      </w:r>
    </w:p>
    <w:p w:rsidR="00000000" w:rsidRDefault="00000000">
      <w:pPr>
        <w:numPr>
          <w:ilvl w:val="0"/>
          <w:numId w:val="92"/>
        </w:numPr>
        <w:spacing w:after="210"/>
        <w:rPr>
          <w:iCs/>
          <w:color w:val="000000"/>
          <w:lang w:val="fr-FR"/>
        </w:rPr>
      </w:pPr>
      <w:r>
        <w:rPr>
          <w:iCs/>
          <w:color w:val="000000"/>
          <w:lang w:val="fr-FR"/>
        </w:rPr>
        <w:t>Mettre en oeuvre des mesures de lutte contre la malnutrition infantile, notamment la promotion de l'allaitement maternel, et élaborer pour l'ensemble de la population une stratégie de sécurité alimentaire offrant des garanties aux groupes biologiquement et socialement les plus vulnérables.</w:t>
      </w:r>
    </w:p>
    <w:p w:rsidR="00000000" w:rsidRDefault="00000000">
      <w:pPr>
        <w:numPr>
          <w:ilvl w:val="0"/>
          <w:numId w:val="92"/>
        </w:numPr>
        <w:spacing w:after="210"/>
        <w:rPr>
          <w:iCs/>
          <w:color w:val="000000"/>
          <w:lang w:val="fr-FR"/>
        </w:rPr>
      </w:pPr>
      <w:r>
        <w:rPr>
          <w:iCs/>
          <w:color w:val="000000"/>
          <w:lang w:val="fr-FR"/>
        </w:rPr>
        <w:t>Promouvoir la participation sociale à la santé et le contrôle citoyen au niveau local, de façon à permettre l'exercice des droits à l'information, à la revendication et à des soins décents.</w:t>
      </w:r>
    </w:p>
    <w:p w:rsidR="00000000" w:rsidRDefault="00000000">
      <w:pPr>
        <w:numPr>
          <w:ilvl w:val="0"/>
          <w:numId w:val="92"/>
        </w:numPr>
        <w:spacing w:after="210"/>
        <w:rPr>
          <w:iCs/>
          <w:color w:val="000000"/>
          <w:lang w:val="fr-FR"/>
        </w:rPr>
      </w:pPr>
      <w:r>
        <w:rPr>
          <w:iCs/>
          <w:color w:val="000000"/>
          <w:lang w:val="fr-FR"/>
        </w:rPr>
        <w:t>Définir des actions de prévention, de contrôle et de surveillance des maladies et risques biologiques, professionnels et psychosociaux qui affectent la santé de groupes spécifiques de la population.</w:t>
      </w:r>
    </w:p>
    <w:p w:rsidR="00000000" w:rsidRDefault="00000000">
      <w:pPr>
        <w:numPr>
          <w:ilvl w:val="0"/>
          <w:numId w:val="92"/>
        </w:numPr>
        <w:spacing w:after="210"/>
        <w:rPr>
          <w:iCs/>
          <w:color w:val="000000"/>
          <w:lang w:val="fr-FR"/>
        </w:rPr>
      </w:pPr>
      <w:r>
        <w:rPr>
          <w:iCs/>
          <w:color w:val="000000"/>
          <w:lang w:val="fr-FR"/>
        </w:rPr>
        <w:t>Exécuter le plan national en vigueur en matière de population, y compris en ce qui concerne l’hygiène sexuelle et la santé génésique et la planification de la famille.</w:t>
      </w:r>
    </w:p>
    <w:p w:rsidR="00000000" w:rsidRDefault="00000000">
      <w:pPr>
        <w:numPr>
          <w:ilvl w:val="0"/>
          <w:numId w:val="92"/>
        </w:numPr>
        <w:spacing w:after="210"/>
        <w:rPr>
          <w:iCs/>
          <w:color w:val="000000"/>
          <w:lang w:val="fr-FR"/>
        </w:rPr>
      </w:pPr>
      <w:r>
        <w:rPr>
          <w:iCs/>
          <w:color w:val="000000"/>
          <w:lang w:val="fr-FR"/>
        </w:rPr>
        <w:t>Réglementer les prix et la qualité des médicaments, des fournitures et du matériel médical et des diverses technologies en matière de santé.</w:t>
      </w:r>
    </w:p>
    <w:p w:rsidR="00000000" w:rsidRDefault="00000000">
      <w:pPr>
        <w:numPr>
          <w:ilvl w:val="0"/>
          <w:numId w:val="92"/>
        </w:numPr>
        <w:spacing w:after="240"/>
        <w:rPr>
          <w:iCs/>
          <w:color w:val="000000"/>
          <w:lang w:val="fr-FR"/>
        </w:rPr>
      </w:pPr>
      <w:r>
        <w:rPr>
          <w:iCs/>
          <w:color w:val="000000"/>
          <w:lang w:val="fr-FR"/>
        </w:rPr>
        <w:t>Formuler et articuler des mesures publiques appropriées en faveur de la santé de la communauté</w:t>
      </w:r>
      <w:r>
        <w:rPr>
          <w:rStyle w:val="FootnoteReference"/>
          <w:b/>
          <w:iCs/>
          <w:color w:val="000000"/>
          <w:lang w:val="fr-FR"/>
        </w:rPr>
        <w:footnoteReference w:id="64"/>
      </w:r>
      <w:r>
        <w:rPr>
          <w:iCs/>
          <w:color w:val="000000"/>
          <w:lang w:val="fr-FR"/>
        </w:rPr>
        <w:t>.</w:t>
      </w:r>
    </w:p>
    <w:p w:rsidR="00000000" w:rsidRDefault="00000000">
      <w:pPr>
        <w:spacing w:after="240"/>
        <w:rPr>
          <w:lang w:val="fr-FR"/>
        </w:rPr>
      </w:pPr>
      <w:r>
        <w:rPr>
          <w:lang w:val="fr-FR"/>
        </w:rPr>
        <w:t>467.</w:t>
      </w:r>
      <w:r>
        <w:rPr>
          <w:lang w:val="fr-FR"/>
        </w:rPr>
        <w:tab/>
        <w:t>Tout cela en considérant que les actions de santé publique nécessitent des analyses décena base des catégories biologiques traditionnelles de sexe et d'âge, mais aussi à partir des catégories sociales à plus grande capacité explicative définie en fonction des conditions de vie</w:t>
      </w:r>
      <w:r>
        <w:rPr>
          <w:rStyle w:val="FootnoteReference"/>
          <w:b/>
          <w:lang w:val="fr-FR"/>
        </w:rPr>
        <w:footnoteReference w:id="65"/>
      </w:r>
      <w:r>
        <w:rPr>
          <w:lang w:val="fr-FR"/>
        </w:rPr>
        <w:t>.  Il s'agit là de la méthodologie la plus importante adoptée au cours des quinze dernières années par le Ministère de la santé; elle a permis une organisation territoriale des soins de santé en "zones de santé", dont les progrès ont été facilités par le projet FASBASE (le Ministère est chargé de ce projet depuis 1992). Ce processus, qui a été en grande partie un processus de déconcentration et limité aux services de santé du Ministère, a certes montré les avantages que présente la gestion locale participative pour une utilisation plus équitable et plus efficace des ressources rares disponibles.  Toutefois, les perspectives créées par la nouvelle Loi de décentralisation et de participation sociale et le cadre constitutionnel en la matière ont accéléré les initiatives de gestion décentralisée des services, en se fondant sur le rôle actif des municipalités, dont beaucoup, seules ou en association, ont la possibilité de participer aux activités de promotion et de soins de santé en faveur de la population placée sous leur juridiction, grâce à des accords de transfert de responsabilités et des compétences de la part du gouvernement central, sous la direction, au niveau sectoriel, du Ministère de la santé.  De plus, le nouveau projet de modernisation des services de santé (MODERSA) du Ministère de la santé, qui dispose d'un financement de la Banque mondiale, vise à créer un système décentralisé de couverture universelle, avec la participation des divers acteurs institutionnels du secteur de la santé, par la formation de réseaux pluriels de soins et l’application de systèmes de gestion et de financement locaux, dans le cadre desquels la municipalité a l’importante mission d'intégrer les préoccupations de santé à ses plans de développement local.</w:t>
      </w:r>
    </w:p>
    <w:p w:rsidR="00000000" w:rsidRDefault="00000000">
      <w:pPr>
        <w:spacing w:after="240"/>
        <w:rPr>
          <w:lang w:val="fr-FR"/>
        </w:rPr>
      </w:pPr>
      <w:r>
        <w:rPr>
          <w:lang w:val="fr-FR"/>
        </w:rPr>
        <w:t>468.</w:t>
      </w:r>
      <w:r>
        <w:rPr>
          <w:lang w:val="fr-FR"/>
        </w:rPr>
        <w:tab/>
        <w:t>En résumé, la déconcentration et la décentralisation sont un des éléments clés de la réforme du secteur de la santé, dont le succès permettra de mettre au point de nouveaux modèles de gestion pour améliorer la capacité des services de satisfaire les besoins prioritaires de la population et construire un système national de santé solide, dynamique et flexible, sur la base des systèmes de santé de canton et de province qui seront mis en place sur le territoire national</w:t>
      </w:r>
      <w:r>
        <w:rPr>
          <w:rStyle w:val="FootnoteReference"/>
          <w:b/>
          <w:lang w:val="fr-FR"/>
        </w:rPr>
        <w:footnoteReference w:id="66"/>
      </w:r>
      <w:r>
        <w:rPr>
          <w:lang w:val="fr-FR"/>
        </w:rPr>
        <w:t>.</w:t>
      </w:r>
    </w:p>
    <w:p w:rsidR="00000000" w:rsidRDefault="00000000">
      <w:pPr>
        <w:spacing w:after="240"/>
        <w:rPr>
          <w:lang w:val="fr-FR"/>
        </w:rPr>
      </w:pPr>
      <w:r>
        <w:rPr>
          <w:b/>
          <w:lang w:val="fr-FR"/>
        </w:rPr>
        <w:t>Éducation et santé</w:t>
      </w:r>
    </w:p>
    <w:p w:rsidR="00000000" w:rsidRDefault="00000000">
      <w:pPr>
        <w:spacing w:after="240"/>
        <w:rPr>
          <w:lang w:val="fr-FR"/>
        </w:rPr>
      </w:pPr>
      <w:r>
        <w:rPr>
          <w:lang w:val="fr-FR"/>
        </w:rPr>
        <w:t>469.</w:t>
      </w:r>
      <w:r>
        <w:rPr>
          <w:lang w:val="fr-FR"/>
        </w:rPr>
        <w:tab/>
        <w:t>Les programmes de santé englobent la promotion et la protection de la santé, la prévention des maladies, leur traitement et la réhabilitation.</w:t>
      </w:r>
    </w:p>
    <w:p w:rsidR="00000000" w:rsidRDefault="00000000">
      <w:pPr>
        <w:spacing w:after="240"/>
        <w:rPr>
          <w:lang w:val="fr-FR"/>
        </w:rPr>
      </w:pPr>
      <w:r>
        <w:rPr>
          <w:lang w:val="fr-FR"/>
        </w:rPr>
        <w:t>470.</w:t>
      </w:r>
      <w:r>
        <w:rPr>
          <w:lang w:val="fr-FR"/>
        </w:rPr>
        <w:tab/>
        <w:t>Le développement des activités de promotion et de protection de la santé (ainsi que leur gestion par les services de santé) se fonde sur une participation active des citoyens, qui peut être obtenue à partir de comités et d'instances représentatives, au niveau tant national que provincial et local, dont la constitution sera encouragée.  Dans ce contexte, un appui sera apporté à l'organisation et à la mise en oeuvre d'activités visant à la constitution, entre autres, d'écoles, collège et municipalités salubres, ainsi qu'au développement d'une culture citoyenne de la santé, avec des interventions de caractère sectoriel.</w:t>
      </w:r>
    </w:p>
    <w:p w:rsidR="00000000" w:rsidRDefault="00000000">
      <w:pPr>
        <w:spacing w:after="240"/>
        <w:rPr>
          <w:lang w:val="fr-FR"/>
        </w:rPr>
      </w:pPr>
      <w:r>
        <w:rPr>
          <w:lang w:val="fr-FR"/>
        </w:rPr>
        <w:t>471.</w:t>
      </w:r>
      <w:r>
        <w:rPr>
          <w:lang w:val="fr-FR"/>
        </w:rPr>
        <w:tab/>
        <w:t>À cela s'ajoutent aussi des actions d'information, d'éducation et de communication visant à encourager l'adoption d'habitudes et de comportements sains (alimentation appropriée et pratiques hygiénique, par exemple) et à éviter les habitudes et comportements nocifs (tabagisme, sédentarité, par exemple).</w:t>
      </w:r>
    </w:p>
    <w:p w:rsidR="00000000" w:rsidRDefault="00000000">
      <w:pPr>
        <w:spacing w:after="240"/>
        <w:rPr>
          <w:lang w:val="fr-FR"/>
        </w:rPr>
      </w:pPr>
      <w:r>
        <w:rPr>
          <w:lang w:val="fr-FR"/>
        </w:rPr>
        <w:t>472.</w:t>
      </w:r>
      <w:r>
        <w:rPr>
          <w:lang w:val="fr-FR"/>
        </w:rPr>
        <w:tab/>
        <w:t>Divers programmes ont été mis en oeuvre :</w:t>
      </w:r>
    </w:p>
    <w:p w:rsidR="00000000" w:rsidRDefault="00000000">
      <w:pPr>
        <w:numPr>
          <w:ilvl w:val="0"/>
          <w:numId w:val="94"/>
        </w:numPr>
        <w:spacing w:after="240"/>
        <w:rPr>
          <w:lang w:val="fr-FR"/>
        </w:rPr>
      </w:pPr>
      <w:r>
        <w:rPr>
          <w:lang w:val="fr-FR"/>
        </w:rPr>
        <w:t>Programme pour l'alimentation et la nutrition (PANN 2000), qui offre un complément nutritionnel aux enfants de moins de deux ans (souffrant de malnutrition ou exposés au risque de malnutrition) et aux mères enceintes à risque.</w:t>
      </w:r>
    </w:p>
    <w:p w:rsidR="00000000" w:rsidRDefault="00000000">
      <w:pPr>
        <w:numPr>
          <w:ilvl w:val="0"/>
          <w:numId w:val="94"/>
        </w:numPr>
        <w:spacing w:after="240"/>
        <w:rPr>
          <w:lang w:val="fr-FR"/>
        </w:rPr>
      </w:pPr>
      <w:r>
        <w:rPr>
          <w:lang w:val="fr-FR"/>
        </w:rPr>
        <w:t>Renforcement du Système de surveillance alimentaire nationale (SISVAN) par le biais de l'automatisation et d'un appui logistique pour améliorer le suivi et l'évaluation des activités.</w:t>
      </w:r>
    </w:p>
    <w:p w:rsidR="00000000" w:rsidRDefault="00000000">
      <w:pPr>
        <w:numPr>
          <w:ilvl w:val="0"/>
          <w:numId w:val="94"/>
        </w:numPr>
        <w:spacing w:after="240"/>
        <w:rPr>
          <w:lang w:val="fr-FR"/>
        </w:rPr>
      </w:pPr>
      <w:r>
        <w:rPr>
          <w:lang w:val="fr-FR"/>
        </w:rPr>
        <w:t>Programme d'alimentation complémentaire, comportant la distribution au niveau national de rations alimentaires aux enfants atteints de malnutrition modérée et grave, ainsi qu'aux mères enceintes de poids insuffisant.  Il est prévu d'élargir progressivement la couverture de ce programme dans le cadre de la coopération interinstitutionnelle (ORI, INNFA, Ministère de l'éducation et CARE).</w:t>
      </w:r>
    </w:p>
    <w:p w:rsidR="00000000" w:rsidRDefault="00000000">
      <w:pPr>
        <w:numPr>
          <w:ilvl w:val="0"/>
          <w:numId w:val="94"/>
        </w:numPr>
        <w:spacing w:after="240"/>
        <w:rPr>
          <w:lang w:val="fr-FR"/>
        </w:rPr>
      </w:pPr>
      <w:r>
        <w:rPr>
          <w:lang w:val="fr-FR"/>
        </w:rPr>
        <w:t>Programme intégré de micronutriments, qui consiste à fournir des compléments en micronutriments, fer et vitamine A, et qui s'adresse aux mères enceintes et aux enfants de moins d'un an.  Il a une couverture nationale et est exécuté par l'intermédiaire de tous les services opérationnels du pays, avec l'appui du Ministère de la santé et la coopération internationale; il comprend l'enrichissement des aliments de grande consommation, de la farine avec du fer, de l'acide folique, des vitamines du complexe B et de la niacine, et l'ajout de fluor et d’iode au sel.</w:t>
      </w:r>
    </w:p>
    <w:p w:rsidR="00000000" w:rsidRDefault="00000000">
      <w:pPr>
        <w:numPr>
          <w:ilvl w:val="0"/>
          <w:numId w:val="94"/>
        </w:numPr>
        <w:spacing w:after="240"/>
        <w:rPr>
          <w:lang w:val="fr-FR"/>
        </w:rPr>
      </w:pPr>
      <w:r>
        <w:rPr>
          <w:lang w:val="fr-FR"/>
        </w:rPr>
        <w:t>Programme d'éducation alimentaire.  Tous les programmes susmentionnés comportent un élément d'information, d’éducation et de communication nutritionnelles visant à assurer une meilleure utilisation des aliments disponibles localement, l'adoption de pratiques favorisant une alimentation et nutrition adéquates et l'élimination des comportements nocifs, avec la mise au point et l'utilisation d'instruments tels que les guides alimentaires, les radios amies, et les bonnes pratiques d'achat et les méthodes éducatives novatrices, telles que les services consultatifs nutritionnels.</w:t>
      </w:r>
    </w:p>
    <w:p w:rsidR="00000000" w:rsidRDefault="00000000">
      <w:pPr>
        <w:numPr>
          <w:ilvl w:val="0"/>
          <w:numId w:val="94"/>
        </w:numPr>
        <w:spacing w:after="240"/>
        <w:rPr>
          <w:lang w:val="fr-FR"/>
        </w:rPr>
      </w:pPr>
      <w:r>
        <w:rPr>
          <w:lang w:val="fr-FR"/>
        </w:rPr>
        <w:t>Programme de soins infantiles.  Il s'agit de fournir des soins intégrés pour les maladies courantes de l'enfance, d'assurer le contrôle de la croissance et du développement des enfants en vue de la détection précoce de la malnutrition ou du risque de malnutrition, ainsi que des problèmes de développement psychomoteur.</w:t>
      </w:r>
    </w:p>
    <w:p w:rsidR="00000000" w:rsidRDefault="00000000">
      <w:pPr>
        <w:numPr>
          <w:ilvl w:val="0"/>
          <w:numId w:val="94"/>
        </w:numPr>
        <w:spacing w:after="240"/>
        <w:rPr>
          <w:lang w:val="fr-FR"/>
        </w:rPr>
      </w:pPr>
      <w:r>
        <w:rPr>
          <w:lang w:val="fr-FR"/>
        </w:rPr>
        <w:t>Prévention et contrôle des maladies à forte prévalence, en particulier des maladie respiratoires et intestinales.</w:t>
      </w:r>
    </w:p>
    <w:p w:rsidR="00000000" w:rsidRDefault="00000000">
      <w:pPr>
        <w:numPr>
          <w:ilvl w:val="0"/>
          <w:numId w:val="94"/>
        </w:numPr>
        <w:spacing w:after="240"/>
        <w:rPr>
          <w:lang w:val="fr-FR"/>
        </w:rPr>
      </w:pPr>
      <w:r>
        <w:rPr>
          <w:lang w:val="fr-FR"/>
        </w:rPr>
        <w:t>Programme élargi d'immunisation, avec le maintien des couvertures utiles des vaccins existants et l’introduction progressive de nouveaux vaccins contre des maladies telles que la rougeole, les oreillons, l'hépatite B et la méningite; et le rappel des vaccins antitétaniques parmi les femmes en âge de procréer et contre la fièvre jaune dans les zones à risque.</w:t>
      </w:r>
    </w:p>
    <w:p w:rsidR="00000000" w:rsidRDefault="00000000">
      <w:pPr>
        <w:numPr>
          <w:ilvl w:val="0"/>
          <w:numId w:val="94"/>
        </w:numPr>
        <w:spacing w:after="240"/>
        <w:rPr>
          <w:lang w:val="fr-FR"/>
        </w:rPr>
      </w:pPr>
      <w:r>
        <w:rPr>
          <w:lang w:val="fr-FR"/>
        </w:rPr>
        <w:t>Programme de soins scolaires, qui vise à exécuter des activités dans le cadre de visites périodiques dans les établissements scolaires, avec notamment le déplacement d'unités mobiles en coordination avec le Ministère de l'éducation.</w:t>
      </w:r>
    </w:p>
    <w:p w:rsidR="00000000" w:rsidRDefault="00000000">
      <w:pPr>
        <w:numPr>
          <w:ilvl w:val="0"/>
          <w:numId w:val="94"/>
        </w:numPr>
        <w:spacing w:after="240"/>
        <w:rPr>
          <w:lang w:val="fr-FR"/>
        </w:rPr>
      </w:pPr>
      <w:r>
        <w:rPr>
          <w:lang w:val="fr-FR"/>
        </w:rPr>
        <w:t>Contrôles préventifs et curatifs, soin des troubles visuels et auditifs; soins de santé buccale avec composantes éducatives, administration de fluor et contrôles préventif et curatifs.</w:t>
      </w:r>
    </w:p>
    <w:p w:rsidR="00000000" w:rsidRDefault="00000000">
      <w:pPr>
        <w:numPr>
          <w:ilvl w:val="0"/>
          <w:numId w:val="94"/>
        </w:numPr>
        <w:spacing w:after="240"/>
        <w:rPr>
          <w:lang w:val="fr-FR"/>
        </w:rPr>
      </w:pPr>
      <w:r>
        <w:rPr>
          <w:lang w:val="fr-FR"/>
        </w:rPr>
        <w:t>Santé mentale, diagnostic et traitement précoces des difficultés d'apprentissage.</w:t>
      </w:r>
    </w:p>
    <w:p w:rsidR="00000000" w:rsidRDefault="00000000">
      <w:pPr>
        <w:numPr>
          <w:ilvl w:val="0"/>
          <w:numId w:val="94"/>
        </w:numPr>
        <w:spacing w:after="240"/>
        <w:rPr>
          <w:lang w:val="fr-FR"/>
        </w:rPr>
      </w:pPr>
      <w:r>
        <w:rPr>
          <w:lang w:val="fr-FR"/>
        </w:rPr>
        <w:t>Éradication de la parasitose intestinale.</w:t>
      </w:r>
    </w:p>
    <w:p w:rsidR="00000000" w:rsidRDefault="00000000">
      <w:pPr>
        <w:spacing w:after="240"/>
        <w:rPr>
          <w:lang w:val="fr-FR"/>
        </w:rPr>
      </w:pPr>
      <w:r>
        <w:rPr>
          <w:i/>
          <w:lang w:val="fr-FR"/>
        </w:rPr>
        <w:t>Programmes d’hygiène sexuelle et de santé génésique</w:t>
      </w:r>
    </w:p>
    <w:p w:rsidR="00000000" w:rsidRDefault="00000000">
      <w:pPr>
        <w:spacing w:after="240"/>
        <w:rPr>
          <w:lang w:val="fr-FR"/>
        </w:rPr>
      </w:pPr>
      <w:r>
        <w:rPr>
          <w:lang w:val="fr-FR"/>
        </w:rPr>
        <w:t>473.</w:t>
      </w:r>
      <w:r>
        <w:rPr>
          <w:lang w:val="fr-FR"/>
        </w:rPr>
        <w:tab/>
        <w:t>Programme Maternité et santé.  Ce programme comprend : soins de santé prénatale et postnatale et accroissement et intensification de leur couverture ; éducation nutritionnelle pendant la grossesse et promotion de l'allaitement maternel; promotion de l'accouchement en établissement, priorité étant accordée aux femmes rurales, pour assurer la détection précoce des risques et le transport en temps opportun vers les services de soins obstétriques et chirurgicaux dotés de personnel qualifié et disposant d'un accès rapide aux banques de sang.</w:t>
      </w:r>
    </w:p>
    <w:p w:rsidR="00000000" w:rsidRDefault="00000000">
      <w:pPr>
        <w:spacing w:after="240"/>
        <w:rPr>
          <w:lang w:val="fr-FR"/>
        </w:rPr>
      </w:pPr>
      <w:r>
        <w:rPr>
          <w:lang w:val="fr-FR"/>
        </w:rPr>
        <w:t>474.</w:t>
      </w:r>
      <w:r>
        <w:rPr>
          <w:lang w:val="fr-FR"/>
        </w:rPr>
        <w:tab/>
        <w:t>Ces programmes portent aussi sur des aspects tels que les suivants : l’hébergement maternel en service de santé, l’application de la Loi de maternité gratuite, les actions de prévention et de traitement de la violence dans la famille, la planification de la famille, dans une perspective intégrée qui prenne en considération le couple de façon à favoriser la prise de décisions dûment informée, la prévention et le contrôle des maladies sexuellement transmissibles (l'accent étant mis sur les aspects éducatifs pour la prévention du VIH/SIDA), la prévention et le traitement des cancers de l'utérus, du sein et de la prostate, en encourageant des rapports institutionnels actifs avec SOLCA et ses services.</w:t>
      </w:r>
    </w:p>
    <w:p w:rsidR="00000000" w:rsidRDefault="00000000">
      <w:pPr>
        <w:spacing w:after="240"/>
        <w:rPr>
          <w:lang w:val="fr-FR"/>
        </w:rPr>
      </w:pPr>
      <w:r>
        <w:rPr>
          <w:lang w:val="fr-FR"/>
        </w:rPr>
        <w:t>475.</w:t>
      </w:r>
      <w:r>
        <w:rPr>
          <w:lang w:val="fr-FR"/>
        </w:rPr>
        <w:tab/>
        <w:t>Programme de soins complets en faveur des adolescents : prévention des grossesses précoces et soins requis en cas de grossesses, prévention et traitement des maladies sexuellement transmissibles, prévention de la toxicomanie, de l'alcoolisme et du tabagisme.</w:t>
      </w:r>
    </w:p>
    <w:p w:rsidR="00000000" w:rsidRDefault="00000000">
      <w:pPr>
        <w:spacing w:after="240"/>
        <w:rPr>
          <w:lang w:val="fr-FR"/>
        </w:rPr>
      </w:pPr>
      <w:r>
        <w:rPr>
          <w:lang w:val="fr-FR"/>
        </w:rPr>
        <w:t>476.</w:t>
      </w:r>
      <w:r>
        <w:rPr>
          <w:lang w:val="fr-FR"/>
        </w:rPr>
        <w:tab/>
        <w:t>Programme de soins pour les maladies transmissibles prévalentes :  prévention et traitement du paludisme et des autres maladies vectorielles, de la tuberculose, de la rage et des autres maladies présentant un intérêt épidémiologique au plan national.</w:t>
      </w:r>
    </w:p>
    <w:p w:rsidR="00000000" w:rsidRDefault="00000000">
      <w:pPr>
        <w:spacing w:after="240"/>
        <w:rPr>
          <w:lang w:val="fr-FR"/>
        </w:rPr>
      </w:pPr>
      <w:r>
        <w:rPr>
          <w:lang w:val="fr-FR"/>
        </w:rPr>
        <w:t>477.</w:t>
      </w:r>
      <w:r>
        <w:rPr>
          <w:lang w:val="fr-FR"/>
        </w:rPr>
        <w:tab/>
        <w:t>Programme de soins pour les maladies non transmissibles prévalentes :  prévention et traitement de l'hypertension artérielle et des maladies cardio-cérébro-vasculaires, du cancer, du diabète, des accidents de la circulation et de la violence, ainsi que des maladies mentales ayant une importance épidémiologique nationale.</w:t>
      </w:r>
    </w:p>
    <w:p w:rsidR="00000000" w:rsidRDefault="00000000">
      <w:pPr>
        <w:spacing w:after="240"/>
        <w:rPr>
          <w:lang w:val="fr-FR"/>
        </w:rPr>
      </w:pPr>
      <w:r>
        <w:rPr>
          <w:lang w:val="fr-FR"/>
        </w:rPr>
        <w:t>478.</w:t>
      </w:r>
      <w:r>
        <w:rPr>
          <w:lang w:val="fr-FR"/>
        </w:rPr>
        <w:tab/>
        <w:t>Soins aux handicapés et aux personnes âgées :  application de formes alternatives de soins complets aux personnes âgées, y compris les actions de prévention et d'encouragement à la vie productive, en coordination avec le Conseil national des handicapés; identification et certification des personnes handicapées aux fins de la détermination des droits</w:t>
      </w:r>
      <w:r>
        <w:rPr>
          <w:rStyle w:val="FootnoteReference"/>
          <w:b/>
          <w:lang w:val="fr-FR"/>
        </w:rPr>
        <w:footnoteReference w:id="67"/>
      </w:r>
      <w:r>
        <w:rPr>
          <w:lang w:val="fr-FR"/>
        </w:rPr>
        <w:t>.</w:t>
      </w:r>
    </w:p>
    <w:p w:rsidR="00000000" w:rsidRDefault="00000000">
      <w:pPr>
        <w:spacing w:after="240"/>
        <w:rPr>
          <w:lang w:val="fr-FR"/>
        </w:rPr>
      </w:pPr>
      <w:r>
        <w:rPr>
          <w:i/>
          <w:lang w:val="fr-FR"/>
        </w:rPr>
        <w:t>Assistance internationale</w:t>
      </w:r>
    </w:p>
    <w:p w:rsidR="00000000" w:rsidRDefault="00000000">
      <w:pPr>
        <w:spacing w:after="240"/>
        <w:rPr>
          <w:lang w:val="fr-FR"/>
        </w:rPr>
      </w:pPr>
      <w:r>
        <w:rPr>
          <w:lang w:val="fr-FR"/>
        </w:rPr>
        <w:t>479.</w:t>
      </w:r>
      <w:r>
        <w:rPr>
          <w:lang w:val="fr-FR"/>
        </w:rPr>
        <w:tab/>
        <w:t>Les programmes qu'exécute le Ministère de la santé sont financés en partie par des organismes d'assistance internationale.</w:t>
      </w:r>
    </w:p>
    <w:p w:rsidR="00000000" w:rsidRDefault="00000000">
      <w:pPr>
        <w:spacing w:after="240"/>
        <w:rPr>
          <w:lang w:val="fr-FR"/>
        </w:rPr>
      </w:pPr>
      <w:r>
        <w:rPr>
          <w:lang w:val="fr-FR"/>
        </w:rPr>
        <w:t>480.</w:t>
      </w:r>
      <w:r>
        <w:rPr>
          <w:lang w:val="fr-FR"/>
        </w:rPr>
        <w:tab/>
        <w:t>Le Ministère de la santé reçoit un appui d'organismes des Nations unies (PNUD, OPS/OMS, Unicef, PAM, FAO, etc.), chacun intervenant dans son domaine de compétence : L'UNICEF en particulier a élaboré des programmes de santé destinés à améliorer les soins en faveur de la mère et de l'enfant.  Des projets sont mis en oeuvre à des fins spécifiques en coordination avec d'autres programmes de développement : le Canada offre une assistance sous forme de denrées alimentaires qui sont "transformée en sucres", c'est-à-dire vendus pour collecter de la monnaie locale, le produit de ces opérations servant à financer un programme de lutte contre la tuberculose; La France est intervenue pour l'assistance au développement des zones de santé.</w:t>
      </w:r>
    </w:p>
    <w:p w:rsidR="00000000" w:rsidRDefault="00000000">
      <w:pPr>
        <w:spacing w:after="240"/>
        <w:rPr>
          <w:lang w:val="fr-FR"/>
        </w:rPr>
      </w:pPr>
      <w:r>
        <w:rPr>
          <w:b/>
          <w:lang w:val="fr-FR"/>
        </w:rPr>
        <w:t>Article 13</w:t>
      </w:r>
    </w:p>
    <w:p w:rsidR="00000000" w:rsidRDefault="00000000">
      <w:pPr>
        <w:spacing w:after="240"/>
        <w:rPr>
          <w:lang w:val="fr-FR"/>
        </w:rPr>
      </w:pPr>
      <w:r>
        <w:rPr>
          <w:b/>
          <w:lang w:val="fr-FR"/>
        </w:rPr>
        <w:t>Droit à l'éducation</w:t>
      </w:r>
    </w:p>
    <w:p w:rsidR="00000000" w:rsidRDefault="00000000">
      <w:pPr>
        <w:spacing w:after="240"/>
        <w:rPr>
          <w:lang w:val="fr-FR"/>
        </w:rPr>
      </w:pPr>
      <w:r>
        <w:rPr>
          <w:lang w:val="fr-FR"/>
        </w:rPr>
        <w:t>481.</w:t>
      </w:r>
      <w:r>
        <w:rPr>
          <w:lang w:val="fr-FR"/>
        </w:rPr>
        <w:tab/>
        <w:t>La Constitution de l’Équateur, dans son article 23 relatif aux droits civils, garantit le droit à une qualité de vie qui assure la santé, l'alimentation et la nutrition, l'eau potable, la salubrité de l'environnement, l’éducation, le travail, l'emploi, les loisirs, le logement, l'habillement et les autres services essentiels.</w:t>
      </w:r>
    </w:p>
    <w:p w:rsidR="00000000" w:rsidRDefault="00000000">
      <w:pPr>
        <w:spacing w:after="240"/>
        <w:rPr>
          <w:lang w:val="fr-FR"/>
        </w:rPr>
      </w:pPr>
      <w:r>
        <w:rPr>
          <w:lang w:val="fr-FR"/>
        </w:rPr>
        <w:t>482.</w:t>
      </w:r>
      <w:r>
        <w:rPr>
          <w:lang w:val="fr-FR"/>
        </w:rPr>
        <w:tab/>
        <w:t>Comme indiqué, l'article 66 de la Constitution proclame que l'éducation est un droit inaliénable de la personne humaine et constitue un domaine prioritaire pour les investissements publics, en tant que condition essentielle du développement national et garantie de l'équité sociale : "L'éducation, fondée sur des principes éthiques, pluralistes, démocratiques, humanistes et scientifiques, encourage le respect des droits de l'homme, développe une pensée critique et encourage le civisme; elle génère des qualifications utiles pour l'efficacité du travail et de la production; elle stimule la créativité et le plein épanouissement de la personnalité et des aptitudes particulières de chaque personne; elle favorise l'interculturalité, la solidarité et la paix"</w:t>
      </w:r>
      <w:r>
        <w:rPr>
          <w:rStyle w:val="FootnoteReference"/>
          <w:b/>
          <w:lang w:val="fr-FR"/>
        </w:rPr>
        <w:footnoteReference w:id="68"/>
      </w:r>
      <w:r>
        <w:rPr>
          <w:lang w:val="fr-FR"/>
        </w:rPr>
        <w:t>.</w:t>
      </w:r>
    </w:p>
    <w:p w:rsidR="00000000" w:rsidRDefault="00000000">
      <w:pPr>
        <w:spacing w:after="240"/>
        <w:rPr>
          <w:lang w:val="fr-FR"/>
        </w:rPr>
      </w:pPr>
      <w:r>
        <w:rPr>
          <w:lang w:val="fr-FR"/>
        </w:rPr>
        <w:t>483.</w:t>
      </w:r>
      <w:r>
        <w:rPr>
          <w:lang w:val="fr-FR"/>
        </w:rPr>
        <w:tab/>
        <w:t>Aux termes de l'article 67 de la Constitution, "L'éducation publique est laïque à tous les niveaux; elle est obligatoire pendant le cycle de base, et gratuite jusqu'au baccalauréat ou au niveau équivalent.  Les établissements publics assurent, gratuitement, des services à caractère social à ceux qui en ont besoin.  Les étudiants en situation d'extrême pauvreté reçoivent des subventions spéciales".</w:t>
      </w:r>
    </w:p>
    <w:p w:rsidR="00000000" w:rsidRDefault="00000000">
      <w:pPr>
        <w:spacing w:after="240"/>
        <w:rPr>
          <w:lang w:val="fr-FR"/>
        </w:rPr>
      </w:pPr>
      <w:r>
        <w:rPr>
          <w:lang w:val="fr-FR"/>
        </w:rPr>
        <w:t>484.</w:t>
      </w:r>
      <w:r>
        <w:rPr>
          <w:lang w:val="fr-FR"/>
        </w:rPr>
        <w:tab/>
        <w:t>La Réforme des programmes de l'éducation de base, cycle obligatoire de dix ans, est appliquée dans le pays depuis 1996.  Son application devrait être universelle en 2003.  D'importantes ressources économiques, provenant de prêts internationaux, ont été investies dans le cadre de cette application en activités de formation et de diffusion, en infrastructures, équipements, etc.</w:t>
      </w:r>
    </w:p>
    <w:p w:rsidR="00000000" w:rsidRDefault="00000000">
      <w:pPr>
        <w:spacing w:after="240"/>
        <w:rPr>
          <w:lang w:val="fr-FR"/>
        </w:rPr>
      </w:pPr>
      <w:r>
        <w:rPr>
          <w:i/>
          <w:lang w:val="fr-FR"/>
        </w:rPr>
        <w:t>Enseignement secondaire</w:t>
      </w:r>
    </w:p>
    <w:p w:rsidR="00000000" w:rsidRDefault="00000000">
      <w:pPr>
        <w:spacing w:after="240"/>
        <w:rPr>
          <w:lang w:val="fr-FR"/>
        </w:rPr>
      </w:pPr>
      <w:r>
        <w:rPr>
          <w:lang w:val="fr-FR"/>
        </w:rPr>
        <w:t>485.</w:t>
      </w:r>
      <w:r>
        <w:rPr>
          <w:lang w:val="fr-FR"/>
        </w:rPr>
        <w:tab/>
        <w:t>La Loi relative à l'éducation proclame que l’État formule des plans et programmes d'éducation permanente pour éradiquer l'analphabétisme et renforcer à titre prioritaire l'éducation dans les zones rurales et les zones frontières, et qu’il garantit l'enseignement privé.</w:t>
      </w:r>
    </w:p>
    <w:p w:rsidR="00000000" w:rsidRDefault="00000000">
      <w:pPr>
        <w:spacing w:after="240"/>
        <w:rPr>
          <w:lang w:val="fr-FR"/>
        </w:rPr>
      </w:pPr>
      <w:r>
        <w:rPr>
          <w:lang w:val="fr-FR"/>
        </w:rPr>
        <w:t>486.</w:t>
      </w:r>
      <w:r>
        <w:rPr>
          <w:lang w:val="fr-FR"/>
        </w:rPr>
        <w:tab/>
        <w:t>La Constitution, en son article 67, prévoit la gratuité de l'éducation, disposition qui dans la réalité n'est pas appliquée, car l'enseignement secondaire dans le pays n'est pas totalement gratuit; en effet, si l’État couvre la majorité du budget des établissements publics, il existe une contribution volontaire des parents des familles au travers des comités de parents d'élèves qui se chargent de certaines actions d'autogestion pour couvrir certains besoins institutionnels tels que les infrastructures, l'entretien et le recrutement d'enseignants spéciaux, etc..</w:t>
      </w:r>
    </w:p>
    <w:p w:rsidR="00000000" w:rsidRDefault="00000000">
      <w:pPr>
        <w:spacing w:after="240"/>
        <w:rPr>
          <w:lang w:val="fr-FR"/>
        </w:rPr>
      </w:pPr>
      <w:r>
        <w:rPr>
          <w:lang w:val="fr-FR"/>
        </w:rPr>
        <w:t>487.</w:t>
      </w:r>
      <w:r>
        <w:rPr>
          <w:lang w:val="fr-FR"/>
        </w:rPr>
        <w:tab/>
        <w:t>Aux termes de la Déclaration de La Havane (Conférence régionale de L'Unesco sur les politiques et les stratégies de réforme de l'enseignement supérieur en Amérique latine et dans les Caraïbes, tenue en novembre 1996), "L'éducation en général et, en particulier, l'enseignement supérieur sont des instruments essentiels pour faire face avec succès aux défis du monde moderne et pour former des citoyens capables de construire une société plus juste et plus ouverte, fondée sur la solidarité, le respect des droits de l'homme et l'utilisation partagée du savoir et de l'information.  L'enseignement supérieur constitue, par ailleurs, un élément indispensable à l'égard du progrès social, de la production, de la croissance économique, de l'affirmation de l'identité culturelle, du maintien de la cohésion sociale, de la lutte contre la pauvreté et de la promotion d'une culture de paix".</w:t>
      </w:r>
    </w:p>
    <w:p w:rsidR="00000000" w:rsidRDefault="00000000">
      <w:pPr>
        <w:spacing w:after="240"/>
        <w:rPr>
          <w:lang w:val="fr-FR"/>
        </w:rPr>
      </w:pPr>
      <w:r>
        <w:rPr>
          <w:lang w:val="fr-FR"/>
        </w:rPr>
        <w:t>488.</w:t>
      </w:r>
      <w:r>
        <w:rPr>
          <w:lang w:val="fr-FR"/>
        </w:rPr>
        <w:tab/>
        <w:t>Suivant les dispositions de la Loi relative aux universités et écoles polytechniques (chap. IV, relatif aux élèves, art. 38), "Pour être élève d'une université ou école polytechnique il est nécessaire d'être titulaire du baccalauréat.  Chaque université et école polytechnique réglemente les modalités d'admission, en tenant compte de la spécialisation des bacheliers, de leur niveau, de l'organisation et de la répartition des ressources académiques et des besoins de formation professionnelle du pays".</w:t>
      </w:r>
    </w:p>
    <w:p w:rsidR="00000000" w:rsidRDefault="00000000">
      <w:pPr>
        <w:spacing w:after="240"/>
        <w:rPr>
          <w:lang w:val="fr-FR"/>
        </w:rPr>
      </w:pPr>
      <w:r>
        <w:rPr>
          <w:lang w:val="fr-FR"/>
        </w:rPr>
        <w:t>489.</w:t>
      </w:r>
      <w:r>
        <w:rPr>
          <w:lang w:val="fr-FR"/>
        </w:rPr>
        <w:tab/>
        <w:t>Le Conseil national des universités et écoles polytechniques de l’Équateur a pour politiques d'appliquer strictement, dans les centres d'enseignement supérieur, l'article 26 de la Déclaration universelle des droits de l'homme qui prévoit que chacun a droit à accéder à l'enseignement supérieur sur la base de ses mérites.  C'est la raison pour laquelle, actuellement, toutes les universités et écoles polytechniques réglementent l'admission des étudiants, sans préjudice de leur droit d'admission, à la condition de se conformer aux critères et conditions requises qui ont été définis.</w:t>
      </w:r>
    </w:p>
    <w:p w:rsidR="00000000" w:rsidRDefault="00000000">
      <w:pPr>
        <w:spacing w:after="240"/>
        <w:rPr>
          <w:lang w:val="fr-FR"/>
        </w:rPr>
      </w:pPr>
      <w:r>
        <w:rPr>
          <w:lang w:val="fr-FR"/>
        </w:rPr>
        <w:t>490.</w:t>
      </w:r>
      <w:r>
        <w:rPr>
          <w:lang w:val="fr-FR"/>
        </w:rPr>
        <w:tab/>
        <w:t>Les coûts de l'enseignement supérieur dans les établissements publics sont déterminés par le Conseil national des universités et écoles polytechniques (CONUEP).  Ces coûts, pour la période 1999-2000, sont les suivants :</w:t>
      </w:r>
    </w:p>
    <w:p w:rsidR="00000000" w:rsidRDefault="00000000">
      <w:pPr>
        <w:autoSpaceDE w:val="0"/>
        <w:autoSpaceDN w:val="0"/>
        <w:adjustRightInd w:val="0"/>
        <w:spacing w:after="240"/>
        <w:ind w:left="567"/>
        <w:rPr>
          <w:i/>
          <w:iCs/>
          <w:color w:val="000000"/>
          <w:szCs w:val="22"/>
          <w:lang w:val="fr-FR"/>
        </w:rPr>
      </w:pPr>
      <w:r>
        <w:rPr>
          <w:b/>
          <w:bCs/>
          <w:i/>
          <w:iCs/>
          <w:color w:val="000000"/>
          <w:szCs w:val="22"/>
          <w:lang w:val="fr-FR"/>
        </w:rPr>
        <w:br w:type="page"/>
        <w:t xml:space="preserve">Universités d’État </w:t>
      </w:r>
    </w:p>
    <w:p w:rsidR="00000000" w:rsidRDefault="00000000">
      <w:pPr>
        <w:autoSpaceDE w:val="0"/>
        <w:autoSpaceDN w:val="0"/>
        <w:adjustRightInd w:val="0"/>
        <w:spacing w:after="240"/>
        <w:ind w:left="567"/>
        <w:rPr>
          <w:color w:val="000000"/>
          <w:szCs w:val="22"/>
          <w:lang w:val="fr-FR"/>
        </w:rPr>
      </w:pPr>
      <w:r>
        <w:rPr>
          <w:i/>
          <w:iCs/>
          <w:color w:val="000000"/>
          <w:szCs w:val="22"/>
          <w:lang w:val="fr-FR"/>
        </w:rPr>
        <w:t xml:space="preserve">Université centrale de l'Équateur </w:t>
      </w:r>
      <w:r>
        <w:rPr>
          <w:color w:val="000000"/>
          <w:szCs w:val="22"/>
          <w:lang w:val="fr-FR"/>
        </w:rPr>
        <w:t xml:space="preserve">(1999 et 2001)  </w:t>
      </w:r>
    </w:p>
    <w:p w:rsidR="00000000" w:rsidRDefault="00000000">
      <w:pPr>
        <w:autoSpaceDE w:val="0"/>
        <w:autoSpaceDN w:val="0"/>
        <w:adjustRightInd w:val="0"/>
        <w:spacing w:after="240"/>
        <w:ind w:left="567" w:firstLine="33"/>
        <w:rPr>
          <w:color w:val="000000"/>
          <w:szCs w:val="22"/>
          <w:lang w:val="fr-FR"/>
        </w:rPr>
      </w:pPr>
      <w:r>
        <w:rPr>
          <w:color w:val="000000"/>
          <w:szCs w:val="22"/>
          <w:lang w:val="fr-FR"/>
        </w:rPr>
        <w:tab/>
        <w:t xml:space="preserve">SMV  (Salaire Minimal Vital) = 100 dollars des États-Unis) </w:t>
      </w:r>
    </w:p>
    <w:p w:rsidR="00000000" w:rsidRDefault="00000000">
      <w:pPr>
        <w:autoSpaceDE w:val="0"/>
        <w:autoSpaceDN w:val="0"/>
        <w:adjustRightInd w:val="0"/>
        <w:spacing w:after="240"/>
        <w:ind w:left="567"/>
        <w:rPr>
          <w:i/>
          <w:iCs/>
          <w:color w:val="000000"/>
          <w:szCs w:val="22"/>
          <w:lang w:val="fr-FR"/>
        </w:rPr>
      </w:pPr>
      <w:r>
        <w:rPr>
          <w:i/>
          <w:iCs/>
          <w:color w:val="000000"/>
          <w:szCs w:val="22"/>
          <w:lang w:val="fr-FR"/>
        </w:rPr>
        <w:tab/>
        <w:t xml:space="preserve">Inscriptions  </w:t>
      </w:r>
    </w:p>
    <w:p w:rsidR="00000000" w:rsidRDefault="00000000">
      <w:pPr>
        <w:autoSpaceDE w:val="0"/>
        <w:autoSpaceDN w:val="0"/>
        <w:adjustRightInd w:val="0"/>
        <w:spacing w:after="240"/>
        <w:ind w:left="567" w:firstLine="567"/>
        <w:rPr>
          <w:color w:val="000000"/>
          <w:szCs w:val="22"/>
          <w:lang w:val="fr-FR"/>
        </w:rPr>
      </w:pPr>
      <w:r>
        <w:rPr>
          <w:bCs/>
          <w:iCs/>
          <w:lang w:val="fr-FR"/>
        </w:rPr>
        <w:t>Les coûts sont fonction des collèges d'où sont issus les étudiants</w:t>
      </w:r>
    </w:p>
    <w:tbl>
      <w:tblPr>
        <w:tblW w:w="7938" w:type="dxa"/>
        <w:tblInd w:w="1134" w:type="dxa"/>
        <w:tblCellMar>
          <w:left w:w="70" w:type="dxa"/>
          <w:right w:w="70" w:type="dxa"/>
        </w:tblCellMar>
        <w:tblLook w:val="0000" w:firstRow="0" w:lastRow="0" w:firstColumn="0" w:lastColumn="0" w:noHBand="0" w:noVBand="0"/>
      </w:tblPr>
      <w:tblGrid>
        <w:gridCol w:w="2773"/>
        <w:gridCol w:w="2546"/>
        <w:gridCol w:w="2619"/>
      </w:tblGrid>
      <w:tr w:rsidR="00000000">
        <w:tblPrEx>
          <w:tblCellMar>
            <w:top w:w="0" w:type="dxa"/>
            <w:bottom w:w="0" w:type="dxa"/>
          </w:tblCellMar>
        </w:tblPrEx>
        <w:tc>
          <w:tcPr>
            <w:tcW w:w="2377" w:type="dxa"/>
          </w:tcPr>
          <w:p w:rsidR="00000000" w:rsidRDefault="00000000">
            <w:pPr>
              <w:autoSpaceDE w:val="0"/>
              <w:autoSpaceDN w:val="0"/>
              <w:adjustRightInd w:val="0"/>
              <w:spacing w:before="20" w:after="20"/>
              <w:rPr>
                <w:bCs/>
                <w:iCs/>
                <w:lang w:val="fr-FR"/>
              </w:rPr>
            </w:pPr>
            <w:r>
              <w:rPr>
                <w:color w:val="000000"/>
                <w:szCs w:val="22"/>
                <w:lang w:val="fr-FR"/>
              </w:rPr>
              <w:t>Collège public</w:t>
            </w:r>
          </w:p>
        </w:tc>
        <w:tc>
          <w:tcPr>
            <w:tcW w:w="2182" w:type="dxa"/>
          </w:tcPr>
          <w:p w:rsidR="00000000" w:rsidRDefault="00000000">
            <w:pPr>
              <w:autoSpaceDE w:val="0"/>
              <w:autoSpaceDN w:val="0"/>
              <w:adjustRightInd w:val="0"/>
              <w:spacing w:before="20" w:after="20"/>
              <w:jc w:val="center"/>
              <w:rPr>
                <w:bCs/>
                <w:iCs/>
                <w:lang w:val="fr-FR"/>
              </w:rPr>
            </w:pPr>
            <w:r>
              <w:rPr>
                <w:color w:val="000000"/>
                <w:szCs w:val="22"/>
                <w:lang w:val="fr-FR"/>
              </w:rPr>
              <w:t>2 SMV</w:t>
            </w:r>
          </w:p>
        </w:tc>
        <w:tc>
          <w:tcPr>
            <w:tcW w:w="2245" w:type="dxa"/>
          </w:tcPr>
          <w:p w:rsidR="00000000" w:rsidRDefault="00000000">
            <w:pPr>
              <w:autoSpaceDE w:val="0"/>
              <w:autoSpaceDN w:val="0"/>
              <w:adjustRightInd w:val="0"/>
              <w:spacing w:before="20" w:after="20"/>
              <w:jc w:val="right"/>
              <w:rPr>
                <w:bCs/>
                <w:iCs/>
                <w:lang w:val="fr-FR"/>
              </w:rPr>
            </w:pPr>
            <w:r>
              <w:rPr>
                <w:color w:val="000000"/>
                <w:szCs w:val="22"/>
                <w:lang w:val="fr-FR"/>
              </w:rPr>
              <w:t>(200 000 sucres)</w:t>
            </w:r>
          </w:p>
        </w:tc>
      </w:tr>
      <w:tr w:rsidR="00000000">
        <w:tblPrEx>
          <w:tblCellMar>
            <w:top w:w="0" w:type="dxa"/>
            <w:bottom w:w="0" w:type="dxa"/>
          </w:tblCellMar>
        </w:tblPrEx>
        <w:tc>
          <w:tcPr>
            <w:tcW w:w="2377" w:type="dxa"/>
          </w:tcPr>
          <w:p w:rsidR="00000000" w:rsidRDefault="00000000">
            <w:pPr>
              <w:autoSpaceDE w:val="0"/>
              <w:autoSpaceDN w:val="0"/>
              <w:adjustRightInd w:val="0"/>
              <w:spacing w:before="20" w:after="20"/>
              <w:rPr>
                <w:bCs/>
                <w:iCs/>
                <w:lang w:val="fr-FR"/>
              </w:rPr>
            </w:pPr>
            <w:r>
              <w:rPr>
                <w:color w:val="000000"/>
                <w:szCs w:val="22"/>
                <w:lang w:val="fr-FR"/>
              </w:rPr>
              <w:t>Collège privé</w:t>
            </w:r>
          </w:p>
        </w:tc>
        <w:tc>
          <w:tcPr>
            <w:tcW w:w="2182" w:type="dxa"/>
          </w:tcPr>
          <w:p w:rsidR="00000000" w:rsidRDefault="00000000">
            <w:pPr>
              <w:autoSpaceDE w:val="0"/>
              <w:autoSpaceDN w:val="0"/>
              <w:adjustRightInd w:val="0"/>
              <w:spacing w:before="20" w:after="20"/>
              <w:jc w:val="center"/>
              <w:rPr>
                <w:bCs/>
                <w:iCs/>
                <w:lang w:val="fr-FR"/>
              </w:rPr>
            </w:pPr>
            <w:r>
              <w:rPr>
                <w:color w:val="000000"/>
                <w:szCs w:val="22"/>
                <w:lang w:val="fr-FR"/>
              </w:rPr>
              <w:t>4 SMV</w:t>
            </w:r>
          </w:p>
        </w:tc>
        <w:tc>
          <w:tcPr>
            <w:tcW w:w="2245" w:type="dxa"/>
          </w:tcPr>
          <w:p w:rsidR="00000000" w:rsidRDefault="00000000">
            <w:pPr>
              <w:autoSpaceDE w:val="0"/>
              <w:autoSpaceDN w:val="0"/>
              <w:adjustRightInd w:val="0"/>
              <w:spacing w:before="20" w:after="20"/>
              <w:jc w:val="right"/>
              <w:rPr>
                <w:bCs/>
                <w:iCs/>
                <w:lang w:val="fr-FR"/>
              </w:rPr>
            </w:pPr>
            <w:r>
              <w:rPr>
                <w:color w:val="000000"/>
                <w:szCs w:val="22"/>
                <w:lang w:val="fr-FR"/>
              </w:rPr>
              <w:t>(400 000 sucres)</w:t>
            </w:r>
          </w:p>
        </w:tc>
      </w:tr>
      <w:tr w:rsidR="00000000">
        <w:tblPrEx>
          <w:tblCellMar>
            <w:top w:w="0" w:type="dxa"/>
            <w:bottom w:w="0" w:type="dxa"/>
          </w:tblCellMar>
        </w:tblPrEx>
        <w:tc>
          <w:tcPr>
            <w:tcW w:w="2377" w:type="dxa"/>
          </w:tcPr>
          <w:p w:rsidR="00000000" w:rsidRDefault="00000000">
            <w:pPr>
              <w:autoSpaceDE w:val="0"/>
              <w:autoSpaceDN w:val="0"/>
              <w:adjustRightInd w:val="0"/>
              <w:spacing w:before="20" w:after="20"/>
              <w:rPr>
                <w:color w:val="000000"/>
                <w:szCs w:val="22"/>
                <w:lang w:val="fr-FR"/>
              </w:rPr>
            </w:pPr>
            <w:r>
              <w:rPr>
                <w:color w:val="000000"/>
                <w:szCs w:val="22"/>
                <w:lang w:val="fr-FR"/>
              </w:rPr>
              <w:t>Bacheliers étrangers</w:t>
            </w:r>
          </w:p>
        </w:tc>
        <w:tc>
          <w:tcPr>
            <w:tcW w:w="2182" w:type="dxa"/>
          </w:tcPr>
          <w:p w:rsidR="00000000" w:rsidRDefault="00000000">
            <w:pPr>
              <w:autoSpaceDE w:val="0"/>
              <w:autoSpaceDN w:val="0"/>
              <w:adjustRightInd w:val="0"/>
              <w:spacing w:before="20" w:after="20"/>
              <w:jc w:val="center"/>
              <w:rPr>
                <w:color w:val="000000"/>
                <w:szCs w:val="22"/>
                <w:lang w:val="fr-FR"/>
              </w:rPr>
            </w:pPr>
            <w:r>
              <w:rPr>
                <w:color w:val="000000"/>
                <w:szCs w:val="22"/>
                <w:lang w:val="fr-FR"/>
              </w:rPr>
              <w:t>6 SMV</w:t>
            </w:r>
          </w:p>
        </w:tc>
        <w:tc>
          <w:tcPr>
            <w:tcW w:w="2245"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(600 000 sucres)</w:t>
            </w:r>
          </w:p>
        </w:tc>
      </w:tr>
    </w:tbl>
    <w:p w:rsidR="00000000" w:rsidRDefault="00000000">
      <w:pPr>
        <w:autoSpaceDE w:val="0"/>
        <w:autoSpaceDN w:val="0"/>
        <w:adjustRightInd w:val="0"/>
        <w:spacing w:after="240"/>
        <w:ind w:left="567"/>
        <w:rPr>
          <w:color w:val="000000"/>
          <w:szCs w:val="22"/>
          <w:lang w:val="fr-FR"/>
        </w:rPr>
      </w:pPr>
    </w:p>
    <w:p w:rsidR="00000000" w:rsidRDefault="00000000">
      <w:pPr>
        <w:autoSpaceDE w:val="0"/>
        <w:autoSpaceDN w:val="0"/>
        <w:adjustRightInd w:val="0"/>
        <w:spacing w:after="240"/>
        <w:ind w:left="567"/>
        <w:rPr>
          <w:i/>
          <w:iCs/>
          <w:lang w:val="fr-FR"/>
        </w:rPr>
      </w:pPr>
      <w:r>
        <w:rPr>
          <w:i/>
          <w:iCs/>
          <w:lang w:val="fr-FR"/>
        </w:rPr>
        <w:tab/>
        <w:t xml:space="preserve">Immatriculations  </w:t>
      </w:r>
    </w:p>
    <w:tbl>
      <w:tblPr>
        <w:tblW w:w="7938" w:type="dxa"/>
        <w:tblInd w:w="1134" w:type="dxa"/>
        <w:tblCellMar>
          <w:left w:w="70" w:type="dxa"/>
          <w:right w:w="70" w:type="dxa"/>
        </w:tblCellMar>
        <w:tblLook w:val="0000" w:firstRow="0" w:lastRow="0" w:firstColumn="0" w:lastColumn="0" w:noHBand="0" w:noVBand="0"/>
      </w:tblPr>
      <w:tblGrid>
        <w:gridCol w:w="2773"/>
        <w:gridCol w:w="2546"/>
        <w:gridCol w:w="2619"/>
      </w:tblGrid>
      <w:tr w:rsidR="00000000">
        <w:tblPrEx>
          <w:tblCellMar>
            <w:top w:w="0" w:type="dxa"/>
            <w:bottom w:w="0" w:type="dxa"/>
          </w:tblCellMar>
        </w:tblPrEx>
        <w:tc>
          <w:tcPr>
            <w:tcW w:w="2377" w:type="dxa"/>
          </w:tcPr>
          <w:p w:rsidR="00000000" w:rsidRDefault="00000000">
            <w:pPr>
              <w:autoSpaceDE w:val="0"/>
              <w:autoSpaceDN w:val="0"/>
              <w:adjustRightInd w:val="0"/>
              <w:spacing w:before="20" w:after="20"/>
              <w:rPr>
                <w:bCs/>
                <w:iCs/>
                <w:lang w:val="fr-FR"/>
              </w:rPr>
            </w:pPr>
            <w:r>
              <w:rPr>
                <w:color w:val="000000"/>
                <w:szCs w:val="22"/>
                <w:lang w:val="fr-FR"/>
              </w:rPr>
              <w:t>Collège public</w:t>
            </w:r>
          </w:p>
        </w:tc>
        <w:tc>
          <w:tcPr>
            <w:tcW w:w="2182" w:type="dxa"/>
          </w:tcPr>
          <w:p w:rsidR="00000000" w:rsidRDefault="00000000">
            <w:pPr>
              <w:autoSpaceDE w:val="0"/>
              <w:autoSpaceDN w:val="0"/>
              <w:adjustRightInd w:val="0"/>
              <w:spacing w:before="20" w:after="20"/>
              <w:jc w:val="center"/>
              <w:rPr>
                <w:bCs/>
                <w:iCs/>
                <w:lang w:val="fr-FR"/>
              </w:rPr>
            </w:pPr>
            <w:r>
              <w:rPr>
                <w:color w:val="000000"/>
                <w:szCs w:val="22"/>
                <w:lang w:val="fr-FR"/>
              </w:rPr>
              <w:t>15 SMV</w:t>
            </w:r>
          </w:p>
        </w:tc>
        <w:tc>
          <w:tcPr>
            <w:tcW w:w="2245" w:type="dxa"/>
          </w:tcPr>
          <w:p w:rsidR="00000000" w:rsidRDefault="00000000">
            <w:pPr>
              <w:autoSpaceDE w:val="0"/>
              <w:autoSpaceDN w:val="0"/>
              <w:adjustRightInd w:val="0"/>
              <w:spacing w:before="20" w:after="20"/>
              <w:jc w:val="right"/>
              <w:rPr>
                <w:bCs/>
                <w:iCs/>
                <w:lang w:val="fr-FR"/>
              </w:rPr>
            </w:pPr>
            <w:r>
              <w:rPr>
                <w:color w:val="000000"/>
                <w:szCs w:val="22"/>
                <w:lang w:val="fr-FR"/>
              </w:rPr>
              <w:t>(150 000 sucres)</w:t>
            </w:r>
          </w:p>
        </w:tc>
      </w:tr>
      <w:tr w:rsidR="00000000">
        <w:tblPrEx>
          <w:tblCellMar>
            <w:top w:w="0" w:type="dxa"/>
            <w:bottom w:w="0" w:type="dxa"/>
          </w:tblCellMar>
        </w:tblPrEx>
        <w:tc>
          <w:tcPr>
            <w:tcW w:w="2377" w:type="dxa"/>
          </w:tcPr>
          <w:p w:rsidR="00000000" w:rsidRDefault="00000000">
            <w:pPr>
              <w:autoSpaceDE w:val="0"/>
              <w:autoSpaceDN w:val="0"/>
              <w:adjustRightInd w:val="0"/>
              <w:spacing w:before="20" w:after="20"/>
              <w:rPr>
                <w:bCs/>
                <w:iCs/>
                <w:lang w:val="fr-FR"/>
              </w:rPr>
            </w:pPr>
            <w:r>
              <w:rPr>
                <w:color w:val="000000"/>
                <w:szCs w:val="22"/>
                <w:lang w:val="fr-FR"/>
              </w:rPr>
              <w:t>Collège privé A</w:t>
            </w:r>
          </w:p>
        </w:tc>
        <w:tc>
          <w:tcPr>
            <w:tcW w:w="2182" w:type="dxa"/>
          </w:tcPr>
          <w:p w:rsidR="00000000" w:rsidRDefault="00000000">
            <w:pPr>
              <w:autoSpaceDE w:val="0"/>
              <w:autoSpaceDN w:val="0"/>
              <w:adjustRightInd w:val="0"/>
              <w:spacing w:before="20" w:after="20"/>
              <w:jc w:val="center"/>
              <w:rPr>
                <w:bCs/>
                <w:iCs/>
                <w:lang w:val="fr-FR"/>
              </w:rPr>
            </w:pPr>
            <w:r>
              <w:rPr>
                <w:color w:val="000000"/>
                <w:szCs w:val="22"/>
                <w:lang w:val="fr-FR"/>
              </w:rPr>
              <w:t>3 SMV</w:t>
            </w:r>
          </w:p>
        </w:tc>
        <w:tc>
          <w:tcPr>
            <w:tcW w:w="2245" w:type="dxa"/>
          </w:tcPr>
          <w:p w:rsidR="00000000" w:rsidRDefault="00000000">
            <w:pPr>
              <w:autoSpaceDE w:val="0"/>
              <w:autoSpaceDN w:val="0"/>
              <w:adjustRightInd w:val="0"/>
              <w:spacing w:before="20" w:after="20"/>
              <w:jc w:val="right"/>
              <w:rPr>
                <w:bCs/>
                <w:iCs/>
                <w:lang w:val="fr-FR"/>
              </w:rPr>
            </w:pPr>
            <w:r>
              <w:rPr>
                <w:color w:val="000000"/>
                <w:szCs w:val="22"/>
                <w:lang w:val="fr-FR"/>
              </w:rPr>
              <w:t>(300 000 sucres)</w:t>
            </w:r>
          </w:p>
        </w:tc>
      </w:tr>
      <w:tr w:rsidR="00000000">
        <w:tblPrEx>
          <w:tblCellMar>
            <w:top w:w="0" w:type="dxa"/>
            <w:bottom w:w="0" w:type="dxa"/>
          </w:tblCellMar>
        </w:tblPrEx>
        <w:tc>
          <w:tcPr>
            <w:tcW w:w="2377" w:type="dxa"/>
          </w:tcPr>
          <w:p w:rsidR="00000000" w:rsidRDefault="00000000">
            <w:pPr>
              <w:autoSpaceDE w:val="0"/>
              <w:autoSpaceDN w:val="0"/>
              <w:adjustRightInd w:val="0"/>
              <w:spacing w:before="20" w:after="20"/>
              <w:rPr>
                <w:color w:val="000000"/>
                <w:szCs w:val="22"/>
                <w:lang w:val="fr-FR"/>
              </w:rPr>
            </w:pPr>
            <w:r>
              <w:rPr>
                <w:color w:val="000000"/>
                <w:szCs w:val="22"/>
                <w:lang w:val="fr-FR"/>
              </w:rPr>
              <w:t>Collège privé B</w:t>
            </w:r>
          </w:p>
        </w:tc>
        <w:tc>
          <w:tcPr>
            <w:tcW w:w="2182" w:type="dxa"/>
          </w:tcPr>
          <w:p w:rsidR="00000000" w:rsidRDefault="00000000">
            <w:pPr>
              <w:autoSpaceDE w:val="0"/>
              <w:autoSpaceDN w:val="0"/>
              <w:adjustRightInd w:val="0"/>
              <w:spacing w:before="20" w:after="20"/>
              <w:jc w:val="center"/>
              <w:rPr>
                <w:color w:val="000000"/>
                <w:szCs w:val="22"/>
                <w:lang w:val="fr-FR"/>
              </w:rPr>
            </w:pPr>
            <w:r>
              <w:rPr>
                <w:color w:val="000000"/>
                <w:szCs w:val="22"/>
                <w:lang w:val="fr-FR"/>
              </w:rPr>
              <w:t>5 SMV</w:t>
            </w:r>
          </w:p>
        </w:tc>
        <w:tc>
          <w:tcPr>
            <w:tcW w:w="2245"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(500 000 sucres)</w:t>
            </w:r>
          </w:p>
        </w:tc>
      </w:tr>
      <w:tr w:rsidR="00000000">
        <w:tblPrEx>
          <w:tblCellMar>
            <w:top w:w="0" w:type="dxa"/>
            <w:bottom w:w="0" w:type="dxa"/>
          </w:tblCellMar>
        </w:tblPrEx>
        <w:tc>
          <w:tcPr>
            <w:tcW w:w="2377" w:type="dxa"/>
          </w:tcPr>
          <w:p w:rsidR="00000000" w:rsidRDefault="00000000">
            <w:pPr>
              <w:autoSpaceDE w:val="0"/>
              <w:autoSpaceDN w:val="0"/>
              <w:adjustRightInd w:val="0"/>
              <w:spacing w:before="20" w:after="20"/>
              <w:rPr>
                <w:color w:val="000000"/>
                <w:szCs w:val="22"/>
                <w:lang w:val="fr-FR"/>
              </w:rPr>
            </w:pPr>
            <w:r>
              <w:rPr>
                <w:color w:val="000000"/>
                <w:szCs w:val="22"/>
                <w:lang w:val="fr-FR"/>
              </w:rPr>
              <w:t>Collège privé C</w:t>
            </w:r>
          </w:p>
        </w:tc>
        <w:tc>
          <w:tcPr>
            <w:tcW w:w="2182" w:type="dxa"/>
          </w:tcPr>
          <w:p w:rsidR="00000000" w:rsidRDefault="00000000">
            <w:pPr>
              <w:autoSpaceDE w:val="0"/>
              <w:autoSpaceDN w:val="0"/>
              <w:adjustRightInd w:val="0"/>
              <w:spacing w:before="20" w:after="20"/>
              <w:jc w:val="center"/>
              <w:rPr>
                <w:color w:val="000000"/>
                <w:szCs w:val="22"/>
                <w:lang w:val="fr-FR"/>
              </w:rPr>
            </w:pPr>
            <w:r>
              <w:rPr>
                <w:color w:val="000000"/>
                <w:szCs w:val="22"/>
                <w:lang w:val="fr-FR"/>
              </w:rPr>
              <w:t>10 SMV</w:t>
            </w:r>
          </w:p>
        </w:tc>
        <w:tc>
          <w:tcPr>
            <w:tcW w:w="2245"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(1 000 000 sucres)</w:t>
            </w:r>
          </w:p>
        </w:tc>
      </w:tr>
      <w:tr w:rsidR="00000000">
        <w:tblPrEx>
          <w:tblCellMar>
            <w:top w:w="0" w:type="dxa"/>
            <w:bottom w:w="0" w:type="dxa"/>
          </w:tblCellMar>
        </w:tblPrEx>
        <w:tc>
          <w:tcPr>
            <w:tcW w:w="2377" w:type="dxa"/>
          </w:tcPr>
          <w:p w:rsidR="00000000" w:rsidRDefault="00000000">
            <w:pPr>
              <w:autoSpaceDE w:val="0"/>
              <w:autoSpaceDN w:val="0"/>
              <w:adjustRightInd w:val="0"/>
              <w:spacing w:before="20" w:after="20"/>
              <w:rPr>
                <w:color w:val="000000"/>
                <w:szCs w:val="22"/>
                <w:lang w:val="fr-FR"/>
              </w:rPr>
            </w:pPr>
            <w:r>
              <w:rPr>
                <w:color w:val="000000"/>
                <w:szCs w:val="22"/>
                <w:lang w:val="fr-FR"/>
              </w:rPr>
              <w:t>Bacheliers étrangers</w:t>
            </w:r>
          </w:p>
        </w:tc>
        <w:tc>
          <w:tcPr>
            <w:tcW w:w="2182" w:type="dxa"/>
          </w:tcPr>
          <w:p w:rsidR="00000000" w:rsidRDefault="00000000">
            <w:pPr>
              <w:autoSpaceDE w:val="0"/>
              <w:autoSpaceDN w:val="0"/>
              <w:adjustRightInd w:val="0"/>
              <w:spacing w:before="20" w:after="20"/>
              <w:jc w:val="center"/>
              <w:rPr>
                <w:color w:val="000000"/>
                <w:szCs w:val="22"/>
                <w:lang w:val="fr-FR"/>
              </w:rPr>
            </w:pPr>
            <w:r>
              <w:rPr>
                <w:color w:val="000000"/>
                <w:szCs w:val="22"/>
                <w:lang w:val="fr-FR"/>
              </w:rPr>
              <w:t>5 SMV</w:t>
            </w:r>
          </w:p>
        </w:tc>
        <w:tc>
          <w:tcPr>
            <w:tcW w:w="2245"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(500 000 sucres)</w:t>
            </w:r>
          </w:p>
        </w:tc>
      </w:tr>
      <w:tr w:rsidR="00000000">
        <w:tblPrEx>
          <w:tblCellMar>
            <w:top w:w="0" w:type="dxa"/>
            <w:bottom w:w="0" w:type="dxa"/>
          </w:tblCellMar>
        </w:tblPrEx>
        <w:tc>
          <w:tcPr>
            <w:tcW w:w="2377" w:type="dxa"/>
          </w:tcPr>
          <w:p w:rsidR="00000000" w:rsidRDefault="00000000">
            <w:pPr>
              <w:autoSpaceDE w:val="0"/>
              <w:autoSpaceDN w:val="0"/>
              <w:adjustRightInd w:val="0"/>
              <w:spacing w:before="20" w:after="20"/>
              <w:rPr>
                <w:color w:val="000000"/>
                <w:szCs w:val="22"/>
                <w:lang w:val="fr-FR"/>
              </w:rPr>
            </w:pPr>
            <w:r>
              <w:rPr>
                <w:color w:val="000000"/>
                <w:szCs w:val="22"/>
                <w:lang w:val="fr-FR"/>
              </w:rPr>
              <w:t>Étrangers</w:t>
            </w:r>
          </w:p>
        </w:tc>
        <w:tc>
          <w:tcPr>
            <w:tcW w:w="2182" w:type="dxa"/>
          </w:tcPr>
          <w:p w:rsidR="00000000" w:rsidRDefault="00000000">
            <w:pPr>
              <w:autoSpaceDE w:val="0"/>
              <w:autoSpaceDN w:val="0"/>
              <w:adjustRightInd w:val="0"/>
              <w:spacing w:before="20" w:after="20"/>
              <w:jc w:val="center"/>
              <w:rPr>
                <w:color w:val="000000"/>
                <w:szCs w:val="22"/>
                <w:lang w:val="fr-FR"/>
              </w:rPr>
            </w:pPr>
            <w:r>
              <w:rPr>
                <w:color w:val="000000"/>
                <w:szCs w:val="22"/>
                <w:lang w:val="fr-FR"/>
              </w:rPr>
              <w:t>25 SMV</w:t>
            </w:r>
          </w:p>
        </w:tc>
        <w:tc>
          <w:tcPr>
            <w:tcW w:w="2245"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(2 500 000 sucres)</w:t>
            </w:r>
          </w:p>
        </w:tc>
      </w:tr>
    </w:tbl>
    <w:p w:rsidR="00000000" w:rsidRDefault="00000000">
      <w:pPr>
        <w:autoSpaceDE w:val="0"/>
        <w:autoSpaceDN w:val="0"/>
        <w:adjustRightInd w:val="0"/>
        <w:ind w:left="567"/>
        <w:rPr>
          <w:i/>
          <w:iCs/>
          <w:color w:val="000000"/>
          <w:szCs w:val="22"/>
          <w:lang w:val="fr-FR"/>
        </w:rPr>
      </w:pPr>
    </w:p>
    <w:p w:rsidR="00000000" w:rsidRDefault="00000000">
      <w:pPr>
        <w:autoSpaceDE w:val="0"/>
        <w:autoSpaceDN w:val="0"/>
        <w:adjustRightInd w:val="0"/>
        <w:spacing w:after="240"/>
        <w:ind w:left="567"/>
        <w:rPr>
          <w:i/>
          <w:iCs/>
          <w:color w:val="000000"/>
          <w:szCs w:val="22"/>
          <w:lang w:val="fr-FR"/>
        </w:rPr>
      </w:pPr>
      <w:r>
        <w:rPr>
          <w:i/>
          <w:iCs/>
          <w:color w:val="000000"/>
          <w:szCs w:val="22"/>
          <w:lang w:val="fr-FR"/>
        </w:rPr>
        <w:tab/>
        <w:t xml:space="preserve">Bourses  </w:t>
      </w:r>
    </w:p>
    <w:tbl>
      <w:tblPr>
        <w:tblW w:w="6804" w:type="dxa"/>
        <w:tblInd w:w="1134" w:type="dxa"/>
        <w:tblCellMar>
          <w:left w:w="70" w:type="dxa"/>
          <w:right w:w="70" w:type="dxa"/>
        </w:tblCellMar>
        <w:tblLook w:val="0000" w:firstRow="0" w:lastRow="0" w:firstColumn="0" w:lastColumn="0" w:noHBand="0" w:noVBand="0"/>
      </w:tblPr>
      <w:tblGrid>
        <w:gridCol w:w="6804"/>
      </w:tblGrid>
      <w:tr w:rsidR="00000000">
        <w:tblPrEx>
          <w:tblCellMar>
            <w:top w:w="0" w:type="dxa"/>
            <w:bottom w:w="0" w:type="dxa"/>
          </w:tblCellMar>
        </w:tblPrEx>
        <w:trPr>
          <w:cantSplit/>
        </w:trPr>
        <w:tc>
          <w:tcPr>
            <w:tcW w:w="6804" w:type="dxa"/>
          </w:tcPr>
          <w:p w:rsidR="00000000" w:rsidRDefault="00000000">
            <w:pPr>
              <w:autoSpaceDE w:val="0"/>
              <w:autoSpaceDN w:val="0"/>
              <w:adjustRightInd w:val="0"/>
              <w:spacing w:before="40"/>
              <w:rPr>
                <w:bCs/>
                <w:iCs/>
                <w:lang w:val="fr-FR"/>
              </w:rPr>
            </w:pPr>
            <w:r>
              <w:rPr>
                <w:color w:val="000000"/>
                <w:szCs w:val="22"/>
                <w:lang w:val="fr-FR"/>
              </w:rPr>
              <w:t>Aucune bourse n’est octroyée dans les facultés.</w:t>
            </w:r>
          </w:p>
        </w:tc>
      </w:tr>
    </w:tbl>
    <w:p w:rsidR="00000000" w:rsidRDefault="00000000">
      <w:pPr>
        <w:autoSpaceDE w:val="0"/>
        <w:autoSpaceDN w:val="0"/>
        <w:adjustRightInd w:val="0"/>
        <w:ind w:left="567"/>
        <w:rPr>
          <w:i/>
          <w:iCs/>
          <w:color w:val="000000"/>
          <w:szCs w:val="22"/>
          <w:lang w:val="fr-FR"/>
        </w:rPr>
      </w:pPr>
    </w:p>
    <w:p w:rsidR="00000000" w:rsidRDefault="00000000">
      <w:pPr>
        <w:autoSpaceDE w:val="0"/>
        <w:autoSpaceDN w:val="0"/>
        <w:adjustRightInd w:val="0"/>
        <w:spacing w:after="240"/>
        <w:ind w:left="567"/>
        <w:rPr>
          <w:color w:val="000000"/>
          <w:szCs w:val="22"/>
          <w:lang w:val="fr-FR"/>
        </w:rPr>
      </w:pPr>
      <w:r>
        <w:rPr>
          <w:i/>
          <w:iCs/>
          <w:color w:val="000000"/>
          <w:szCs w:val="22"/>
          <w:lang w:val="fr-FR"/>
        </w:rPr>
        <w:t xml:space="preserve">École polytechnique nationale </w:t>
      </w:r>
      <w:r>
        <w:rPr>
          <w:color w:val="000000"/>
          <w:szCs w:val="22"/>
          <w:lang w:val="fr-FR"/>
        </w:rPr>
        <w:t xml:space="preserve">(1999)  </w:t>
      </w:r>
    </w:p>
    <w:p w:rsidR="00000000" w:rsidRDefault="00000000">
      <w:pPr>
        <w:tabs>
          <w:tab w:val="left" w:pos="1260"/>
        </w:tabs>
        <w:autoSpaceDE w:val="0"/>
        <w:autoSpaceDN w:val="0"/>
        <w:adjustRightInd w:val="0"/>
        <w:spacing w:after="240"/>
        <w:ind w:left="567"/>
        <w:rPr>
          <w:color w:val="000000"/>
          <w:szCs w:val="22"/>
          <w:lang w:val="fr-FR"/>
        </w:rPr>
      </w:pPr>
      <w:r>
        <w:rPr>
          <w:color w:val="000000"/>
          <w:szCs w:val="22"/>
          <w:lang w:val="fr-FR"/>
        </w:rPr>
        <w:tab/>
        <w:t xml:space="preserve">Les droits à acquitter sont fixés sur la base des éléments suivants: </w:t>
      </w:r>
    </w:p>
    <w:p w:rsidR="00000000" w:rsidRDefault="00000000">
      <w:pPr>
        <w:numPr>
          <w:ilvl w:val="1"/>
          <w:numId w:val="97"/>
        </w:numPr>
        <w:autoSpaceDE w:val="0"/>
        <w:autoSpaceDN w:val="0"/>
        <w:adjustRightInd w:val="0"/>
        <w:spacing w:after="40"/>
        <w:rPr>
          <w:color w:val="000000"/>
          <w:szCs w:val="22"/>
          <w:lang w:val="fr-FR"/>
        </w:rPr>
      </w:pPr>
      <w:r>
        <w:rPr>
          <w:color w:val="000000"/>
          <w:szCs w:val="22"/>
          <w:lang w:val="fr-FR"/>
        </w:rPr>
        <w:t xml:space="preserve">revenu familial; </w:t>
      </w:r>
    </w:p>
    <w:p w:rsidR="00000000" w:rsidRDefault="00000000">
      <w:pPr>
        <w:numPr>
          <w:ilvl w:val="1"/>
          <w:numId w:val="97"/>
        </w:numPr>
        <w:autoSpaceDE w:val="0"/>
        <w:autoSpaceDN w:val="0"/>
        <w:adjustRightInd w:val="0"/>
        <w:spacing w:after="40"/>
        <w:rPr>
          <w:color w:val="000000"/>
          <w:szCs w:val="22"/>
          <w:lang w:val="fr-FR"/>
        </w:rPr>
      </w:pPr>
      <w:r>
        <w:rPr>
          <w:color w:val="000000"/>
          <w:szCs w:val="22"/>
          <w:lang w:val="fr-FR"/>
        </w:rPr>
        <w:t xml:space="preserve">consommation d'électricité; </w:t>
      </w:r>
    </w:p>
    <w:p w:rsidR="00000000" w:rsidRDefault="00000000">
      <w:pPr>
        <w:numPr>
          <w:ilvl w:val="1"/>
          <w:numId w:val="97"/>
        </w:numPr>
        <w:autoSpaceDE w:val="0"/>
        <w:autoSpaceDN w:val="0"/>
        <w:adjustRightInd w:val="0"/>
        <w:spacing w:after="40"/>
        <w:rPr>
          <w:color w:val="000000"/>
          <w:szCs w:val="22"/>
          <w:lang w:val="fr-FR"/>
        </w:rPr>
      </w:pPr>
      <w:r>
        <w:rPr>
          <w:color w:val="000000"/>
          <w:szCs w:val="22"/>
          <w:lang w:val="fr-FR"/>
        </w:rPr>
        <w:t xml:space="preserve">collège d'origine; </w:t>
      </w:r>
    </w:p>
    <w:p w:rsidR="00000000" w:rsidRDefault="00000000">
      <w:pPr>
        <w:numPr>
          <w:ilvl w:val="1"/>
          <w:numId w:val="97"/>
        </w:numPr>
        <w:autoSpaceDE w:val="0"/>
        <w:autoSpaceDN w:val="0"/>
        <w:adjustRightInd w:val="0"/>
        <w:spacing w:after="240"/>
        <w:ind w:left="1644"/>
        <w:rPr>
          <w:color w:val="000000"/>
          <w:szCs w:val="22"/>
          <w:lang w:val="fr-FR"/>
        </w:rPr>
      </w:pPr>
      <w:r>
        <w:rPr>
          <w:color w:val="000000"/>
          <w:szCs w:val="22"/>
          <w:lang w:val="fr-FR"/>
        </w:rPr>
        <w:t xml:space="preserve">classification en 10 catégories, qui détermine le coût de l'immatriculation.  </w:t>
      </w:r>
    </w:p>
    <w:p w:rsidR="00000000" w:rsidRDefault="00000000">
      <w:pPr>
        <w:autoSpaceDE w:val="0"/>
        <w:autoSpaceDN w:val="0"/>
        <w:adjustRightInd w:val="0"/>
        <w:spacing w:after="240"/>
        <w:ind w:left="567"/>
        <w:rPr>
          <w:i/>
          <w:iCs/>
          <w:color w:val="000000"/>
          <w:szCs w:val="22"/>
          <w:lang w:val="fr-FR"/>
        </w:rPr>
      </w:pPr>
      <w:r>
        <w:rPr>
          <w:i/>
          <w:iCs/>
          <w:color w:val="000000"/>
          <w:szCs w:val="22"/>
          <w:lang w:val="fr-FR"/>
        </w:rPr>
        <w:t xml:space="preserve">École supérieure polytechnique du Litoral </w:t>
      </w:r>
      <w:r>
        <w:rPr>
          <w:color w:val="000000"/>
          <w:szCs w:val="22"/>
          <w:lang w:val="fr-FR"/>
        </w:rPr>
        <w:t xml:space="preserve">(année 1999)  </w:t>
      </w:r>
    </w:p>
    <w:p w:rsidR="00000000" w:rsidRDefault="00000000">
      <w:pPr>
        <w:autoSpaceDE w:val="0"/>
        <w:autoSpaceDN w:val="0"/>
        <w:adjustRightInd w:val="0"/>
        <w:spacing w:after="240"/>
        <w:ind w:left="567"/>
        <w:rPr>
          <w:color w:val="000000"/>
          <w:szCs w:val="22"/>
          <w:lang w:val="fr-FR"/>
        </w:rPr>
      </w:pPr>
      <w:r>
        <w:rPr>
          <w:i/>
          <w:iCs/>
          <w:color w:val="000000"/>
          <w:szCs w:val="22"/>
          <w:lang w:val="fr-FR"/>
        </w:rPr>
        <w:tab/>
        <w:t xml:space="preserve">Admission  </w:t>
      </w:r>
    </w:p>
    <w:p w:rsidR="00000000" w:rsidRDefault="00000000">
      <w:pPr>
        <w:autoSpaceDE w:val="0"/>
        <w:autoSpaceDN w:val="0"/>
        <w:adjustRightInd w:val="0"/>
        <w:spacing w:after="240"/>
        <w:ind w:left="567"/>
        <w:rPr>
          <w:color w:val="000000"/>
          <w:szCs w:val="22"/>
          <w:lang w:val="fr-FR"/>
        </w:rPr>
      </w:pPr>
      <w:r>
        <w:rPr>
          <w:color w:val="000000"/>
          <w:szCs w:val="22"/>
          <w:lang w:val="fr-FR"/>
        </w:rPr>
        <w:tab/>
        <w:t xml:space="preserve">Tous les étudiants candidats à l’admission doivent payer pour le "prepolitecnico" (cours initial de détermination du niveau) une taxe équivalant à 0,5 SMV pour services fournis aux étudiants.  </w:t>
      </w:r>
    </w:p>
    <w:p w:rsidR="00000000" w:rsidRDefault="00000000">
      <w:pPr>
        <w:autoSpaceDE w:val="0"/>
        <w:autoSpaceDN w:val="0"/>
        <w:adjustRightInd w:val="0"/>
        <w:spacing w:after="240"/>
        <w:ind w:left="567"/>
        <w:rPr>
          <w:i/>
          <w:iCs/>
          <w:color w:val="000000"/>
          <w:szCs w:val="22"/>
          <w:lang w:val="fr-FR"/>
        </w:rPr>
      </w:pPr>
      <w:r>
        <w:rPr>
          <w:color w:val="000000"/>
          <w:szCs w:val="22"/>
          <w:lang w:val="fr-FR"/>
        </w:rPr>
        <w:br w:type="page"/>
      </w:r>
      <w:r>
        <w:rPr>
          <w:color w:val="000000"/>
          <w:szCs w:val="22"/>
          <w:lang w:val="fr-FR"/>
        </w:rPr>
        <w:tab/>
      </w:r>
      <w:r>
        <w:rPr>
          <w:i/>
          <w:iCs/>
          <w:color w:val="000000"/>
          <w:szCs w:val="22"/>
          <w:lang w:val="fr-FR"/>
        </w:rPr>
        <w:t xml:space="preserve">Droit d'examen d’entrée  </w:t>
      </w:r>
    </w:p>
    <w:p w:rsidR="00000000" w:rsidRDefault="00000000">
      <w:pPr>
        <w:autoSpaceDE w:val="0"/>
        <w:autoSpaceDN w:val="0"/>
        <w:adjustRightInd w:val="0"/>
        <w:spacing w:after="240"/>
        <w:ind w:left="567"/>
        <w:rPr>
          <w:color w:val="000000"/>
          <w:szCs w:val="22"/>
          <w:lang w:val="fr-FR"/>
        </w:rPr>
      </w:pPr>
      <w:r>
        <w:rPr>
          <w:color w:val="000000"/>
          <w:szCs w:val="22"/>
          <w:lang w:val="fr-FR"/>
        </w:rPr>
        <w:tab/>
        <w:t xml:space="preserve">Tous les étudiants nationaux et étrangers doivent payer pour l'examen d’entrée 1 SMV  plus les frais administratifs.  </w:t>
      </w:r>
    </w:p>
    <w:p w:rsidR="00000000" w:rsidRDefault="00000000">
      <w:pPr>
        <w:autoSpaceDE w:val="0"/>
        <w:autoSpaceDN w:val="0"/>
        <w:adjustRightInd w:val="0"/>
        <w:spacing w:after="240"/>
        <w:ind w:left="567" w:firstLine="567"/>
        <w:rPr>
          <w:i/>
          <w:iCs/>
          <w:color w:val="000000"/>
          <w:szCs w:val="22"/>
          <w:lang w:val="fr-FR"/>
        </w:rPr>
      </w:pPr>
      <w:r>
        <w:rPr>
          <w:i/>
          <w:iCs/>
          <w:color w:val="000000"/>
          <w:szCs w:val="22"/>
          <w:lang w:val="fr-FR"/>
        </w:rPr>
        <w:t xml:space="preserve">Droits d'inscription au cours "prepolitecnico" </w:t>
      </w:r>
    </w:p>
    <w:p w:rsidR="00000000" w:rsidRDefault="00000000">
      <w:pPr>
        <w:autoSpaceDE w:val="0"/>
        <w:autoSpaceDN w:val="0"/>
        <w:adjustRightInd w:val="0"/>
        <w:spacing w:after="240"/>
        <w:ind w:left="567"/>
        <w:rPr>
          <w:color w:val="000000"/>
          <w:szCs w:val="22"/>
          <w:lang w:val="fr-FR"/>
        </w:rPr>
      </w:pPr>
      <w:r>
        <w:rPr>
          <w:color w:val="000000"/>
          <w:szCs w:val="22"/>
          <w:lang w:val="fr-FR"/>
        </w:rPr>
        <w:tab/>
        <w:t xml:space="preserve">Les étudiants, nationaux ou étrangers, doivent acquitter les droits suivants.  </w:t>
      </w:r>
    </w:p>
    <w:tbl>
      <w:tblPr>
        <w:tblW w:w="7938" w:type="dxa"/>
        <w:tblInd w:w="1134" w:type="dxa"/>
        <w:tblCellMar>
          <w:left w:w="70" w:type="dxa"/>
          <w:right w:w="70" w:type="dxa"/>
        </w:tblCellMar>
        <w:tblLook w:val="0000" w:firstRow="0" w:lastRow="0" w:firstColumn="0" w:lastColumn="0" w:noHBand="0" w:noVBand="0"/>
      </w:tblPr>
      <w:tblGrid>
        <w:gridCol w:w="5118"/>
        <w:gridCol w:w="2820"/>
      </w:tblGrid>
      <w:tr w:rsidR="00000000">
        <w:tblPrEx>
          <w:tblCellMar>
            <w:top w:w="0" w:type="dxa"/>
            <w:bottom w:w="0" w:type="dxa"/>
          </w:tblCellMar>
        </w:tblPrEx>
        <w:tc>
          <w:tcPr>
            <w:tcW w:w="5951" w:type="dxa"/>
          </w:tcPr>
          <w:p w:rsidR="00000000" w:rsidRDefault="00000000">
            <w:pPr>
              <w:autoSpaceDE w:val="0"/>
              <w:autoSpaceDN w:val="0"/>
              <w:adjustRightInd w:val="0"/>
              <w:spacing w:before="20" w:after="20"/>
              <w:rPr>
                <w:color w:val="000000"/>
                <w:szCs w:val="22"/>
                <w:lang w:val="fr-FR"/>
              </w:rPr>
            </w:pPr>
            <w:r>
              <w:rPr>
                <w:color w:val="000000"/>
                <w:szCs w:val="22"/>
                <w:lang w:val="fr-FR"/>
              </w:rPr>
              <w:t>Étudiants des collèges publics ou municipaux, avec visa de résident</w:t>
            </w:r>
          </w:p>
        </w:tc>
        <w:tc>
          <w:tcPr>
            <w:tcW w:w="3121" w:type="dxa"/>
          </w:tcPr>
          <w:p w:rsidR="00000000" w:rsidRDefault="00000000">
            <w:pPr>
              <w:autoSpaceDE w:val="0"/>
              <w:autoSpaceDN w:val="0"/>
              <w:adjustRightInd w:val="0"/>
              <w:spacing w:before="20" w:after="20"/>
              <w:rPr>
                <w:color w:val="000000"/>
                <w:szCs w:val="22"/>
                <w:lang w:val="fr-FR"/>
              </w:rPr>
            </w:pPr>
            <w:r>
              <w:rPr>
                <w:color w:val="000000"/>
                <w:szCs w:val="22"/>
                <w:lang w:val="fr-FR"/>
              </w:rPr>
              <w:t>624 000 sucres</w:t>
            </w:r>
          </w:p>
        </w:tc>
      </w:tr>
      <w:tr w:rsidR="00000000">
        <w:tblPrEx>
          <w:tblCellMar>
            <w:top w:w="0" w:type="dxa"/>
            <w:bottom w:w="0" w:type="dxa"/>
          </w:tblCellMar>
        </w:tblPrEx>
        <w:tc>
          <w:tcPr>
            <w:tcW w:w="5951" w:type="dxa"/>
          </w:tcPr>
          <w:p w:rsidR="00000000" w:rsidRDefault="00000000">
            <w:pPr>
              <w:autoSpaceDE w:val="0"/>
              <w:autoSpaceDN w:val="0"/>
              <w:adjustRightInd w:val="0"/>
              <w:spacing w:before="20" w:after="20"/>
              <w:rPr>
                <w:color w:val="000000"/>
                <w:szCs w:val="22"/>
                <w:lang w:val="fr-FR"/>
              </w:rPr>
            </w:pPr>
            <w:r>
              <w:rPr>
                <w:color w:val="000000"/>
                <w:szCs w:val="22"/>
                <w:lang w:val="fr-FR"/>
              </w:rPr>
              <w:t>Étudiants des collèges privés, nationaux ou étrangers avec visa de résident</w:t>
            </w:r>
          </w:p>
        </w:tc>
        <w:tc>
          <w:tcPr>
            <w:tcW w:w="3121" w:type="dxa"/>
          </w:tcPr>
          <w:p w:rsidR="00000000" w:rsidRDefault="00000000">
            <w:pPr>
              <w:autoSpaceDE w:val="0"/>
              <w:autoSpaceDN w:val="0"/>
              <w:adjustRightInd w:val="0"/>
              <w:spacing w:before="20" w:after="20"/>
              <w:rPr>
                <w:color w:val="000000"/>
                <w:szCs w:val="22"/>
                <w:lang w:val="fr-FR"/>
              </w:rPr>
            </w:pPr>
            <w:r>
              <w:rPr>
                <w:color w:val="000000"/>
                <w:szCs w:val="22"/>
                <w:lang w:val="fr-FR"/>
              </w:rPr>
              <w:t>7,5 fois la valeur de la bourse officielle, jusqu'à un maximum 3 900 000 de sucres, mais pas moins de 1 092 000 sucres</w:t>
            </w:r>
          </w:p>
        </w:tc>
      </w:tr>
      <w:tr w:rsidR="00000000">
        <w:tblPrEx>
          <w:tblCellMar>
            <w:top w:w="0" w:type="dxa"/>
            <w:bottom w:w="0" w:type="dxa"/>
          </w:tblCellMar>
        </w:tblPrEx>
        <w:tc>
          <w:tcPr>
            <w:tcW w:w="5951" w:type="dxa"/>
          </w:tcPr>
          <w:p w:rsidR="00000000" w:rsidRDefault="00000000">
            <w:pPr>
              <w:autoSpaceDE w:val="0"/>
              <w:autoSpaceDN w:val="0"/>
              <w:adjustRightInd w:val="0"/>
              <w:spacing w:before="20" w:after="20"/>
              <w:rPr>
                <w:color w:val="000000"/>
                <w:szCs w:val="22"/>
                <w:lang w:val="fr-FR"/>
              </w:rPr>
            </w:pPr>
            <w:r>
              <w:rPr>
                <w:color w:val="000000"/>
                <w:szCs w:val="22"/>
                <w:lang w:val="fr-FR"/>
              </w:rPr>
              <w:t>Étudiants boursiers, avec visa de résident, nationaux ou étrangers</w:t>
            </w:r>
          </w:p>
        </w:tc>
        <w:tc>
          <w:tcPr>
            <w:tcW w:w="3121" w:type="dxa"/>
          </w:tcPr>
          <w:p w:rsidR="00000000" w:rsidRDefault="00000000">
            <w:pPr>
              <w:autoSpaceDE w:val="0"/>
              <w:autoSpaceDN w:val="0"/>
              <w:adjustRightInd w:val="0"/>
              <w:spacing w:before="20" w:after="20"/>
              <w:rPr>
                <w:color w:val="000000"/>
                <w:szCs w:val="22"/>
                <w:lang w:val="fr-FR"/>
              </w:rPr>
            </w:pPr>
            <w:r>
              <w:rPr>
                <w:color w:val="000000"/>
                <w:szCs w:val="22"/>
                <w:lang w:val="fr-FR"/>
              </w:rPr>
              <w:t>624 000 sucres</w:t>
            </w:r>
          </w:p>
        </w:tc>
      </w:tr>
      <w:tr w:rsidR="00000000">
        <w:tblPrEx>
          <w:tblCellMar>
            <w:top w:w="0" w:type="dxa"/>
            <w:bottom w:w="0" w:type="dxa"/>
          </w:tblCellMar>
        </w:tblPrEx>
        <w:tc>
          <w:tcPr>
            <w:tcW w:w="5951" w:type="dxa"/>
          </w:tcPr>
          <w:p w:rsidR="00000000" w:rsidRDefault="00000000">
            <w:pPr>
              <w:autoSpaceDE w:val="0"/>
              <w:autoSpaceDN w:val="0"/>
              <w:adjustRightInd w:val="0"/>
              <w:spacing w:before="20" w:after="20"/>
              <w:rPr>
                <w:color w:val="000000"/>
                <w:szCs w:val="22"/>
                <w:lang w:val="fr-FR"/>
              </w:rPr>
            </w:pPr>
            <w:r>
              <w:rPr>
                <w:color w:val="000000"/>
                <w:szCs w:val="22"/>
                <w:lang w:val="fr-FR"/>
              </w:rPr>
              <w:t>Étudiants sans visa de résident</w:t>
            </w:r>
          </w:p>
        </w:tc>
        <w:tc>
          <w:tcPr>
            <w:tcW w:w="3121" w:type="dxa"/>
          </w:tcPr>
          <w:p w:rsidR="00000000" w:rsidRDefault="00000000">
            <w:pPr>
              <w:autoSpaceDE w:val="0"/>
              <w:autoSpaceDN w:val="0"/>
              <w:adjustRightInd w:val="0"/>
              <w:spacing w:before="20" w:after="20"/>
              <w:rPr>
                <w:color w:val="000000"/>
                <w:szCs w:val="22"/>
                <w:lang w:val="fr-FR"/>
              </w:rPr>
            </w:pPr>
            <w:r>
              <w:rPr>
                <w:color w:val="000000"/>
                <w:szCs w:val="22"/>
                <w:lang w:val="fr-FR"/>
              </w:rPr>
              <w:t>3 900 000 sucres</w:t>
            </w:r>
          </w:p>
        </w:tc>
      </w:tr>
      <w:tr w:rsidR="00000000">
        <w:tblPrEx>
          <w:tblCellMar>
            <w:top w:w="0" w:type="dxa"/>
            <w:bottom w:w="0" w:type="dxa"/>
          </w:tblCellMar>
        </w:tblPrEx>
        <w:tc>
          <w:tcPr>
            <w:tcW w:w="5951" w:type="dxa"/>
          </w:tcPr>
          <w:p w:rsidR="00000000" w:rsidRDefault="00000000">
            <w:pPr>
              <w:autoSpaceDE w:val="0"/>
              <w:autoSpaceDN w:val="0"/>
              <w:adjustRightInd w:val="0"/>
              <w:spacing w:before="20" w:after="20"/>
              <w:rPr>
                <w:color w:val="000000"/>
                <w:szCs w:val="22"/>
                <w:lang w:val="fr-FR"/>
              </w:rPr>
            </w:pPr>
            <w:r>
              <w:rPr>
                <w:color w:val="000000"/>
                <w:szCs w:val="22"/>
                <w:lang w:val="fr-FR"/>
              </w:rPr>
              <w:t>Étudiants équatoriens diplômés à l’étranger</w:t>
            </w:r>
          </w:p>
        </w:tc>
        <w:tc>
          <w:tcPr>
            <w:tcW w:w="3121" w:type="dxa"/>
          </w:tcPr>
          <w:p w:rsidR="00000000" w:rsidRDefault="00000000">
            <w:pPr>
              <w:autoSpaceDE w:val="0"/>
              <w:autoSpaceDN w:val="0"/>
              <w:adjustRightInd w:val="0"/>
              <w:spacing w:before="20" w:after="20"/>
              <w:rPr>
                <w:color w:val="000000"/>
                <w:szCs w:val="22"/>
                <w:lang w:val="fr-FR"/>
              </w:rPr>
            </w:pPr>
            <w:r>
              <w:rPr>
                <w:color w:val="000000"/>
                <w:szCs w:val="22"/>
                <w:lang w:val="fr-FR"/>
              </w:rPr>
              <w:t>3 000 000 sucres</w:t>
            </w:r>
          </w:p>
        </w:tc>
      </w:tr>
      <w:tr w:rsidR="00000000">
        <w:tblPrEx>
          <w:tblCellMar>
            <w:top w:w="0" w:type="dxa"/>
            <w:bottom w:w="0" w:type="dxa"/>
          </w:tblCellMar>
        </w:tblPrEx>
        <w:tc>
          <w:tcPr>
            <w:tcW w:w="5951" w:type="dxa"/>
          </w:tcPr>
          <w:p w:rsidR="00000000" w:rsidRDefault="00000000">
            <w:pPr>
              <w:autoSpaceDE w:val="0"/>
              <w:autoSpaceDN w:val="0"/>
              <w:adjustRightInd w:val="0"/>
              <w:spacing w:before="20" w:after="20"/>
              <w:rPr>
                <w:color w:val="000000"/>
                <w:szCs w:val="22"/>
                <w:lang w:val="fr-FR"/>
              </w:rPr>
            </w:pPr>
            <w:r>
              <w:rPr>
                <w:color w:val="000000"/>
                <w:szCs w:val="22"/>
                <w:lang w:val="fr-FR"/>
              </w:rPr>
              <w:t>Étudiants du "prepolitecnico", à qui il reste à réussir dans trois matières ou plus</w:t>
            </w:r>
          </w:p>
        </w:tc>
        <w:tc>
          <w:tcPr>
            <w:tcW w:w="3121" w:type="dxa"/>
          </w:tcPr>
          <w:p w:rsidR="00000000" w:rsidRDefault="00000000">
            <w:pPr>
              <w:autoSpaceDE w:val="0"/>
              <w:autoSpaceDN w:val="0"/>
              <w:adjustRightInd w:val="0"/>
              <w:spacing w:before="20" w:after="20"/>
              <w:rPr>
                <w:color w:val="000000"/>
                <w:szCs w:val="22"/>
                <w:lang w:val="fr-FR"/>
              </w:rPr>
            </w:pPr>
            <w:r>
              <w:rPr>
                <w:color w:val="000000"/>
                <w:szCs w:val="22"/>
                <w:lang w:val="fr-FR"/>
              </w:rPr>
              <w:t>Remise de 40 % de la valeur des droits</w:t>
            </w:r>
          </w:p>
        </w:tc>
      </w:tr>
      <w:tr w:rsidR="00000000">
        <w:tblPrEx>
          <w:tblCellMar>
            <w:top w:w="0" w:type="dxa"/>
            <w:bottom w:w="0" w:type="dxa"/>
          </w:tblCellMar>
        </w:tblPrEx>
        <w:tc>
          <w:tcPr>
            <w:tcW w:w="5951" w:type="dxa"/>
          </w:tcPr>
          <w:p w:rsidR="00000000" w:rsidRDefault="00000000">
            <w:pPr>
              <w:autoSpaceDE w:val="0"/>
              <w:autoSpaceDN w:val="0"/>
              <w:adjustRightInd w:val="0"/>
              <w:spacing w:before="20" w:after="20"/>
              <w:rPr>
                <w:color w:val="000000"/>
                <w:szCs w:val="22"/>
                <w:lang w:val="fr-FR"/>
              </w:rPr>
            </w:pPr>
            <w:r>
              <w:rPr>
                <w:color w:val="000000"/>
                <w:szCs w:val="22"/>
                <w:lang w:val="fr-FR"/>
              </w:rPr>
              <w:t>Étudiants qui sont frères</w:t>
            </w:r>
          </w:p>
        </w:tc>
        <w:tc>
          <w:tcPr>
            <w:tcW w:w="3121" w:type="dxa"/>
          </w:tcPr>
          <w:p w:rsidR="00000000" w:rsidRDefault="00000000">
            <w:pPr>
              <w:autoSpaceDE w:val="0"/>
              <w:autoSpaceDN w:val="0"/>
              <w:adjustRightInd w:val="0"/>
              <w:spacing w:before="20" w:after="20"/>
              <w:rPr>
                <w:color w:val="000000"/>
                <w:szCs w:val="22"/>
                <w:lang w:val="fr-FR"/>
              </w:rPr>
            </w:pPr>
            <w:r>
              <w:rPr>
                <w:color w:val="000000"/>
                <w:szCs w:val="22"/>
                <w:lang w:val="fr-FR"/>
              </w:rPr>
              <w:t>Remise de 25 %</w:t>
            </w:r>
          </w:p>
        </w:tc>
      </w:tr>
      <w:tr w:rsidR="00000000">
        <w:tblPrEx>
          <w:tblCellMar>
            <w:top w:w="0" w:type="dxa"/>
            <w:bottom w:w="0" w:type="dxa"/>
          </w:tblCellMar>
        </w:tblPrEx>
        <w:tc>
          <w:tcPr>
            <w:tcW w:w="5951" w:type="dxa"/>
          </w:tcPr>
          <w:p w:rsidR="00000000" w:rsidRDefault="00000000">
            <w:pPr>
              <w:autoSpaceDE w:val="0"/>
              <w:autoSpaceDN w:val="0"/>
              <w:adjustRightInd w:val="0"/>
              <w:spacing w:before="20" w:after="20"/>
              <w:rPr>
                <w:color w:val="000000"/>
                <w:szCs w:val="22"/>
                <w:lang w:val="fr-FR"/>
              </w:rPr>
            </w:pPr>
            <w:r>
              <w:rPr>
                <w:color w:val="000000"/>
                <w:szCs w:val="22"/>
                <w:lang w:val="fr-FR"/>
              </w:rPr>
              <w:t>Étudiants en tête de classe des collèges privés ou publics</w:t>
            </w:r>
          </w:p>
        </w:tc>
        <w:tc>
          <w:tcPr>
            <w:tcW w:w="3121" w:type="dxa"/>
          </w:tcPr>
          <w:p w:rsidR="00000000" w:rsidRDefault="00000000">
            <w:pPr>
              <w:autoSpaceDE w:val="0"/>
              <w:autoSpaceDN w:val="0"/>
              <w:adjustRightInd w:val="0"/>
              <w:spacing w:before="20" w:after="20"/>
              <w:rPr>
                <w:color w:val="000000"/>
                <w:szCs w:val="22"/>
                <w:lang w:val="fr-FR"/>
              </w:rPr>
            </w:pPr>
            <w:r>
              <w:rPr>
                <w:color w:val="000000"/>
                <w:szCs w:val="22"/>
                <w:lang w:val="fr-FR"/>
              </w:rPr>
              <w:t>Exonérés des droits d'inscription, ne payent que les taxes administratives</w:t>
            </w:r>
          </w:p>
        </w:tc>
      </w:tr>
      <w:tr w:rsidR="00000000">
        <w:tblPrEx>
          <w:tblCellMar>
            <w:top w:w="0" w:type="dxa"/>
            <w:bottom w:w="0" w:type="dxa"/>
          </w:tblCellMar>
        </w:tblPrEx>
        <w:tc>
          <w:tcPr>
            <w:tcW w:w="5951" w:type="dxa"/>
          </w:tcPr>
          <w:p w:rsidR="00000000" w:rsidRDefault="00000000">
            <w:pPr>
              <w:autoSpaceDE w:val="0"/>
              <w:autoSpaceDN w:val="0"/>
              <w:adjustRightInd w:val="0"/>
              <w:spacing w:before="20" w:after="20"/>
              <w:rPr>
                <w:color w:val="000000"/>
                <w:szCs w:val="22"/>
                <w:lang w:val="fr-FR"/>
              </w:rPr>
            </w:pPr>
            <w:r>
              <w:rPr>
                <w:color w:val="000000"/>
                <w:szCs w:val="22"/>
                <w:lang w:val="fr-FR"/>
              </w:rPr>
              <w:t>Auditeurs libres</w:t>
            </w:r>
          </w:p>
        </w:tc>
        <w:tc>
          <w:tcPr>
            <w:tcW w:w="3121" w:type="dxa"/>
          </w:tcPr>
          <w:p w:rsidR="00000000" w:rsidRDefault="00000000">
            <w:pPr>
              <w:autoSpaceDE w:val="0"/>
              <w:autoSpaceDN w:val="0"/>
              <w:adjustRightInd w:val="0"/>
              <w:spacing w:before="20" w:after="20"/>
              <w:rPr>
                <w:color w:val="000000"/>
                <w:szCs w:val="22"/>
                <w:lang w:val="fr-FR"/>
              </w:rPr>
            </w:pPr>
            <w:r>
              <w:rPr>
                <w:color w:val="000000"/>
                <w:szCs w:val="22"/>
                <w:lang w:val="fr-FR"/>
              </w:rPr>
              <w:t>Payent les mêmes droits que les étudiants issus de collèges publics</w:t>
            </w:r>
          </w:p>
        </w:tc>
      </w:tr>
    </w:tbl>
    <w:p w:rsidR="00000000" w:rsidRDefault="00000000">
      <w:pPr>
        <w:autoSpaceDE w:val="0"/>
        <w:autoSpaceDN w:val="0"/>
        <w:adjustRightInd w:val="0"/>
        <w:rPr>
          <w:color w:val="000000"/>
          <w:szCs w:val="22"/>
          <w:lang w:val="fr-FR"/>
        </w:rPr>
      </w:pPr>
    </w:p>
    <w:p w:rsidR="00000000" w:rsidRDefault="00000000">
      <w:pPr>
        <w:autoSpaceDE w:val="0"/>
        <w:autoSpaceDN w:val="0"/>
        <w:adjustRightInd w:val="0"/>
        <w:rPr>
          <w:i/>
          <w:iCs/>
          <w:color w:val="000000"/>
          <w:szCs w:val="22"/>
          <w:lang w:val="fr-FR"/>
        </w:rPr>
      </w:pPr>
      <w:r>
        <w:rPr>
          <w:color w:val="000000"/>
          <w:szCs w:val="22"/>
          <w:lang w:val="fr-FR"/>
        </w:rPr>
        <w:tab/>
      </w:r>
      <w:r>
        <w:rPr>
          <w:color w:val="000000"/>
          <w:szCs w:val="22"/>
          <w:lang w:val="fr-FR"/>
        </w:rPr>
        <w:tab/>
      </w:r>
      <w:r>
        <w:rPr>
          <w:i/>
          <w:iCs/>
          <w:color w:val="000000"/>
          <w:szCs w:val="22"/>
          <w:lang w:val="fr-FR"/>
        </w:rPr>
        <w:t xml:space="preserve">Droits d'immatriculation  </w:t>
      </w:r>
    </w:p>
    <w:p w:rsidR="00000000" w:rsidRDefault="00000000">
      <w:pPr>
        <w:autoSpaceDE w:val="0"/>
        <w:autoSpaceDN w:val="0"/>
        <w:adjustRightInd w:val="0"/>
        <w:rPr>
          <w:color w:val="000000"/>
          <w:szCs w:val="22"/>
          <w:lang w:val="fr-FR"/>
        </w:rPr>
      </w:pPr>
    </w:p>
    <w:tbl>
      <w:tblPr>
        <w:tblW w:w="7938" w:type="dxa"/>
        <w:tblInd w:w="1134" w:type="dxa"/>
        <w:tblCellMar>
          <w:left w:w="70" w:type="dxa"/>
          <w:right w:w="70" w:type="dxa"/>
        </w:tblCellMar>
        <w:tblLook w:val="0000" w:firstRow="0" w:lastRow="0" w:firstColumn="0" w:lastColumn="0" w:noHBand="0" w:noVBand="0"/>
      </w:tblPr>
      <w:tblGrid>
        <w:gridCol w:w="5228"/>
        <w:gridCol w:w="2710"/>
      </w:tblGrid>
      <w:tr w:rsidR="00000000">
        <w:tblPrEx>
          <w:tblCellMar>
            <w:top w:w="0" w:type="dxa"/>
            <w:bottom w:w="0" w:type="dxa"/>
          </w:tblCellMar>
        </w:tblPrEx>
        <w:tc>
          <w:tcPr>
            <w:tcW w:w="5951"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Pour les étudiants nationaux ou étrangers résidents  </w:t>
            </w:r>
          </w:p>
        </w:tc>
        <w:tc>
          <w:tcPr>
            <w:tcW w:w="3121"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290 000 sucres</w:t>
            </w:r>
          </w:p>
        </w:tc>
      </w:tr>
      <w:tr w:rsidR="00000000">
        <w:tblPrEx>
          <w:tblCellMar>
            <w:top w:w="0" w:type="dxa"/>
            <w:bottom w:w="0" w:type="dxa"/>
          </w:tblCellMar>
        </w:tblPrEx>
        <w:tc>
          <w:tcPr>
            <w:tcW w:w="5951"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Pour les étudiants exerçant une activité professionnelle ou les diplômés nationaux  </w:t>
            </w:r>
          </w:p>
        </w:tc>
        <w:tc>
          <w:tcPr>
            <w:tcW w:w="3121"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1 000 000 sucres</w:t>
            </w:r>
          </w:p>
        </w:tc>
      </w:tr>
      <w:tr w:rsidR="00000000">
        <w:tblPrEx>
          <w:tblCellMar>
            <w:top w:w="0" w:type="dxa"/>
            <w:bottom w:w="0" w:type="dxa"/>
          </w:tblCellMar>
        </w:tblPrEx>
        <w:tc>
          <w:tcPr>
            <w:tcW w:w="5951"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Pour les étudiants étrangers non titulaire d’un visa de résident  </w:t>
            </w:r>
          </w:p>
        </w:tc>
        <w:tc>
          <w:tcPr>
            <w:tcW w:w="3121"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1 300 000 sucres</w:t>
            </w:r>
          </w:p>
        </w:tc>
      </w:tr>
      <w:tr w:rsidR="00000000">
        <w:tblPrEx>
          <w:tblCellMar>
            <w:top w:w="0" w:type="dxa"/>
            <w:bottom w:w="0" w:type="dxa"/>
          </w:tblCellMar>
        </w:tblPrEx>
        <w:tc>
          <w:tcPr>
            <w:tcW w:w="5951"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Droits d’enregistrement par terme  </w:t>
            </w:r>
          </w:p>
        </w:tc>
        <w:tc>
          <w:tcPr>
            <w:tcW w:w="3121"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300 000 sucres</w:t>
            </w:r>
          </w:p>
        </w:tc>
      </w:tr>
    </w:tbl>
    <w:p w:rsidR="00000000" w:rsidRDefault="00000000">
      <w:pPr>
        <w:autoSpaceDE w:val="0"/>
        <w:autoSpaceDN w:val="0"/>
        <w:adjustRightInd w:val="0"/>
        <w:rPr>
          <w:color w:val="000000"/>
          <w:szCs w:val="22"/>
          <w:lang w:val="fr-FR"/>
        </w:rPr>
      </w:pPr>
      <w:r>
        <w:rPr>
          <w:color w:val="000000"/>
          <w:szCs w:val="22"/>
          <w:lang w:val="fr-FR"/>
        </w:rPr>
        <w:tab/>
      </w:r>
    </w:p>
    <w:p w:rsidR="00000000" w:rsidRDefault="00000000">
      <w:pPr>
        <w:autoSpaceDE w:val="0"/>
        <w:autoSpaceDN w:val="0"/>
        <w:adjustRightInd w:val="0"/>
        <w:ind w:firstLine="567"/>
        <w:rPr>
          <w:i/>
          <w:iCs/>
          <w:color w:val="000000"/>
          <w:szCs w:val="22"/>
          <w:lang w:val="fr-FR"/>
        </w:rPr>
      </w:pPr>
      <w:r>
        <w:rPr>
          <w:i/>
          <w:iCs/>
          <w:color w:val="000000"/>
          <w:szCs w:val="22"/>
          <w:lang w:val="fr-FR"/>
        </w:rPr>
        <w:tab/>
        <w:t xml:space="preserve">Paiement pour matière autofinancée  </w:t>
      </w:r>
    </w:p>
    <w:p w:rsidR="00000000" w:rsidRDefault="00000000">
      <w:pPr>
        <w:autoSpaceDE w:val="0"/>
        <w:autoSpaceDN w:val="0"/>
        <w:adjustRightInd w:val="0"/>
        <w:rPr>
          <w:color w:val="000000"/>
          <w:szCs w:val="22"/>
          <w:lang w:val="fr-FR"/>
        </w:rPr>
      </w:pPr>
    </w:p>
    <w:p w:rsidR="00000000" w:rsidRDefault="00000000">
      <w:pPr>
        <w:autoSpaceDE w:val="0"/>
        <w:autoSpaceDN w:val="0"/>
        <w:adjustRightInd w:val="0"/>
        <w:rPr>
          <w:color w:val="000000"/>
          <w:szCs w:val="22"/>
          <w:lang w:val="fr-FR"/>
        </w:rPr>
      </w:pPr>
      <w:r>
        <w:rPr>
          <w:color w:val="000000"/>
          <w:szCs w:val="22"/>
          <w:lang w:val="fr-FR"/>
        </w:rPr>
        <w:tab/>
      </w:r>
      <w:r>
        <w:rPr>
          <w:color w:val="000000"/>
          <w:szCs w:val="22"/>
          <w:lang w:val="fr-FR"/>
        </w:rPr>
        <w:tab/>
        <w:t xml:space="preserve">Paiement des montants indiqués dans chaque unité  </w:t>
      </w:r>
      <w:r>
        <w:rPr>
          <w:color w:val="000000"/>
          <w:szCs w:val="22"/>
          <w:lang w:val="fr-FR"/>
        </w:rPr>
        <w:tab/>
      </w:r>
    </w:p>
    <w:p w:rsidR="00000000" w:rsidRDefault="00000000">
      <w:pPr>
        <w:autoSpaceDE w:val="0"/>
        <w:autoSpaceDN w:val="0"/>
        <w:adjustRightInd w:val="0"/>
        <w:ind w:firstLine="567"/>
        <w:rPr>
          <w:color w:val="000000"/>
          <w:szCs w:val="22"/>
          <w:lang w:val="fr-FR"/>
        </w:rPr>
      </w:pPr>
    </w:p>
    <w:tbl>
      <w:tblPr>
        <w:tblW w:w="7938" w:type="dxa"/>
        <w:tblInd w:w="1134" w:type="dxa"/>
        <w:tblCellMar>
          <w:left w:w="70" w:type="dxa"/>
          <w:right w:w="70" w:type="dxa"/>
        </w:tblCellMar>
        <w:tblLook w:val="0000" w:firstRow="0" w:lastRow="0" w:firstColumn="0" w:lastColumn="0" w:noHBand="0" w:noVBand="0"/>
      </w:tblPr>
      <w:tblGrid>
        <w:gridCol w:w="5228"/>
        <w:gridCol w:w="2710"/>
      </w:tblGrid>
      <w:tr w:rsidR="00000000">
        <w:tblPrEx>
          <w:tblCellMar>
            <w:top w:w="0" w:type="dxa"/>
            <w:bottom w:w="0" w:type="dxa"/>
          </w:tblCellMar>
        </w:tblPrEx>
        <w:tc>
          <w:tcPr>
            <w:tcW w:w="5228" w:type="dxa"/>
          </w:tcPr>
          <w:p w:rsidR="00000000" w:rsidRDefault="00000000">
            <w:pPr>
              <w:autoSpaceDE w:val="0"/>
              <w:autoSpaceDN w:val="0"/>
              <w:adjustRightInd w:val="0"/>
              <w:spacing w:before="20" w:after="20"/>
              <w:rPr>
                <w:color w:val="000000"/>
                <w:szCs w:val="22"/>
                <w:lang w:val="fr-FR"/>
              </w:rPr>
            </w:pPr>
            <w:r>
              <w:rPr>
                <w:color w:val="000000"/>
                <w:szCs w:val="22"/>
                <w:lang w:val="fr-FR"/>
              </w:rPr>
              <w:t>Étudiants libres nationaux :</w:t>
            </w:r>
          </w:p>
        </w:tc>
        <w:tc>
          <w:tcPr>
            <w:tcW w:w="2710"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800 000 sucres</w:t>
            </w:r>
          </w:p>
        </w:tc>
      </w:tr>
      <w:tr w:rsidR="00000000">
        <w:tblPrEx>
          <w:tblCellMar>
            <w:top w:w="0" w:type="dxa"/>
            <w:bottom w:w="0" w:type="dxa"/>
          </w:tblCellMar>
        </w:tblPrEx>
        <w:tc>
          <w:tcPr>
            <w:tcW w:w="5228" w:type="dxa"/>
          </w:tcPr>
          <w:p w:rsidR="00000000" w:rsidRDefault="00000000">
            <w:pPr>
              <w:autoSpaceDE w:val="0"/>
              <w:autoSpaceDN w:val="0"/>
              <w:adjustRightInd w:val="0"/>
              <w:spacing w:before="20" w:after="20"/>
              <w:rPr>
                <w:color w:val="000000"/>
                <w:szCs w:val="22"/>
                <w:lang w:val="fr-FR"/>
              </w:rPr>
            </w:pPr>
            <w:r>
              <w:rPr>
                <w:color w:val="000000"/>
                <w:szCs w:val="22"/>
                <w:lang w:val="fr-FR"/>
              </w:rPr>
              <w:t>Étudiants libres étrangers :</w:t>
            </w:r>
          </w:p>
        </w:tc>
        <w:tc>
          <w:tcPr>
            <w:tcW w:w="2710"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1 500 000  sucres</w:t>
            </w:r>
          </w:p>
        </w:tc>
      </w:tr>
    </w:tbl>
    <w:p w:rsidR="00000000" w:rsidRDefault="00000000">
      <w:pPr>
        <w:autoSpaceDE w:val="0"/>
        <w:autoSpaceDN w:val="0"/>
        <w:adjustRightInd w:val="0"/>
        <w:ind w:firstLine="567"/>
        <w:rPr>
          <w:color w:val="000000"/>
          <w:szCs w:val="22"/>
          <w:lang w:val="fr-FR"/>
        </w:rPr>
      </w:pPr>
    </w:p>
    <w:p w:rsidR="00000000" w:rsidRDefault="00000000">
      <w:pPr>
        <w:pStyle w:val="BodyText"/>
        <w:ind w:left="567" w:hanging="567"/>
        <w:jc w:val="left"/>
        <w:rPr>
          <w:u w:val="none"/>
          <w:lang w:val="fr-FR"/>
        </w:rPr>
      </w:pPr>
      <w:r>
        <w:rPr>
          <w:u w:val="none"/>
          <w:lang w:val="fr-FR"/>
        </w:rPr>
        <w:tab/>
      </w:r>
      <w:r>
        <w:rPr>
          <w:u w:val="none"/>
          <w:lang w:val="fr-FR"/>
        </w:rPr>
        <w:tab/>
        <w:t>Le paiement des bourses est établi conformément aux barèmes correspondant aux collèges privés et publics.</w:t>
      </w:r>
    </w:p>
    <w:p w:rsidR="00000000" w:rsidRDefault="00000000">
      <w:pPr>
        <w:pStyle w:val="BodyText"/>
        <w:ind w:left="567" w:hanging="567"/>
        <w:rPr>
          <w:sz w:val="22"/>
          <w:lang w:val="fr-FR"/>
        </w:rPr>
      </w:pPr>
    </w:p>
    <w:p w:rsidR="00000000" w:rsidRDefault="00000000">
      <w:pPr>
        <w:autoSpaceDE w:val="0"/>
        <w:autoSpaceDN w:val="0"/>
        <w:adjustRightInd w:val="0"/>
        <w:ind w:left="567" w:hanging="567"/>
        <w:rPr>
          <w:color w:val="000000"/>
          <w:szCs w:val="22"/>
          <w:lang w:val="fr-FR"/>
        </w:rPr>
      </w:pPr>
      <w:r>
        <w:rPr>
          <w:color w:val="000000"/>
          <w:szCs w:val="22"/>
          <w:lang w:val="fr-FR"/>
        </w:rPr>
        <w:tab/>
      </w:r>
      <w:r>
        <w:rPr>
          <w:color w:val="000000"/>
          <w:szCs w:val="22"/>
          <w:lang w:val="fr-FR"/>
        </w:rPr>
        <w:tab/>
        <w:t xml:space="preserve">Par secteur :  social, populaire, moyen, élevé et exclusif, tableau de densité de logement, consommation d'électricité.  </w:t>
      </w:r>
    </w:p>
    <w:p w:rsidR="00000000" w:rsidRDefault="00000000">
      <w:pPr>
        <w:autoSpaceDE w:val="0"/>
        <w:autoSpaceDN w:val="0"/>
        <w:adjustRightInd w:val="0"/>
        <w:ind w:left="567" w:hanging="567"/>
        <w:rPr>
          <w:color w:val="000000"/>
          <w:szCs w:val="22"/>
          <w:lang w:val="fr-FR"/>
        </w:rPr>
      </w:pPr>
    </w:p>
    <w:p w:rsidR="00000000" w:rsidRDefault="00000000">
      <w:pPr>
        <w:autoSpaceDE w:val="0"/>
        <w:autoSpaceDN w:val="0"/>
        <w:adjustRightInd w:val="0"/>
        <w:rPr>
          <w:color w:val="000000"/>
          <w:szCs w:val="22"/>
          <w:lang w:val="fr-FR"/>
        </w:rPr>
      </w:pPr>
      <w:r>
        <w:rPr>
          <w:color w:val="000000"/>
          <w:szCs w:val="22"/>
          <w:lang w:val="fr-FR"/>
        </w:rPr>
        <w:tab/>
      </w:r>
      <w:r>
        <w:rPr>
          <w:color w:val="000000"/>
          <w:szCs w:val="22"/>
          <w:lang w:val="fr-FR"/>
        </w:rPr>
        <w:tab/>
        <w:t xml:space="preserve">Facteur académique, au profit des étudiants ayant de hauts niveaux de formation.  </w:t>
      </w:r>
    </w:p>
    <w:p w:rsidR="00000000" w:rsidRDefault="00000000">
      <w:pPr>
        <w:autoSpaceDE w:val="0"/>
        <w:autoSpaceDN w:val="0"/>
        <w:adjustRightInd w:val="0"/>
        <w:rPr>
          <w:color w:val="000000"/>
          <w:szCs w:val="22"/>
          <w:lang w:val="fr-FR"/>
        </w:rPr>
      </w:pPr>
    </w:p>
    <w:tbl>
      <w:tblPr>
        <w:tblW w:w="7938" w:type="dxa"/>
        <w:tblInd w:w="1134" w:type="dxa"/>
        <w:tblCellMar>
          <w:left w:w="70" w:type="dxa"/>
          <w:right w:w="70" w:type="dxa"/>
        </w:tblCellMar>
        <w:tblLook w:val="0000" w:firstRow="0" w:lastRow="0" w:firstColumn="0" w:lastColumn="0" w:noHBand="0" w:noVBand="0"/>
      </w:tblPr>
      <w:tblGrid>
        <w:gridCol w:w="5244"/>
        <w:gridCol w:w="2694"/>
      </w:tblGrid>
      <w:tr w:rsidR="00000000">
        <w:tblPrEx>
          <w:tblCellMar>
            <w:top w:w="0" w:type="dxa"/>
            <w:bottom w:w="0" w:type="dxa"/>
          </w:tblCellMar>
        </w:tblPrEx>
        <w:tc>
          <w:tcPr>
            <w:tcW w:w="5083"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Droits pour certificat d’immatriculation ou d’assistance aux cours </w:t>
            </w:r>
          </w:p>
        </w:tc>
        <w:tc>
          <w:tcPr>
            <w:tcW w:w="2612"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 xml:space="preserve">10 000,00 sucres  </w:t>
            </w:r>
          </w:p>
        </w:tc>
      </w:tr>
      <w:tr w:rsidR="00000000">
        <w:tblPrEx>
          <w:tblCellMar>
            <w:top w:w="0" w:type="dxa"/>
            <w:bottom w:w="0" w:type="dxa"/>
          </w:tblCellMar>
        </w:tblPrEx>
        <w:tc>
          <w:tcPr>
            <w:tcW w:w="5083"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Droit pour certification de diplôme </w:t>
            </w:r>
          </w:p>
        </w:tc>
        <w:tc>
          <w:tcPr>
            <w:tcW w:w="2612"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 xml:space="preserve">100 000,00 sucres  </w:t>
            </w:r>
          </w:p>
        </w:tc>
      </w:tr>
      <w:tr w:rsidR="00000000">
        <w:tblPrEx>
          <w:tblCellMar>
            <w:top w:w="0" w:type="dxa"/>
            <w:bottom w:w="0" w:type="dxa"/>
          </w:tblCellMar>
        </w:tblPrEx>
        <w:tc>
          <w:tcPr>
            <w:tcW w:w="5083"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Taxe de vérification du facteur socio-économique </w:t>
            </w:r>
          </w:p>
        </w:tc>
        <w:tc>
          <w:tcPr>
            <w:tcW w:w="2612"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 xml:space="preserve">70 000,00 sucres  </w:t>
            </w:r>
          </w:p>
        </w:tc>
      </w:tr>
      <w:tr w:rsidR="00000000">
        <w:tblPrEx>
          <w:tblCellMar>
            <w:top w:w="0" w:type="dxa"/>
            <w:bottom w:w="0" w:type="dxa"/>
          </w:tblCellMar>
        </w:tblPrEx>
        <w:tc>
          <w:tcPr>
            <w:tcW w:w="5083"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Taxe pour changement d’études de l'ESPOL </w:t>
            </w:r>
          </w:p>
        </w:tc>
        <w:tc>
          <w:tcPr>
            <w:tcW w:w="2612"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 xml:space="preserve">200 000,00 sucres  </w:t>
            </w:r>
          </w:p>
        </w:tc>
      </w:tr>
      <w:tr w:rsidR="00000000">
        <w:tblPrEx>
          <w:tblCellMar>
            <w:top w:w="0" w:type="dxa"/>
            <w:bottom w:w="0" w:type="dxa"/>
          </w:tblCellMar>
        </w:tblPrEx>
        <w:tc>
          <w:tcPr>
            <w:tcW w:w="5083" w:type="dxa"/>
          </w:tcPr>
          <w:p w:rsidR="00000000" w:rsidRDefault="00000000">
            <w:pPr>
              <w:autoSpaceDE w:val="0"/>
              <w:autoSpaceDN w:val="0"/>
              <w:adjustRightInd w:val="0"/>
              <w:spacing w:before="20" w:after="20"/>
              <w:rPr>
                <w:color w:val="000000"/>
                <w:szCs w:val="22"/>
                <w:lang w:val="fr-FR"/>
              </w:rPr>
            </w:pPr>
            <w:r>
              <w:rPr>
                <w:color w:val="000000"/>
                <w:szCs w:val="22"/>
                <w:lang w:val="fr-FR"/>
              </w:rPr>
              <w:t>Taxe pour validation de matière</w:t>
            </w:r>
          </w:p>
        </w:tc>
        <w:tc>
          <w:tcPr>
            <w:tcW w:w="2612"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 xml:space="preserve">50 000,00 sucres  </w:t>
            </w:r>
          </w:p>
        </w:tc>
      </w:tr>
      <w:tr w:rsidR="00000000">
        <w:tblPrEx>
          <w:tblCellMar>
            <w:top w:w="0" w:type="dxa"/>
            <w:bottom w:w="0" w:type="dxa"/>
          </w:tblCellMar>
        </w:tblPrEx>
        <w:tc>
          <w:tcPr>
            <w:tcW w:w="5083" w:type="dxa"/>
          </w:tcPr>
          <w:p w:rsidR="00000000" w:rsidRDefault="00000000">
            <w:pPr>
              <w:autoSpaceDE w:val="0"/>
              <w:autoSpaceDN w:val="0"/>
              <w:adjustRightInd w:val="0"/>
              <w:spacing w:before="20" w:after="20"/>
              <w:rPr>
                <w:color w:val="000000"/>
                <w:szCs w:val="22"/>
                <w:lang w:val="fr-FR"/>
              </w:rPr>
            </w:pPr>
            <w:r>
              <w:rPr>
                <w:color w:val="000000"/>
                <w:szCs w:val="22"/>
                <w:lang w:val="fr-FR"/>
              </w:rPr>
              <w:t>Validation par matière, pour la poursuite des études</w:t>
            </w:r>
          </w:p>
        </w:tc>
        <w:tc>
          <w:tcPr>
            <w:tcW w:w="2612"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 xml:space="preserve">600 000,00 sucres  </w:t>
            </w:r>
          </w:p>
        </w:tc>
      </w:tr>
      <w:tr w:rsidR="00000000">
        <w:tblPrEx>
          <w:tblCellMar>
            <w:top w:w="0" w:type="dxa"/>
            <w:bottom w:w="0" w:type="dxa"/>
          </w:tblCellMar>
        </w:tblPrEx>
        <w:tc>
          <w:tcPr>
            <w:tcW w:w="5083" w:type="dxa"/>
          </w:tcPr>
          <w:p w:rsidR="00000000" w:rsidRDefault="00000000">
            <w:pPr>
              <w:autoSpaceDE w:val="0"/>
              <w:autoSpaceDN w:val="0"/>
              <w:adjustRightInd w:val="0"/>
              <w:spacing w:before="20" w:after="20"/>
              <w:rPr>
                <w:color w:val="000000"/>
                <w:szCs w:val="22"/>
                <w:lang w:val="fr-FR"/>
              </w:rPr>
            </w:pPr>
            <w:r>
              <w:rPr>
                <w:color w:val="000000"/>
                <w:szCs w:val="22"/>
                <w:lang w:val="fr-FR"/>
              </w:rPr>
              <w:t>Reproduction du livret</w:t>
            </w:r>
          </w:p>
        </w:tc>
        <w:tc>
          <w:tcPr>
            <w:tcW w:w="2612"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 xml:space="preserve">45 000,00 sucres  </w:t>
            </w:r>
          </w:p>
        </w:tc>
      </w:tr>
      <w:tr w:rsidR="00000000">
        <w:tblPrEx>
          <w:tblCellMar>
            <w:top w:w="0" w:type="dxa"/>
            <w:bottom w:w="0" w:type="dxa"/>
          </w:tblCellMar>
        </w:tblPrEx>
        <w:tc>
          <w:tcPr>
            <w:tcW w:w="5083" w:type="dxa"/>
          </w:tcPr>
          <w:p w:rsidR="00000000" w:rsidRDefault="00000000">
            <w:pPr>
              <w:autoSpaceDE w:val="0"/>
              <w:autoSpaceDN w:val="0"/>
              <w:adjustRightInd w:val="0"/>
              <w:spacing w:before="20" w:after="20"/>
              <w:rPr>
                <w:color w:val="000000"/>
                <w:szCs w:val="22"/>
                <w:lang w:val="fr-FR"/>
              </w:rPr>
            </w:pPr>
            <w:r>
              <w:rPr>
                <w:color w:val="000000"/>
                <w:szCs w:val="22"/>
                <w:lang w:val="fr-FR"/>
              </w:rPr>
              <w:t>Autres certifications</w:t>
            </w:r>
          </w:p>
        </w:tc>
        <w:tc>
          <w:tcPr>
            <w:tcW w:w="2612"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 xml:space="preserve">10 000,00 sucres  </w:t>
            </w:r>
          </w:p>
        </w:tc>
      </w:tr>
    </w:tbl>
    <w:p w:rsidR="00000000" w:rsidRDefault="00000000">
      <w:pPr>
        <w:autoSpaceDE w:val="0"/>
        <w:autoSpaceDN w:val="0"/>
        <w:adjustRightInd w:val="0"/>
        <w:rPr>
          <w:color w:val="000000"/>
          <w:szCs w:val="22"/>
          <w:lang w:val="fr-FR"/>
        </w:rPr>
      </w:pPr>
    </w:p>
    <w:p w:rsidR="00000000" w:rsidRDefault="00000000">
      <w:pPr>
        <w:autoSpaceDE w:val="0"/>
        <w:autoSpaceDN w:val="0"/>
        <w:adjustRightInd w:val="0"/>
        <w:rPr>
          <w:color w:val="000000"/>
          <w:szCs w:val="22"/>
          <w:lang w:val="fr-FR"/>
        </w:rPr>
      </w:pPr>
      <w:r>
        <w:rPr>
          <w:color w:val="000000"/>
          <w:szCs w:val="22"/>
          <w:lang w:val="fr-FR"/>
        </w:rPr>
        <w:tab/>
      </w:r>
      <w:r>
        <w:rPr>
          <w:color w:val="000000"/>
          <w:szCs w:val="22"/>
          <w:lang w:val="fr-FR"/>
        </w:rPr>
        <w:tab/>
        <w:t>Il existe d'autres droits et taxes (taxes pour études semestrielles).</w:t>
      </w:r>
    </w:p>
    <w:p w:rsidR="00000000" w:rsidRDefault="00000000">
      <w:pPr>
        <w:autoSpaceDE w:val="0"/>
        <w:autoSpaceDN w:val="0"/>
        <w:adjustRightInd w:val="0"/>
        <w:rPr>
          <w:color w:val="000000"/>
          <w:szCs w:val="22"/>
          <w:lang w:val="fr-FR"/>
        </w:rPr>
      </w:pPr>
      <w:r>
        <w:rPr>
          <w:color w:val="000000"/>
          <w:szCs w:val="22"/>
          <w:lang w:val="fr-FR"/>
        </w:rPr>
        <w:t xml:space="preserve"> </w:t>
      </w:r>
    </w:p>
    <w:p w:rsidR="00000000" w:rsidRDefault="00000000">
      <w:pPr>
        <w:autoSpaceDE w:val="0"/>
        <w:autoSpaceDN w:val="0"/>
        <w:adjustRightInd w:val="0"/>
        <w:rPr>
          <w:i/>
          <w:iCs/>
          <w:color w:val="000000"/>
          <w:szCs w:val="22"/>
          <w:lang w:val="fr-FR"/>
        </w:rPr>
      </w:pPr>
      <w:r>
        <w:rPr>
          <w:b/>
          <w:bCs/>
          <w:i/>
          <w:iCs/>
          <w:color w:val="000000"/>
          <w:szCs w:val="22"/>
          <w:lang w:val="fr-FR"/>
        </w:rPr>
        <w:tab/>
        <w:t xml:space="preserve">Universités privées subventionnées par l'État </w:t>
      </w:r>
    </w:p>
    <w:p w:rsidR="00000000" w:rsidRDefault="00000000">
      <w:pPr>
        <w:autoSpaceDE w:val="0"/>
        <w:autoSpaceDN w:val="0"/>
        <w:adjustRightInd w:val="0"/>
        <w:rPr>
          <w:i/>
          <w:iCs/>
          <w:color w:val="000000"/>
          <w:szCs w:val="22"/>
          <w:lang w:val="fr-FR"/>
        </w:rPr>
      </w:pPr>
    </w:p>
    <w:p w:rsidR="00000000" w:rsidRDefault="00000000">
      <w:pPr>
        <w:autoSpaceDE w:val="0"/>
        <w:autoSpaceDN w:val="0"/>
        <w:adjustRightInd w:val="0"/>
        <w:rPr>
          <w:i/>
          <w:iCs/>
          <w:color w:val="000000"/>
          <w:szCs w:val="22"/>
          <w:lang w:val="fr-FR"/>
        </w:rPr>
      </w:pPr>
      <w:r>
        <w:rPr>
          <w:i/>
          <w:iCs/>
          <w:color w:val="000000"/>
          <w:szCs w:val="22"/>
          <w:lang w:val="fr-FR"/>
        </w:rPr>
        <w:tab/>
        <w:t xml:space="preserve">Université Catholique Santiago de Guayaquil  (1999 jusqu'à 2000)  </w:t>
      </w:r>
    </w:p>
    <w:p w:rsidR="00000000" w:rsidRDefault="00000000">
      <w:pPr>
        <w:autoSpaceDE w:val="0"/>
        <w:autoSpaceDN w:val="0"/>
        <w:adjustRightInd w:val="0"/>
        <w:rPr>
          <w:color w:val="000000"/>
          <w:szCs w:val="22"/>
          <w:lang w:val="fr-FR"/>
        </w:rPr>
      </w:pPr>
    </w:p>
    <w:p w:rsidR="00000000" w:rsidRDefault="00000000">
      <w:pPr>
        <w:pStyle w:val="BodyText"/>
        <w:ind w:left="567" w:hanging="567"/>
        <w:jc w:val="left"/>
        <w:rPr>
          <w:u w:val="none"/>
          <w:lang w:val="fr-FR"/>
        </w:rPr>
      </w:pPr>
      <w:r>
        <w:rPr>
          <w:u w:val="none"/>
          <w:lang w:val="fr-FR"/>
        </w:rPr>
        <w:tab/>
      </w:r>
      <w:r>
        <w:rPr>
          <w:u w:val="none"/>
          <w:lang w:val="fr-FR"/>
        </w:rPr>
        <w:tab/>
        <w:t xml:space="preserve">L'Université perçoit des droits d’immatriculation sur une échelle à sept niveaux, selon la situation socio-économique de l'étudiant, comme indiqué ci-après : </w:t>
      </w:r>
    </w:p>
    <w:p w:rsidR="00000000" w:rsidRDefault="00000000">
      <w:pPr>
        <w:pStyle w:val="BodyText"/>
        <w:rPr>
          <w:sz w:val="22"/>
          <w:lang w:val="fr-FR"/>
        </w:rPr>
      </w:pPr>
    </w:p>
    <w:tbl>
      <w:tblPr>
        <w:tblW w:w="4080" w:type="dxa"/>
        <w:tblInd w:w="1134" w:type="dxa"/>
        <w:tblCellMar>
          <w:left w:w="70" w:type="dxa"/>
          <w:right w:w="70" w:type="dxa"/>
        </w:tblCellMar>
        <w:tblLook w:val="0000" w:firstRow="0" w:lastRow="0" w:firstColumn="0" w:lastColumn="0" w:noHBand="0" w:noVBand="0"/>
      </w:tblPr>
      <w:tblGrid>
        <w:gridCol w:w="1080"/>
        <w:gridCol w:w="3000"/>
      </w:tblGrid>
      <w:tr w:rsidR="00000000">
        <w:tblPrEx>
          <w:tblCellMar>
            <w:top w:w="0" w:type="dxa"/>
            <w:bottom w:w="0" w:type="dxa"/>
          </w:tblCellMar>
        </w:tblPrEx>
        <w:tc>
          <w:tcPr>
            <w:tcW w:w="1080" w:type="dxa"/>
          </w:tcPr>
          <w:p w:rsidR="00000000" w:rsidRDefault="00000000">
            <w:pPr>
              <w:autoSpaceDE w:val="0"/>
              <w:autoSpaceDN w:val="0"/>
              <w:adjustRightInd w:val="0"/>
              <w:spacing w:before="20" w:after="20"/>
              <w:rPr>
                <w:color w:val="000000"/>
                <w:szCs w:val="22"/>
                <w:lang w:val="fr-FR"/>
              </w:rPr>
            </w:pPr>
            <w:r>
              <w:rPr>
                <w:color w:val="000000"/>
                <w:szCs w:val="22"/>
                <w:lang w:val="fr-FR"/>
              </w:rPr>
              <w:t>1.</w:t>
            </w:r>
          </w:p>
        </w:tc>
        <w:tc>
          <w:tcPr>
            <w:tcW w:w="3000"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116 265,00 sucres </w:t>
            </w:r>
          </w:p>
        </w:tc>
      </w:tr>
      <w:tr w:rsidR="00000000">
        <w:tblPrEx>
          <w:tblCellMar>
            <w:top w:w="0" w:type="dxa"/>
            <w:bottom w:w="0" w:type="dxa"/>
          </w:tblCellMar>
        </w:tblPrEx>
        <w:tc>
          <w:tcPr>
            <w:tcW w:w="1080" w:type="dxa"/>
          </w:tcPr>
          <w:p w:rsidR="00000000" w:rsidRDefault="00000000">
            <w:pPr>
              <w:autoSpaceDE w:val="0"/>
              <w:autoSpaceDN w:val="0"/>
              <w:adjustRightInd w:val="0"/>
              <w:spacing w:before="20" w:after="20"/>
              <w:rPr>
                <w:color w:val="000000"/>
                <w:szCs w:val="22"/>
                <w:lang w:val="fr-FR"/>
              </w:rPr>
            </w:pPr>
            <w:r>
              <w:rPr>
                <w:color w:val="000000"/>
                <w:szCs w:val="22"/>
                <w:lang w:val="fr-FR"/>
              </w:rPr>
              <w:t>2.</w:t>
            </w:r>
          </w:p>
        </w:tc>
        <w:tc>
          <w:tcPr>
            <w:tcW w:w="3000"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200 000,00 sucres </w:t>
            </w:r>
          </w:p>
        </w:tc>
      </w:tr>
      <w:tr w:rsidR="00000000">
        <w:tblPrEx>
          <w:tblCellMar>
            <w:top w:w="0" w:type="dxa"/>
            <w:bottom w:w="0" w:type="dxa"/>
          </w:tblCellMar>
        </w:tblPrEx>
        <w:tc>
          <w:tcPr>
            <w:tcW w:w="1080" w:type="dxa"/>
          </w:tcPr>
          <w:p w:rsidR="00000000" w:rsidRDefault="00000000">
            <w:pPr>
              <w:autoSpaceDE w:val="0"/>
              <w:autoSpaceDN w:val="0"/>
              <w:adjustRightInd w:val="0"/>
              <w:spacing w:before="20" w:after="20"/>
              <w:rPr>
                <w:color w:val="000000"/>
                <w:szCs w:val="22"/>
                <w:lang w:val="fr-FR"/>
              </w:rPr>
            </w:pPr>
            <w:r>
              <w:rPr>
                <w:color w:val="000000"/>
                <w:szCs w:val="22"/>
                <w:lang w:val="fr-FR"/>
              </w:rPr>
              <w:t>3.</w:t>
            </w:r>
          </w:p>
        </w:tc>
        <w:tc>
          <w:tcPr>
            <w:tcW w:w="3000"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346 027,00 sucres </w:t>
            </w:r>
          </w:p>
        </w:tc>
      </w:tr>
      <w:tr w:rsidR="00000000">
        <w:tblPrEx>
          <w:tblCellMar>
            <w:top w:w="0" w:type="dxa"/>
            <w:bottom w:w="0" w:type="dxa"/>
          </w:tblCellMar>
        </w:tblPrEx>
        <w:tc>
          <w:tcPr>
            <w:tcW w:w="1080" w:type="dxa"/>
          </w:tcPr>
          <w:p w:rsidR="00000000" w:rsidRDefault="00000000">
            <w:pPr>
              <w:autoSpaceDE w:val="0"/>
              <w:autoSpaceDN w:val="0"/>
              <w:adjustRightInd w:val="0"/>
              <w:spacing w:before="20" w:after="20"/>
              <w:rPr>
                <w:color w:val="000000"/>
                <w:szCs w:val="22"/>
                <w:lang w:val="fr-FR"/>
              </w:rPr>
            </w:pPr>
            <w:r>
              <w:rPr>
                <w:color w:val="000000"/>
                <w:szCs w:val="22"/>
                <w:lang w:val="fr-FR"/>
              </w:rPr>
              <w:t>4.</w:t>
            </w:r>
          </w:p>
        </w:tc>
        <w:tc>
          <w:tcPr>
            <w:tcW w:w="3000"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519 041,00 sucres </w:t>
            </w:r>
          </w:p>
        </w:tc>
      </w:tr>
      <w:tr w:rsidR="00000000">
        <w:tblPrEx>
          <w:tblCellMar>
            <w:top w:w="0" w:type="dxa"/>
            <w:bottom w:w="0" w:type="dxa"/>
          </w:tblCellMar>
        </w:tblPrEx>
        <w:tc>
          <w:tcPr>
            <w:tcW w:w="1080" w:type="dxa"/>
          </w:tcPr>
          <w:p w:rsidR="00000000" w:rsidRDefault="00000000">
            <w:pPr>
              <w:autoSpaceDE w:val="0"/>
              <w:autoSpaceDN w:val="0"/>
              <w:adjustRightInd w:val="0"/>
              <w:spacing w:before="20" w:after="20"/>
              <w:rPr>
                <w:color w:val="000000"/>
                <w:szCs w:val="22"/>
                <w:lang w:val="fr-FR"/>
              </w:rPr>
            </w:pPr>
            <w:r>
              <w:rPr>
                <w:color w:val="000000"/>
                <w:szCs w:val="22"/>
                <w:lang w:val="fr-FR"/>
              </w:rPr>
              <w:t>5.</w:t>
            </w:r>
          </w:p>
        </w:tc>
        <w:tc>
          <w:tcPr>
            <w:tcW w:w="3000"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692 055,00 sucres </w:t>
            </w:r>
          </w:p>
        </w:tc>
      </w:tr>
      <w:tr w:rsidR="00000000">
        <w:tblPrEx>
          <w:tblCellMar>
            <w:top w:w="0" w:type="dxa"/>
            <w:bottom w:w="0" w:type="dxa"/>
          </w:tblCellMar>
        </w:tblPrEx>
        <w:tc>
          <w:tcPr>
            <w:tcW w:w="1080" w:type="dxa"/>
          </w:tcPr>
          <w:p w:rsidR="00000000" w:rsidRDefault="00000000">
            <w:pPr>
              <w:autoSpaceDE w:val="0"/>
              <w:autoSpaceDN w:val="0"/>
              <w:adjustRightInd w:val="0"/>
              <w:spacing w:before="20" w:after="20"/>
              <w:rPr>
                <w:color w:val="000000"/>
                <w:szCs w:val="22"/>
                <w:lang w:val="fr-FR"/>
              </w:rPr>
            </w:pPr>
            <w:r>
              <w:rPr>
                <w:color w:val="000000"/>
                <w:szCs w:val="22"/>
                <w:lang w:val="fr-FR"/>
              </w:rPr>
              <w:t>6.</w:t>
            </w:r>
          </w:p>
        </w:tc>
        <w:tc>
          <w:tcPr>
            <w:tcW w:w="3000"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897 199,00 sucres </w:t>
            </w:r>
          </w:p>
        </w:tc>
      </w:tr>
      <w:tr w:rsidR="00000000">
        <w:tblPrEx>
          <w:tblCellMar>
            <w:top w:w="0" w:type="dxa"/>
            <w:bottom w:w="0" w:type="dxa"/>
          </w:tblCellMar>
        </w:tblPrEx>
        <w:tc>
          <w:tcPr>
            <w:tcW w:w="1080" w:type="dxa"/>
          </w:tcPr>
          <w:p w:rsidR="00000000" w:rsidRDefault="00000000">
            <w:pPr>
              <w:autoSpaceDE w:val="0"/>
              <w:autoSpaceDN w:val="0"/>
              <w:adjustRightInd w:val="0"/>
              <w:spacing w:before="20" w:after="20"/>
              <w:rPr>
                <w:color w:val="000000"/>
                <w:szCs w:val="22"/>
                <w:lang w:val="fr-FR"/>
              </w:rPr>
            </w:pPr>
            <w:r>
              <w:rPr>
                <w:color w:val="000000"/>
                <w:szCs w:val="22"/>
                <w:lang w:val="fr-FR"/>
              </w:rPr>
              <w:t>7.</w:t>
            </w:r>
          </w:p>
        </w:tc>
        <w:tc>
          <w:tcPr>
            <w:tcW w:w="3000"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1 147 516,00 sucres  </w:t>
            </w:r>
          </w:p>
        </w:tc>
      </w:tr>
    </w:tbl>
    <w:p w:rsidR="00000000" w:rsidRDefault="00000000">
      <w:pPr>
        <w:autoSpaceDE w:val="0"/>
        <w:autoSpaceDN w:val="0"/>
        <w:adjustRightInd w:val="0"/>
        <w:rPr>
          <w:i/>
          <w:iCs/>
          <w:color w:val="000000"/>
          <w:szCs w:val="22"/>
          <w:lang w:val="fr-FR"/>
        </w:rPr>
      </w:pPr>
    </w:p>
    <w:p w:rsidR="00000000" w:rsidRDefault="00000000">
      <w:pPr>
        <w:pStyle w:val="Heading4"/>
        <w:rPr>
          <w:b w:val="0"/>
          <w:bCs w:val="0"/>
          <w:i/>
          <w:iCs/>
          <w:sz w:val="24"/>
          <w:lang w:val="fr-FR"/>
        </w:rPr>
      </w:pPr>
      <w:r>
        <w:rPr>
          <w:b w:val="0"/>
          <w:bCs w:val="0"/>
          <w:i/>
          <w:iCs/>
          <w:sz w:val="24"/>
          <w:lang w:val="fr-FR"/>
        </w:rPr>
        <w:tab/>
        <w:t>Université Laïque Vicente Rocafuerte de Guayaquil</w:t>
      </w:r>
    </w:p>
    <w:p w:rsidR="00000000" w:rsidRDefault="00000000">
      <w:pPr>
        <w:rPr>
          <w:lang w:val="fr-FR"/>
        </w:rPr>
      </w:pPr>
    </w:p>
    <w:tbl>
      <w:tblPr>
        <w:tblW w:w="7938" w:type="dxa"/>
        <w:tblInd w:w="1134" w:type="dxa"/>
        <w:tblCellMar>
          <w:left w:w="70" w:type="dxa"/>
          <w:right w:w="70" w:type="dxa"/>
        </w:tblCellMar>
        <w:tblLook w:val="0000" w:firstRow="0" w:lastRow="0" w:firstColumn="0" w:lastColumn="0" w:noHBand="0" w:noVBand="0"/>
      </w:tblPr>
      <w:tblGrid>
        <w:gridCol w:w="5776"/>
        <w:gridCol w:w="2162"/>
      </w:tblGrid>
      <w:tr w:rsidR="00000000">
        <w:tblPrEx>
          <w:tblCellMar>
            <w:top w:w="0" w:type="dxa"/>
            <w:bottom w:w="0" w:type="dxa"/>
          </w:tblCellMar>
        </w:tblPrEx>
        <w:tc>
          <w:tcPr>
            <w:tcW w:w="5776"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Immatriculation ordinaire </w:t>
            </w:r>
          </w:p>
        </w:tc>
        <w:tc>
          <w:tcPr>
            <w:tcW w:w="2162"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200 000,00 sucres</w:t>
            </w:r>
          </w:p>
        </w:tc>
      </w:tr>
      <w:tr w:rsidR="00000000">
        <w:tblPrEx>
          <w:tblCellMar>
            <w:top w:w="0" w:type="dxa"/>
            <w:bottom w:w="0" w:type="dxa"/>
          </w:tblCellMar>
        </w:tblPrEx>
        <w:tc>
          <w:tcPr>
            <w:tcW w:w="5776"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Immatriculation extraordinaire </w:t>
            </w:r>
          </w:p>
        </w:tc>
        <w:tc>
          <w:tcPr>
            <w:tcW w:w="2162"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 xml:space="preserve">300 000,00 sucres </w:t>
            </w:r>
          </w:p>
        </w:tc>
      </w:tr>
      <w:tr w:rsidR="00000000">
        <w:tblPrEx>
          <w:tblCellMar>
            <w:top w:w="0" w:type="dxa"/>
            <w:bottom w:w="0" w:type="dxa"/>
          </w:tblCellMar>
        </w:tblPrEx>
        <w:tc>
          <w:tcPr>
            <w:tcW w:w="5776"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Seconde immatriculation </w:t>
            </w:r>
          </w:p>
        </w:tc>
        <w:tc>
          <w:tcPr>
            <w:tcW w:w="2162"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 xml:space="preserve">400 000,00 sucres </w:t>
            </w:r>
          </w:p>
        </w:tc>
      </w:tr>
      <w:tr w:rsidR="00000000">
        <w:tblPrEx>
          <w:tblCellMar>
            <w:top w:w="0" w:type="dxa"/>
            <w:bottom w:w="0" w:type="dxa"/>
          </w:tblCellMar>
        </w:tblPrEx>
        <w:tc>
          <w:tcPr>
            <w:tcW w:w="5776"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Troisième immatriculation </w:t>
            </w:r>
          </w:p>
        </w:tc>
        <w:tc>
          <w:tcPr>
            <w:tcW w:w="2162"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 xml:space="preserve">600 000,00 sucres </w:t>
            </w:r>
          </w:p>
        </w:tc>
      </w:tr>
      <w:tr w:rsidR="00000000">
        <w:tblPrEx>
          <w:tblCellMar>
            <w:top w:w="0" w:type="dxa"/>
            <w:bottom w:w="0" w:type="dxa"/>
          </w:tblCellMar>
        </w:tblPrEx>
        <w:tc>
          <w:tcPr>
            <w:tcW w:w="5776"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Immatriculation pour étrangers (première occasion) </w:t>
            </w:r>
          </w:p>
        </w:tc>
        <w:tc>
          <w:tcPr>
            <w:tcW w:w="2162"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 xml:space="preserve">3 000 000,00 sucres </w:t>
            </w:r>
          </w:p>
        </w:tc>
      </w:tr>
      <w:tr w:rsidR="00000000">
        <w:tblPrEx>
          <w:tblCellMar>
            <w:top w:w="0" w:type="dxa"/>
            <w:bottom w:w="0" w:type="dxa"/>
          </w:tblCellMar>
        </w:tblPrEx>
        <w:tc>
          <w:tcPr>
            <w:tcW w:w="5776"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Immatriculation pour étrangers (élèves de l'université) </w:t>
            </w:r>
          </w:p>
        </w:tc>
        <w:tc>
          <w:tcPr>
            <w:tcW w:w="2162"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 xml:space="preserve">600 000,00 sucres  </w:t>
            </w:r>
          </w:p>
        </w:tc>
      </w:tr>
      <w:tr w:rsidR="00000000">
        <w:tblPrEx>
          <w:tblCellMar>
            <w:top w:w="0" w:type="dxa"/>
            <w:bottom w:w="0" w:type="dxa"/>
          </w:tblCellMar>
        </w:tblPrEx>
        <w:tc>
          <w:tcPr>
            <w:tcW w:w="5776" w:type="dxa"/>
          </w:tcPr>
          <w:p w:rsidR="00000000" w:rsidRDefault="00000000">
            <w:pPr>
              <w:autoSpaceDE w:val="0"/>
              <w:autoSpaceDN w:val="0"/>
              <w:adjustRightInd w:val="0"/>
              <w:spacing w:before="20" w:after="20"/>
              <w:rPr>
                <w:color w:val="000000"/>
                <w:szCs w:val="22"/>
                <w:lang w:val="fr-FR"/>
              </w:rPr>
            </w:pPr>
            <w:r>
              <w:rPr>
                <w:color w:val="000000"/>
                <w:szCs w:val="22"/>
                <w:lang w:val="fr-FR"/>
              </w:rPr>
              <w:t xml:space="preserve">Autre type d'immatriculation, après autorisation préalable du rectorat </w:t>
            </w:r>
          </w:p>
        </w:tc>
        <w:tc>
          <w:tcPr>
            <w:tcW w:w="2162" w:type="dxa"/>
          </w:tcPr>
          <w:p w:rsidR="00000000" w:rsidRDefault="00000000">
            <w:pPr>
              <w:autoSpaceDE w:val="0"/>
              <w:autoSpaceDN w:val="0"/>
              <w:adjustRightInd w:val="0"/>
              <w:spacing w:before="20" w:after="20"/>
              <w:jc w:val="right"/>
              <w:rPr>
                <w:color w:val="000000"/>
                <w:szCs w:val="22"/>
                <w:lang w:val="fr-FR"/>
              </w:rPr>
            </w:pPr>
            <w:r>
              <w:rPr>
                <w:color w:val="000000"/>
                <w:szCs w:val="22"/>
                <w:lang w:val="fr-FR"/>
              </w:rPr>
              <w:t xml:space="preserve">600 000,00 sucres  </w:t>
            </w:r>
          </w:p>
        </w:tc>
      </w:tr>
    </w:tbl>
    <w:p w:rsidR="00000000" w:rsidRDefault="00000000">
      <w:pPr>
        <w:autoSpaceDE w:val="0"/>
        <w:autoSpaceDN w:val="0"/>
        <w:adjustRightInd w:val="0"/>
        <w:ind w:left="567"/>
        <w:rPr>
          <w:i/>
          <w:iCs/>
          <w:color w:val="000000"/>
          <w:szCs w:val="22"/>
          <w:lang w:val="fr-FR"/>
        </w:rPr>
      </w:pPr>
      <w:r>
        <w:rPr>
          <w:i/>
          <w:iCs/>
          <w:color w:val="000000"/>
          <w:szCs w:val="22"/>
          <w:lang w:val="fr-FR"/>
        </w:rPr>
        <w:t xml:space="preserve">Bourse mensuelle  </w:t>
      </w:r>
    </w:p>
    <w:p w:rsidR="00000000" w:rsidRDefault="00000000">
      <w:pPr>
        <w:autoSpaceDE w:val="0"/>
        <w:autoSpaceDN w:val="0"/>
        <w:adjustRightInd w:val="0"/>
        <w:rPr>
          <w:color w:val="000000"/>
          <w:sz w:val="22"/>
          <w:szCs w:val="22"/>
          <w:lang w:val="fr-FR"/>
        </w:rPr>
      </w:pPr>
    </w:p>
    <w:tbl>
      <w:tblPr>
        <w:tblW w:w="7938" w:type="dxa"/>
        <w:tblInd w:w="1134" w:type="dxa"/>
        <w:tblCellMar>
          <w:left w:w="70" w:type="dxa"/>
          <w:right w:w="70" w:type="dxa"/>
        </w:tblCellMar>
        <w:tblLook w:val="0000" w:firstRow="0" w:lastRow="0" w:firstColumn="0" w:lastColumn="0" w:noHBand="0" w:noVBand="0"/>
      </w:tblPr>
      <w:tblGrid>
        <w:gridCol w:w="5776"/>
        <w:gridCol w:w="2162"/>
      </w:tblGrid>
      <w:tr w:rsidR="00000000">
        <w:tblPrEx>
          <w:tblCellMar>
            <w:top w:w="0" w:type="dxa"/>
            <w:bottom w:w="0" w:type="dxa"/>
          </w:tblCellMar>
        </w:tblPrEx>
        <w:tc>
          <w:tcPr>
            <w:tcW w:w="5776" w:type="dxa"/>
          </w:tcPr>
          <w:p w:rsidR="00000000" w:rsidRDefault="00000000">
            <w:pPr>
              <w:autoSpaceDE w:val="0"/>
              <w:autoSpaceDN w:val="0"/>
              <w:adjustRightInd w:val="0"/>
              <w:spacing w:before="20"/>
              <w:rPr>
                <w:color w:val="000000"/>
                <w:szCs w:val="22"/>
                <w:lang w:val="fr-FR"/>
              </w:rPr>
            </w:pPr>
            <w:r>
              <w:rPr>
                <w:color w:val="000000"/>
                <w:szCs w:val="22"/>
                <w:lang w:val="fr-FR"/>
              </w:rPr>
              <w:t xml:space="preserve">De la première à la sixième année </w:t>
            </w:r>
          </w:p>
        </w:tc>
        <w:tc>
          <w:tcPr>
            <w:tcW w:w="2162" w:type="dxa"/>
          </w:tcPr>
          <w:p w:rsidR="00000000" w:rsidRDefault="00000000">
            <w:pPr>
              <w:autoSpaceDE w:val="0"/>
              <w:autoSpaceDN w:val="0"/>
              <w:adjustRightInd w:val="0"/>
              <w:spacing w:before="20"/>
              <w:jc w:val="right"/>
              <w:rPr>
                <w:color w:val="000000"/>
                <w:szCs w:val="22"/>
                <w:lang w:val="fr-FR"/>
              </w:rPr>
            </w:pPr>
            <w:r>
              <w:rPr>
                <w:color w:val="000000"/>
                <w:szCs w:val="22"/>
                <w:lang w:val="fr-FR"/>
              </w:rPr>
              <w:t xml:space="preserve">300 000,00 sucres </w:t>
            </w:r>
          </w:p>
        </w:tc>
      </w:tr>
      <w:tr w:rsidR="00000000">
        <w:tblPrEx>
          <w:tblCellMar>
            <w:top w:w="0" w:type="dxa"/>
            <w:bottom w:w="0" w:type="dxa"/>
          </w:tblCellMar>
        </w:tblPrEx>
        <w:tc>
          <w:tcPr>
            <w:tcW w:w="5776" w:type="dxa"/>
          </w:tcPr>
          <w:p w:rsidR="00000000" w:rsidRDefault="00000000">
            <w:pPr>
              <w:autoSpaceDE w:val="0"/>
              <w:autoSpaceDN w:val="0"/>
              <w:adjustRightInd w:val="0"/>
              <w:spacing w:before="20"/>
              <w:rPr>
                <w:color w:val="000000"/>
                <w:szCs w:val="22"/>
                <w:lang w:val="fr-FR"/>
              </w:rPr>
            </w:pPr>
            <w:r>
              <w:rPr>
                <w:color w:val="000000"/>
                <w:szCs w:val="22"/>
                <w:lang w:val="fr-FR"/>
              </w:rPr>
              <w:t xml:space="preserve">Droits d'examens finals </w:t>
            </w:r>
          </w:p>
        </w:tc>
        <w:tc>
          <w:tcPr>
            <w:tcW w:w="2162" w:type="dxa"/>
          </w:tcPr>
          <w:p w:rsidR="00000000" w:rsidRDefault="00000000">
            <w:pPr>
              <w:autoSpaceDE w:val="0"/>
              <w:autoSpaceDN w:val="0"/>
              <w:adjustRightInd w:val="0"/>
              <w:spacing w:before="20"/>
              <w:jc w:val="right"/>
              <w:rPr>
                <w:color w:val="000000"/>
                <w:szCs w:val="22"/>
                <w:lang w:val="fr-FR"/>
              </w:rPr>
            </w:pPr>
            <w:r>
              <w:rPr>
                <w:color w:val="000000"/>
                <w:szCs w:val="22"/>
                <w:lang w:val="fr-FR"/>
              </w:rPr>
              <w:t>150 000,00 sucres</w:t>
            </w:r>
          </w:p>
        </w:tc>
      </w:tr>
      <w:tr w:rsidR="00000000">
        <w:tblPrEx>
          <w:tblCellMar>
            <w:top w:w="0" w:type="dxa"/>
            <w:bottom w:w="0" w:type="dxa"/>
          </w:tblCellMar>
        </w:tblPrEx>
        <w:tc>
          <w:tcPr>
            <w:tcW w:w="5776" w:type="dxa"/>
          </w:tcPr>
          <w:p w:rsidR="00000000" w:rsidRDefault="00000000">
            <w:pPr>
              <w:autoSpaceDE w:val="0"/>
              <w:autoSpaceDN w:val="0"/>
              <w:adjustRightInd w:val="0"/>
              <w:spacing w:before="20"/>
              <w:rPr>
                <w:color w:val="000000"/>
                <w:szCs w:val="22"/>
                <w:lang w:val="fr-FR"/>
              </w:rPr>
            </w:pPr>
            <w:r>
              <w:rPr>
                <w:color w:val="000000"/>
                <w:szCs w:val="22"/>
                <w:lang w:val="fr-FR"/>
              </w:rPr>
              <w:t xml:space="preserve">Droits d'examens finals (reports et suspensions) </w:t>
            </w:r>
          </w:p>
        </w:tc>
        <w:tc>
          <w:tcPr>
            <w:tcW w:w="2162" w:type="dxa"/>
          </w:tcPr>
          <w:p w:rsidR="00000000" w:rsidRDefault="00000000">
            <w:pPr>
              <w:autoSpaceDE w:val="0"/>
              <w:autoSpaceDN w:val="0"/>
              <w:adjustRightInd w:val="0"/>
              <w:spacing w:before="20"/>
              <w:jc w:val="right"/>
              <w:rPr>
                <w:color w:val="000000"/>
                <w:szCs w:val="22"/>
                <w:lang w:val="fr-FR"/>
              </w:rPr>
            </w:pPr>
            <w:r>
              <w:rPr>
                <w:color w:val="000000"/>
                <w:szCs w:val="22"/>
                <w:lang w:val="fr-FR"/>
              </w:rPr>
              <w:t>25 000,00 sucres</w:t>
            </w:r>
          </w:p>
        </w:tc>
      </w:tr>
      <w:tr w:rsidR="00000000">
        <w:tblPrEx>
          <w:tblCellMar>
            <w:top w:w="0" w:type="dxa"/>
            <w:bottom w:w="0" w:type="dxa"/>
          </w:tblCellMar>
        </w:tblPrEx>
        <w:tc>
          <w:tcPr>
            <w:tcW w:w="5776" w:type="dxa"/>
          </w:tcPr>
          <w:p w:rsidR="00000000" w:rsidRDefault="00000000">
            <w:pPr>
              <w:autoSpaceDE w:val="0"/>
              <w:autoSpaceDN w:val="0"/>
              <w:adjustRightInd w:val="0"/>
              <w:spacing w:before="20"/>
              <w:rPr>
                <w:color w:val="000000"/>
                <w:szCs w:val="22"/>
                <w:lang w:val="fr-FR"/>
              </w:rPr>
            </w:pPr>
            <w:r>
              <w:rPr>
                <w:color w:val="000000"/>
                <w:szCs w:val="22"/>
                <w:lang w:val="fr-FR"/>
              </w:rPr>
              <w:t xml:space="preserve">Droit d'examen partiel ou retardé </w:t>
            </w:r>
          </w:p>
        </w:tc>
        <w:tc>
          <w:tcPr>
            <w:tcW w:w="2162" w:type="dxa"/>
          </w:tcPr>
          <w:p w:rsidR="00000000" w:rsidRDefault="00000000">
            <w:pPr>
              <w:autoSpaceDE w:val="0"/>
              <w:autoSpaceDN w:val="0"/>
              <w:adjustRightInd w:val="0"/>
              <w:spacing w:before="20"/>
              <w:jc w:val="right"/>
              <w:rPr>
                <w:color w:val="000000"/>
                <w:szCs w:val="22"/>
                <w:lang w:val="fr-FR"/>
              </w:rPr>
            </w:pPr>
            <w:r>
              <w:rPr>
                <w:color w:val="000000"/>
                <w:szCs w:val="22"/>
                <w:lang w:val="fr-FR"/>
              </w:rPr>
              <w:t>25 000,00 sucres</w:t>
            </w:r>
          </w:p>
        </w:tc>
      </w:tr>
      <w:tr w:rsidR="00000000">
        <w:tblPrEx>
          <w:tblCellMar>
            <w:top w:w="0" w:type="dxa"/>
            <w:bottom w:w="0" w:type="dxa"/>
          </w:tblCellMar>
        </w:tblPrEx>
        <w:tc>
          <w:tcPr>
            <w:tcW w:w="5776" w:type="dxa"/>
          </w:tcPr>
          <w:p w:rsidR="00000000" w:rsidRDefault="00000000">
            <w:pPr>
              <w:autoSpaceDE w:val="0"/>
              <w:autoSpaceDN w:val="0"/>
              <w:adjustRightInd w:val="0"/>
              <w:spacing w:before="20"/>
              <w:rPr>
                <w:color w:val="000000"/>
                <w:szCs w:val="22"/>
                <w:lang w:val="fr-FR"/>
              </w:rPr>
            </w:pPr>
            <w:r>
              <w:rPr>
                <w:color w:val="000000"/>
                <w:szCs w:val="22"/>
                <w:lang w:val="fr-FR"/>
              </w:rPr>
              <w:t xml:space="preserve">Droit d'examen complémentaire </w:t>
            </w:r>
          </w:p>
        </w:tc>
        <w:tc>
          <w:tcPr>
            <w:tcW w:w="2162" w:type="dxa"/>
          </w:tcPr>
          <w:p w:rsidR="00000000" w:rsidRDefault="00000000">
            <w:pPr>
              <w:autoSpaceDE w:val="0"/>
              <w:autoSpaceDN w:val="0"/>
              <w:adjustRightInd w:val="0"/>
              <w:spacing w:before="20"/>
              <w:jc w:val="right"/>
              <w:rPr>
                <w:color w:val="000000"/>
                <w:szCs w:val="22"/>
                <w:lang w:val="fr-FR"/>
              </w:rPr>
            </w:pPr>
            <w:r>
              <w:rPr>
                <w:color w:val="000000"/>
                <w:szCs w:val="22"/>
                <w:lang w:val="fr-FR"/>
              </w:rPr>
              <w:t>25 000,00 sucres</w:t>
            </w:r>
          </w:p>
        </w:tc>
      </w:tr>
      <w:tr w:rsidR="00000000">
        <w:tblPrEx>
          <w:tblCellMar>
            <w:top w:w="0" w:type="dxa"/>
            <w:bottom w:w="0" w:type="dxa"/>
          </w:tblCellMar>
        </w:tblPrEx>
        <w:tc>
          <w:tcPr>
            <w:tcW w:w="5776" w:type="dxa"/>
          </w:tcPr>
          <w:p w:rsidR="00000000" w:rsidRDefault="00000000">
            <w:pPr>
              <w:autoSpaceDE w:val="0"/>
              <w:autoSpaceDN w:val="0"/>
              <w:adjustRightInd w:val="0"/>
              <w:spacing w:before="20"/>
              <w:rPr>
                <w:color w:val="000000"/>
                <w:szCs w:val="22"/>
                <w:lang w:val="fr-FR"/>
              </w:rPr>
            </w:pPr>
            <w:r>
              <w:rPr>
                <w:color w:val="000000"/>
                <w:szCs w:val="22"/>
                <w:lang w:val="fr-FR"/>
              </w:rPr>
              <w:t xml:space="preserve">Droit d'examen supplémentaire </w:t>
            </w:r>
          </w:p>
        </w:tc>
        <w:tc>
          <w:tcPr>
            <w:tcW w:w="2162" w:type="dxa"/>
          </w:tcPr>
          <w:p w:rsidR="00000000" w:rsidRDefault="00000000">
            <w:pPr>
              <w:autoSpaceDE w:val="0"/>
              <w:autoSpaceDN w:val="0"/>
              <w:adjustRightInd w:val="0"/>
              <w:spacing w:before="20"/>
              <w:jc w:val="right"/>
              <w:rPr>
                <w:color w:val="000000"/>
                <w:szCs w:val="22"/>
                <w:lang w:val="fr-FR"/>
              </w:rPr>
            </w:pPr>
            <w:r>
              <w:rPr>
                <w:color w:val="000000"/>
                <w:szCs w:val="22"/>
                <w:lang w:val="fr-FR"/>
              </w:rPr>
              <w:t>50 000,00 sucres</w:t>
            </w:r>
          </w:p>
        </w:tc>
      </w:tr>
      <w:tr w:rsidR="00000000">
        <w:tblPrEx>
          <w:tblCellMar>
            <w:top w:w="0" w:type="dxa"/>
            <w:bottom w:w="0" w:type="dxa"/>
          </w:tblCellMar>
        </w:tblPrEx>
        <w:tc>
          <w:tcPr>
            <w:tcW w:w="5776" w:type="dxa"/>
          </w:tcPr>
          <w:p w:rsidR="00000000" w:rsidRDefault="00000000">
            <w:pPr>
              <w:autoSpaceDE w:val="0"/>
              <w:autoSpaceDN w:val="0"/>
              <w:adjustRightInd w:val="0"/>
              <w:spacing w:before="20"/>
              <w:rPr>
                <w:color w:val="000000"/>
                <w:szCs w:val="22"/>
                <w:lang w:val="fr-FR"/>
              </w:rPr>
            </w:pPr>
            <w:r>
              <w:rPr>
                <w:color w:val="000000"/>
                <w:szCs w:val="22"/>
                <w:lang w:val="fr-FR"/>
              </w:rPr>
              <w:t xml:space="preserve">Droit de certification ou de copie </w:t>
            </w:r>
          </w:p>
        </w:tc>
        <w:tc>
          <w:tcPr>
            <w:tcW w:w="2162" w:type="dxa"/>
          </w:tcPr>
          <w:p w:rsidR="00000000" w:rsidRDefault="00000000">
            <w:pPr>
              <w:autoSpaceDE w:val="0"/>
              <w:autoSpaceDN w:val="0"/>
              <w:adjustRightInd w:val="0"/>
              <w:spacing w:before="20"/>
              <w:jc w:val="right"/>
              <w:rPr>
                <w:color w:val="000000"/>
                <w:szCs w:val="22"/>
                <w:lang w:val="fr-FR"/>
              </w:rPr>
            </w:pPr>
            <w:r>
              <w:rPr>
                <w:color w:val="000000"/>
                <w:szCs w:val="22"/>
                <w:lang w:val="fr-FR"/>
              </w:rPr>
              <w:t>10 000,00 sucres</w:t>
            </w:r>
          </w:p>
        </w:tc>
      </w:tr>
      <w:tr w:rsidR="00000000">
        <w:tblPrEx>
          <w:tblCellMar>
            <w:top w:w="0" w:type="dxa"/>
            <w:bottom w:w="0" w:type="dxa"/>
          </w:tblCellMar>
        </w:tblPrEx>
        <w:tc>
          <w:tcPr>
            <w:tcW w:w="5776" w:type="dxa"/>
          </w:tcPr>
          <w:p w:rsidR="00000000" w:rsidRDefault="00000000">
            <w:pPr>
              <w:autoSpaceDE w:val="0"/>
              <w:autoSpaceDN w:val="0"/>
              <w:adjustRightInd w:val="0"/>
              <w:spacing w:before="20"/>
              <w:rPr>
                <w:color w:val="000000"/>
                <w:szCs w:val="22"/>
                <w:lang w:val="fr-FR"/>
              </w:rPr>
            </w:pPr>
            <w:r>
              <w:rPr>
                <w:color w:val="000000"/>
                <w:szCs w:val="22"/>
                <w:lang w:val="fr-FR"/>
              </w:rPr>
              <w:t xml:space="preserve">Droit de promotion </w:t>
            </w:r>
          </w:p>
        </w:tc>
        <w:tc>
          <w:tcPr>
            <w:tcW w:w="2162" w:type="dxa"/>
          </w:tcPr>
          <w:p w:rsidR="00000000" w:rsidRDefault="00000000">
            <w:pPr>
              <w:autoSpaceDE w:val="0"/>
              <w:autoSpaceDN w:val="0"/>
              <w:adjustRightInd w:val="0"/>
              <w:spacing w:before="20"/>
              <w:jc w:val="right"/>
              <w:rPr>
                <w:color w:val="000000"/>
                <w:szCs w:val="22"/>
                <w:lang w:val="fr-FR"/>
              </w:rPr>
            </w:pPr>
            <w:r>
              <w:rPr>
                <w:color w:val="000000"/>
                <w:szCs w:val="22"/>
                <w:lang w:val="fr-FR"/>
              </w:rPr>
              <w:t>10 000,00 sucres</w:t>
            </w:r>
          </w:p>
        </w:tc>
      </w:tr>
    </w:tbl>
    <w:p w:rsidR="00000000" w:rsidRDefault="00000000">
      <w:pPr>
        <w:autoSpaceDE w:val="0"/>
        <w:autoSpaceDN w:val="0"/>
        <w:adjustRightInd w:val="0"/>
        <w:rPr>
          <w:b/>
          <w:bCs/>
          <w:i/>
          <w:iCs/>
          <w:color w:val="000000"/>
          <w:sz w:val="22"/>
          <w:szCs w:val="22"/>
          <w:lang w:val="fr-FR"/>
        </w:rPr>
      </w:pPr>
    </w:p>
    <w:p w:rsidR="00000000" w:rsidRDefault="00000000">
      <w:pPr>
        <w:keepNext/>
        <w:autoSpaceDE w:val="0"/>
        <w:autoSpaceDN w:val="0"/>
        <w:adjustRightInd w:val="0"/>
        <w:rPr>
          <w:i/>
          <w:iCs/>
          <w:color w:val="000000"/>
          <w:szCs w:val="22"/>
          <w:lang w:val="fr-FR"/>
        </w:rPr>
      </w:pPr>
      <w:r>
        <w:rPr>
          <w:b/>
          <w:bCs/>
          <w:i/>
          <w:iCs/>
          <w:color w:val="000000"/>
          <w:szCs w:val="22"/>
          <w:lang w:val="fr-FR"/>
        </w:rPr>
        <w:tab/>
        <w:t xml:space="preserve">Universités privées non subventionnées par l'État </w:t>
      </w:r>
    </w:p>
    <w:p w:rsidR="00000000" w:rsidRDefault="00000000">
      <w:pPr>
        <w:keepNext/>
        <w:autoSpaceDE w:val="0"/>
        <w:autoSpaceDN w:val="0"/>
        <w:adjustRightInd w:val="0"/>
        <w:rPr>
          <w:i/>
          <w:iCs/>
          <w:color w:val="000000"/>
          <w:sz w:val="22"/>
          <w:szCs w:val="22"/>
          <w:lang w:val="fr-FR"/>
        </w:rPr>
      </w:pPr>
    </w:p>
    <w:p w:rsidR="00000000" w:rsidRDefault="00000000">
      <w:pPr>
        <w:keepNext/>
        <w:autoSpaceDE w:val="0"/>
        <w:autoSpaceDN w:val="0"/>
        <w:adjustRightInd w:val="0"/>
        <w:rPr>
          <w:color w:val="000000"/>
          <w:szCs w:val="22"/>
          <w:lang w:val="fr-FR"/>
        </w:rPr>
      </w:pPr>
      <w:r>
        <w:rPr>
          <w:i/>
          <w:iCs/>
          <w:color w:val="000000"/>
          <w:szCs w:val="22"/>
          <w:lang w:val="fr-FR"/>
        </w:rPr>
        <w:tab/>
        <w:t xml:space="preserve">Université privée SEK  </w:t>
      </w:r>
      <w:r>
        <w:rPr>
          <w:color w:val="000000"/>
          <w:szCs w:val="22"/>
          <w:lang w:val="fr-FR"/>
        </w:rPr>
        <w:t xml:space="preserve">(1999)  </w:t>
      </w:r>
    </w:p>
    <w:p w:rsidR="00000000" w:rsidRDefault="00000000">
      <w:pPr>
        <w:keepNext/>
        <w:autoSpaceDE w:val="0"/>
        <w:autoSpaceDN w:val="0"/>
        <w:adjustRightInd w:val="0"/>
        <w:rPr>
          <w:i/>
          <w:iCs/>
          <w:color w:val="000000"/>
          <w:sz w:val="22"/>
          <w:szCs w:val="22"/>
          <w:lang w:val="fr-FR"/>
        </w:rPr>
      </w:pPr>
    </w:p>
    <w:tbl>
      <w:tblPr>
        <w:tblW w:w="7938" w:type="dxa"/>
        <w:tblInd w:w="1134" w:type="dxa"/>
        <w:tblCellMar>
          <w:left w:w="70" w:type="dxa"/>
          <w:right w:w="70" w:type="dxa"/>
        </w:tblCellMar>
        <w:tblLook w:val="0000" w:firstRow="0" w:lastRow="0" w:firstColumn="0" w:lastColumn="0" w:noHBand="0" w:noVBand="0"/>
      </w:tblPr>
      <w:tblGrid>
        <w:gridCol w:w="3939"/>
        <w:gridCol w:w="3999"/>
      </w:tblGrid>
      <w:tr w:rsidR="00000000">
        <w:tblPrEx>
          <w:tblCellMar>
            <w:top w:w="0" w:type="dxa"/>
            <w:bottom w:w="0" w:type="dxa"/>
          </w:tblCellMar>
        </w:tblPrEx>
        <w:tc>
          <w:tcPr>
            <w:tcW w:w="3376" w:type="dxa"/>
          </w:tcPr>
          <w:p w:rsidR="00000000" w:rsidRDefault="00000000">
            <w:pPr>
              <w:autoSpaceDE w:val="0"/>
              <w:autoSpaceDN w:val="0"/>
              <w:adjustRightInd w:val="0"/>
              <w:spacing w:before="20"/>
              <w:rPr>
                <w:color w:val="000000"/>
                <w:szCs w:val="22"/>
                <w:lang w:val="fr-FR"/>
              </w:rPr>
            </w:pPr>
            <w:r>
              <w:rPr>
                <w:color w:val="000000"/>
                <w:szCs w:val="22"/>
                <w:lang w:val="fr-FR"/>
              </w:rPr>
              <w:t xml:space="preserve">Inscription  </w:t>
            </w:r>
          </w:p>
        </w:tc>
        <w:tc>
          <w:tcPr>
            <w:tcW w:w="3428" w:type="dxa"/>
          </w:tcPr>
          <w:p w:rsidR="00000000" w:rsidRDefault="00000000">
            <w:pPr>
              <w:autoSpaceDE w:val="0"/>
              <w:autoSpaceDN w:val="0"/>
              <w:adjustRightInd w:val="0"/>
              <w:spacing w:before="20"/>
              <w:jc w:val="right"/>
              <w:rPr>
                <w:i/>
                <w:iCs/>
                <w:color w:val="000000"/>
                <w:szCs w:val="22"/>
                <w:lang w:val="fr-FR"/>
              </w:rPr>
            </w:pPr>
            <w:r>
              <w:rPr>
                <w:color w:val="000000"/>
                <w:szCs w:val="22"/>
                <w:lang w:val="fr-FR"/>
              </w:rPr>
              <w:t>380 000 sucres</w:t>
            </w:r>
          </w:p>
        </w:tc>
      </w:tr>
      <w:tr w:rsidR="00000000">
        <w:tblPrEx>
          <w:tblCellMar>
            <w:top w:w="0" w:type="dxa"/>
            <w:bottom w:w="0" w:type="dxa"/>
          </w:tblCellMar>
        </w:tblPrEx>
        <w:tc>
          <w:tcPr>
            <w:tcW w:w="3376" w:type="dxa"/>
          </w:tcPr>
          <w:p w:rsidR="00000000" w:rsidRDefault="00000000">
            <w:pPr>
              <w:autoSpaceDE w:val="0"/>
              <w:autoSpaceDN w:val="0"/>
              <w:adjustRightInd w:val="0"/>
              <w:spacing w:before="20"/>
              <w:rPr>
                <w:color w:val="000000"/>
                <w:szCs w:val="22"/>
                <w:lang w:val="fr-FR"/>
              </w:rPr>
            </w:pPr>
            <w:r>
              <w:rPr>
                <w:color w:val="000000"/>
                <w:szCs w:val="22"/>
                <w:lang w:val="fr-FR"/>
              </w:rPr>
              <w:t>Immatriculation :</w:t>
            </w:r>
          </w:p>
        </w:tc>
        <w:tc>
          <w:tcPr>
            <w:tcW w:w="3428" w:type="dxa"/>
          </w:tcPr>
          <w:p w:rsidR="00000000" w:rsidRDefault="00000000">
            <w:pPr>
              <w:autoSpaceDE w:val="0"/>
              <w:autoSpaceDN w:val="0"/>
              <w:adjustRightInd w:val="0"/>
              <w:spacing w:before="20"/>
              <w:jc w:val="right"/>
              <w:rPr>
                <w:color w:val="000000"/>
                <w:szCs w:val="22"/>
                <w:lang w:val="fr-FR"/>
              </w:rPr>
            </w:pPr>
          </w:p>
        </w:tc>
      </w:tr>
      <w:tr w:rsidR="00000000">
        <w:tblPrEx>
          <w:tblCellMar>
            <w:top w:w="0" w:type="dxa"/>
            <w:bottom w:w="0" w:type="dxa"/>
          </w:tblCellMar>
        </w:tblPrEx>
        <w:tc>
          <w:tcPr>
            <w:tcW w:w="3376" w:type="dxa"/>
          </w:tcPr>
          <w:p w:rsidR="00000000" w:rsidRDefault="00000000">
            <w:pPr>
              <w:autoSpaceDE w:val="0"/>
              <w:autoSpaceDN w:val="0"/>
              <w:adjustRightInd w:val="0"/>
              <w:spacing w:before="20"/>
              <w:rPr>
                <w:color w:val="000000"/>
                <w:szCs w:val="22"/>
                <w:lang w:val="fr-FR"/>
              </w:rPr>
            </w:pPr>
            <w:r>
              <w:rPr>
                <w:color w:val="000000"/>
                <w:szCs w:val="22"/>
                <w:lang w:val="fr-FR"/>
              </w:rPr>
              <w:tab/>
              <w:t xml:space="preserve">Nouveaux élèves  </w:t>
            </w:r>
          </w:p>
        </w:tc>
        <w:tc>
          <w:tcPr>
            <w:tcW w:w="3428" w:type="dxa"/>
          </w:tcPr>
          <w:p w:rsidR="00000000" w:rsidRDefault="00000000">
            <w:pPr>
              <w:autoSpaceDE w:val="0"/>
              <w:autoSpaceDN w:val="0"/>
              <w:adjustRightInd w:val="0"/>
              <w:spacing w:before="20"/>
              <w:jc w:val="right"/>
              <w:rPr>
                <w:color w:val="000000"/>
                <w:szCs w:val="22"/>
                <w:lang w:val="fr-FR"/>
              </w:rPr>
            </w:pPr>
            <w:r>
              <w:rPr>
                <w:color w:val="000000"/>
                <w:szCs w:val="22"/>
                <w:lang w:val="fr-FR"/>
              </w:rPr>
              <w:t>2 000 000 sucres</w:t>
            </w:r>
          </w:p>
        </w:tc>
      </w:tr>
      <w:tr w:rsidR="00000000">
        <w:tblPrEx>
          <w:tblCellMar>
            <w:top w:w="0" w:type="dxa"/>
            <w:bottom w:w="0" w:type="dxa"/>
          </w:tblCellMar>
        </w:tblPrEx>
        <w:tc>
          <w:tcPr>
            <w:tcW w:w="3376" w:type="dxa"/>
          </w:tcPr>
          <w:p w:rsidR="00000000" w:rsidRDefault="00000000">
            <w:pPr>
              <w:autoSpaceDE w:val="0"/>
              <w:autoSpaceDN w:val="0"/>
              <w:adjustRightInd w:val="0"/>
              <w:spacing w:before="20"/>
              <w:rPr>
                <w:color w:val="000000"/>
                <w:szCs w:val="22"/>
                <w:lang w:val="fr-FR"/>
              </w:rPr>
            </w:pPr>
            <w:r>
              <w:rPr>
                <w:color w:val="000000"/>
                <w:szCs w:val="22"/>
                <w:lang w:val="fr-FR"/>
              </w:rPr>
              <w:tab/>
              <w:t xml:space="preserve">Anciens élèves  </w:t>
            </w:r>
          </w:p>
        </w:tc>
        <w:tc>
          <w:tcPr>
            <w:tcW w:w="3428" w:type="dxa"/>
          </w:tcPr>
          <w:p w:rsidR="00000000" w:rsidRDefault="00000000">
            <w:pPr>
              <w:autoSpaceDE w:val="0"/>
              <w:autoSpaceDN w:val="0"/>
              <w:adjustRightInd w:val="0"/>
              <w:spacing w:before="20"/>
              <w:jc w:val="right"/>
              <w:rPr>
                <w:color w:val="000000"/>
                <w:szCs w:val="22"/>
                <w:lang w:val="fr-FR"/>
              </w:rPr>
            </w:pPr>
            <w:r>
              <w:rPr>
                <w:color w:val="000000"/>
                <w:szCs w:val="22"/>
                <w:lang w:val="fr-FR"/>
              </w:rPr>
              <w:t>1 250 000 sucres</w:t>
            </w:r>
          </w:p>
        </w:tc>
      </w:tr>
      <w:tr w:rsidR="00000000">
        <w:tblPrEx>
          <w:tblCellMar>
            <w:top w:w="0" w:type="dxa"/>
            <w:bottom w:w="0" w:type="dxa"/>
          </w:tblCellMar>
        </w:tblPrEx>
        <w:tc>
          <w:tcPr>
            <w:tcW w:w="3376" w:type="dxa"/>
          </w:tcPr>
          <w:p w:rsidR="00000000" w:rsidRDefault="00000000">
            <w:pPr>
              <w:autoSpaceDE w:val="0"/>
              <w:autoSpaceDN w:val="0"/>
              <w:adjustRightInd w:val="0"/>
              <w:spacing w:before="20"/>
              <w:rPr>
                <w:color w:val="000000"/>
                <w:szCs w:val="22"/>
                <w:lang w:val="fr-FR"/>
              </w:rPr>
            </w:pPr>
            <w:r>
              <w:rPr>
                <w:color w:val="000000"/>
                <w:szCs w:val="22"/>
                <w:lang w:val="fr-FR"/>
              </w:rPr>
              <w:t xml:space="preserve">Frais académiques  </w:t>
            </w:r>
          </w:p>
        </w:tc>
        <w:tc>
          <w:tcPr>
            <w:tcW w:w="3428" w:type="dxa"/>
          </w:tcPr>
          <w:p w:rsidR="00000000" w:rsidRDefault="00000000">
            <w:pPr>
              <w:autoSpaceDE w:val="0"/>
              <w:autoSpaceDN w:val="0"/>
              <w:adjustRightInd w:val="0"/>
              <w:spacing w:before="20"/>
              <w:jc w:val="right"/>
              <w:rPr>
                <w:color w:val="000000"/>
                <w:szCs w:val="22"/>
                <w:lang w:val="fr-FR"/>
              </w:rPr>
            </w:pPr>
            <w:r>
              <w:rPr>
                <w:color w:val="000000"/>
                <w:szCs w:val="22"/>
                <w:lang w:val="fr-FR"/>
              </w:rPr>
              <w:t>15 000 000 sucres</w:t>
            </w:r>
          </w:p>
        </w:tc>
      </w:tr>
    </w:tbl>
    <w:p w:rsidR="00000000" w:rsidRDefault="00000000">
      <w:pPr>
        <w:autoSpaceDE w:val="0"/>
        <w:autoSpaceDN w:val="0"/>
        <w:adjustRightInd w:val="0"/>
        <w:rPr>
          <w:i/>
          <w:iCs/>
          <w:color w:val="000000"/>
          <w:sz w:val="22"/>
          <w:szCs w:val="22"/>
          <w:lang w:val="fr-FR"/>
        </w:rPr>
      </w:pPr>
    </w:p>
    <w:p w:rsidR="00000000" w:rsidRDefault="00000000">
      <w:pPr>
        <w:autoSpaceDE w:val="0"/>
        <w:autoSpaceDN w:val="0"/>
        <w:adjustRightInd w:val="0"/>
        <w:rPr>
          <w:color w:val="000000"/>
          <w:szCs w:val="22"/>
          <w:lang w:val="fr-FR"/>
        </w:rPr>
      </w:pPr>
      <w:r>
        <w:rPr>
          <w:i/>
          <w:iCs/>
          <w:color w:val="000000"/>
          <w:szCs w:val="22"/>
          <w:lang w:val="fr-FR"/>
        </w:rPr>
        <w:tab/>
        <w:t xml:space="preserve">Université internationale d'Équateur </w:t>
      </w:r>
      <w:r>
        <w:rPr>
          <w:color w:val="000000"/>
          <w:szCs w:val="22"/>
          <w:lang w:val="fr-FR"/>
        </w:rPr>
        <w:t xml:space="preserve">(1999)  </w:t>
      </w:r>
    </w:p>
    <w:p w:rsidR="00000000" w:rsidRDefault="00000000">
      <w:pPr>
        <w:autoSpaceDE w:val="0"/>
        <w:autoSpaceDN w:val="0"/>
        <w:adjustRightInd w:val="0"/>
        <w:rPr>
          <w:color w:val="000000"/>
          <w:sz w:val="22"/>
          <w:szCs w:val="22"/>
          <w:lang w:val="fr-FR"/>
        </w:rPr>
      </w:pPr>
    </w:p>
    <w:tbl>
      <w:tblPr>
        <w:tblW w:w="7938" w:type="dxa"/>
        <w:tblInd w:w="1134" w:type="dxa"/>
        <w:tblCellMar>
          <w:left w:w="70" w:type="dxa"/>
          <w:right w:w="70" w:type="dxa"/>
        </w:tblCellMar>
        <w:tblLook w:val="0000" w:firstRow="0" w:lastRow="0" w:firstColumn="0" w:lastColumn="0" w:noHBand="0" w:noVBand="0"/>
      </w:tblPr>
      <w:tblGrid>
        <w:gridCol w:w="3969"/>
        <w:gridCol w:w="3969"/>
      </w:tblGrid>
      <w:tr w:rsidR="00000000">
        <w:tblPrEx>
          <w:tblCellMar>
            <w:top w:w="0" w:type="dxa"/>
            <w:bottom w:w="0" w:type="dxa"/>
          </w:tblCellMar>
        </w:tblPrEx>
        <w:tc>
          <w:tcPr>
            <w:tcW w:w="2387" w:type="dxa"/>
          </w:tcPr>
          <w:p w:rsidR="00000000" w:rsidRDefault="00000000">
            <w:pPr>
              <w:autoSpaceDE w:val="0"/>
              <w:autoSpaceDN w:val="0"/>
              <w:adjustRightInd w:val="0"/>
              <w:spacing w:before="20"/>
              <w:rPr>
                <w:color w:val="000000"/>
                <w:szCs w:val="22"/>
                <w:lang w:val="fr-FR"/>
              </w:rPr>
            </w:pPr>
            <w:r>
              <w:rPr>
                <w:color w:val="000000"/>
                <w:szCs w:val="22"/>
                <w:lang w:val="fr-FR"/>
              </w:rPr>
              <w:t>Inscription annuelle</w:t>
            </w:r>
          </w:p>
        </w:tc>
        <w:tc>
          <w:tcPr>
            <w:tcW w:w="2387" w:type="dxa"/>
          </w:tcPr>
          <w:p w:rsidR="00000000" w:rsidRDefault="00000000">
            <w:pPr>
              <w:autoSpaceDE w:val="0"/>
              <w:autoSpaceDN w:val="0"/>
              <w:adjustRightInd w:val="0"/>
              <w:spacing w:before="20"/>
              <w:jc w:val="right"/>
              <w:rPr>
                <w:color w:val="000000"/>
                <w:szCs w:val="22"/>
                <w:lang w:val="fr-FR"/>
              </w:rPr>
            </w:pPr>
            <w:r>
              <w:rPr>
                <w:color w:val="000000"/>
                <w:szCs w:val="22"/>
                <w:lang w:val="fr-FR"/>
              </w:rPr>
              <w:t>700 000,00 sucres</w:t>
            </w:r>
          </w:p>
        </w:tc>
      </w:tr>
      <w:tr w:rsidR="00000000">
        <w:tblPrEx>
          <w:tblCellMar>
            <w:top w:w="0" w:type="dxa"/>
            <w:bottom w:w="0" w:type="dxa"/>
          </w:tblCellMar>
        </w:tblPrEx>
        <w:tc>
          <w:tcPr>
            <w:tcW w:w="2387" w:type="dxa"/>
          </w:tcPr>
          <w:p w:rsidR="00000000" w:rsidRDefault="00000000">
            <w:pPr>
              <w:autoSpaceDE w:val="0"/>
              <w:autoSpaceDN w:val="0"/>
              <w:adjustRightInd w:val="0"/>
              <w:spacing w:before="20"/>
              <w:rPr>
                <w:color w:val="000000"/>
                <w:szCs w:val="22"/>
                <w:lang w:val="fr-FR"/>
              </w:rPr>
            </w:pPr>
            <w:r>
              <w:rPr>
                <w:color w:val="000000"/>
                <w:szCs w:val="22"/>
                <w:lang w:val="fr-FR"/>
              </w:rPr>
              <w:t>Immatriculation annuelle</w:t>
            </w:r>
          </w:p>
        </w:tc>
        <w:tc>
          <w:tcPr>
            <w:tcW w:w="2387" w:type="dxa"/>
          </w:tcPr>
          <w:p w:rsidR="00000000" w:rsidRDefault="00000000">
            <w:pPr>
              <w:autoSpaceDE w:val="0"/>
              <w:autoSpaceDN w:val="0"/>
              <w:adjustRightInd w:val="0"/>
              <w:spacing w:before="20"/>
              <w:jc w:val="right"/>
              <w:rPr>
                <w:color w:val="000000"/>
                <w:szCs w:val="22"/>
                <w:lang w:val="fr-FR"/>
              </w:rPr>
            </w:pPr>
            <w:r>
              <w:rPr>
                <w:color w:val="000000"/>
                <w:szCs w:val="22"/>
                <w:lang w:val="fr-FR"/>
              </w:rPr>
              <w:t>1 900 000,00 sucres</w:t>
            </w:r>
          </w:p>
        </w:tc>
      </w:tr>
      <w:tr w:rsidR="00000000">
        <w:tblPrEx>
          <w:tblCellMar>
            <w:top w:w="0" w:type="dxa"/>
            <w:bottom w:w="0" w:type="dxa"/>
          </w:tblCellMar>
        </w:tblPrEx>
        <w:tc>
          <w:tcPr>
            <w:tcW w:w="2387" w:type="dxa"/>
          </w:tcPr>
          <w:p w:rsidR="00000000" w:rsidRDefault="00000000">
            <w:pPr>
              <w:autoSpaceDE w:val="0"/>
              <w:autoSpaceDN w:val="0"/>
              <w:adjustRightInd w:val="0"/>
              <w:spacing w:before="20"/>
              <w:rPr>
                <w:color w:val="000000"/>
                <w:szCs w:val="22"/>
                <w:lang w:val="fr-FR"/>
              </w:rPr>
            </w:pPr>
            <w:r>
              <w:rPr>
                <w:color w:val="000000"/>
                <w:szCs w:val="22"/>
                <w:lang w:val="fr-FR"/>
              </w:rPr>
              <w:t>Frais universitaires annuels</w:t>
            </w:r>
          </w:p>
        </w:tc>
        <w:tc>
          <w:tcPr>
            <w:tcW w:w="2387" w:type="dxa"/>
          </w:tcPr>
          <w:p w:rsidR="00000000" w:rsidRDefault="00000000">
            <w:pPr>
              <w:autoSpaceDE w:val="0"/>
              <w:autoSpaceDN w:val="0"/>
              <w:adjustRightInd w:val="0"/>
              <w:spacing w:before="20"/>
              <w:jc w:val="right"/>
              <w:rPr>
                <w:color w:val="000000"/>
                <w:szCs w:val="22"/>
                <w:lang w:val="fr-FR"/>
              </w:rPr>
            </w:pPr>
            <w:r>
              <w:rPr>
                <w:color w:val="000000"/>
                <w:szCs w:val="22"/>
                <w:lang w:val="fr-FR"/>
              </w:rPr>
              <w:t>13 300 000,00 sucres</w:t>
            </w:r>
          </w:p>
        </w:tc>
      </w:tr>
      <w:tr w:rsidR="00000000">
        <w:tblPrEx>
          <w:tblCellMar>
            <w:top w:w="0" w:type="dxa"/>
            <w:bottom w:w="0" w:type="dxa"/>
          </w:tblCellMar>
        </w:tblPrEx>
        <w:tc>
          <w:tcPr>
            <w:tcW w:w="2387" w:type="dxa"/>
          </w:tcPr>
          <w:p w:rsidR="00000000" w:rsidRDefault="00000000">
            <w:pPr>
              <w:autoSpaceDE w:val="0"/>
              <w:autoSpaceDN w:val="0"/>
              <w:adjustRightInd w:val="0"/>
              <w:spacing w:before="20"/>
              <w:rPr>
                <w:color w:val="000000"/>
                <w:szCs w:val="22"/>
                <w:lang w:val="fr-FR"/>
              </w:rPr>
            </w:pPr>
            <w:r>
              <w:rPr>
                <w:color w:val="000000"/>
                <w:szCs w:val="22"/>
                <w:lang w:val="fr-FR"/>
              </w:rPr>
              <w:t>Coût total par an</w:t>
            </w:r>
          </w:p>
        </w:tc>
        <w:tc>
          <w:tcPr>
            <w:tcW w:w="2387" w:type="dxa"/>
          </w:tcPr>
          <w:p w:rsidR="00000000" w:rsidRDefault="00000000">
            <w:pPr>
              <w:autoSpaceDE w:val="0"/>
              <w:autoSpaceDN w:val="0"/>
              <w:adjustRightInd w:val="0"/>
              <w:spacing w:before="20"/>
              <w:jc w:val="right"/>
              <w:rPr>
                <w:color w:val="000000"/>
                <w:szCs w:val="22"/>
                <w:lang w:val="fr-FR"/>
              </w:rPr>
            </w:pPr>
            <w:r>
              <w:rPr>
                <w:color w:val="000000"/>
                <w:szCs w:val="22"/>
                <w:lang w:val="fr-FR"/>
              </w:rPr>
              <w:t>15 900 000,00 sucres</w:t>
            </w:r>
          </w:p>
        </w:tc>
      </w:tr>
    </w:tbl>
    <w:p w:rsidR="00000000" w:rsidRDefault="00000000">
      <w:pPr>
        <w:autoSpaceDE w:val="0"/>
        <w:autoSpaceDN w:val="0"/>
        <w:adjustRightInd w:val="0"/>
        <w:rPr>
          <w:sz w:val="22"/>
          <w:lang w:val="fr-FR"/>
        </w:rPr>
      </w:pPr>
    </w:p>
    <w:p w:rsidR="00000000" w:rsidRDefault="00000000">
      <w:pPr>
        <w:autoSpaceDE w:val="0"/>
        <w:autoSpaceDN w:val="0"/>
        <w:adjustRightInd w:val="0"/>
        <w:spacing w:after="240"/>
        <w:rPr>
          <w:color w:val="000000"/>
          <w:szCs w:val="22"/>
          <w:lang w:val="fr-FR"/>
        </w:rPr>
      </w:pPr>
      <w:r>
        <w:rPr>
          <w:color w:val="000000"/>
          <w:szCs w:val="22"/>
          <w:lang w:val="fr-FR"/>
        </w:rPr>
        <w:t>491.</w:t>
      </w:r>
      <w:r>
        <w:rPr>
          <w:color w:val="000000"/>
          <w:szCs w:val="22"/>
          <w:lang w:val="fr-FR"/>
        </w:rPr>
        <w:tab/>
        <w:t xml:space="preserve">La création d'institutions publiques à tous les niveaux comme le nombre d’établissements d’enseignement créés témoignent de l’extension progressive de l'enseignement gratuit.  </w:t>
      </w:r>
    </w:p>
    <w:p w:rsidR="00000000" w:rsidRDefault="00000000">
      <w:pPr>
        <w:autoSpaceDE w:val="0"/>
        <w:autoSpaceDN w:val="0"/>
        <w:adjustRightInd w:val="0"/>
        <w:spacing w:after="120"/>
        <w:jc w:val="center"/>
        <w:rPr>
          <w:color w:val="000000"/>
          <w:sz w:val="20"/>
          <w:szCs w:val="22"/>
          <w:lang w:val="fr-FR"/>
        </w:rPr>
      </w:pPr>
      <w:r>
        <w:rPr>
          <w:b/>
          <w:bCs/>
          <w:color w:val="000000"/>
          <w:sz w:val="20"/>
          <w:szCs w:val="22"/>
          <w:lang w:val="fr-FR"/>
        </w:rPr>
        <w:t xml:space="preserve">Série historique d’établissements, enseignants et élèves  </w:t>
      </w:r>
    </w:p>
    <w:tbl>
      <w:tblPr>
        <w:tblW w:w="0" w:type="auto"/>
        <w:jc w:val="center"/>
        <w:tblBorders>
          <w:top w:val="single" w:sz="6" w:space="0" w:color="auto"/>
          <w:bottom w:val="single" w:sz="6" w:space="0" w:color="auto"/>
        </w:tblBorders>
        <w:tblLayout w:type="fixed"/>
        <w:tblCellMar>
          <w:left w:w="70" w:type="dxa"/>
          <w:right w:w="70" w:type="dxa"/>
        </w:tblCellMar>
        <w:tblLook w:val="0000" w:firstRow="0" w:lastRow="0" w:firstColumn="0" w:lastColumn="0" w:noHBand="0" w:noVBand="0"/>
      </w:tblPr>
      <w:tblGrid>
        <w:gridCol w:w="1919"/>
        <w:gridCol w:w="1794"/>
        <w:gridCol w:w="1764"/>
        <w:gridCol w:w="1788"/>
      </w:tblGrid>
      <w:tr w:rsidR="00000000">
        <w:tblPrEx>
          <w:tblCellMar>
            <w:top w:w="0" w:type="dxa"/>
            <w:bottom w:w="0" w:type="dxa"/>
          </w:tblCellMar>
        </w:tblPrEx>
        <w:trPr>
          <w:jc w:val="center"/>
        </w:trPr>
        <w:tc>
          <w:tcPr>
            <w:tcW w:w="1919"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Année</w:t>
            </w:r>
          </w:p>
        </w:tc>
        <w:tc>
          <w:tcPr>
            <w:tcW w:w="1794"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Établissements</w:t>
            </w:r>
          </w:p>
        </w:tc>
        <w:tc>
          <w:tcPr>
            <w:tcW w:w="1764"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Enseignants</w:t>
            </w:r>
          </w:p>
        </w:tc>
        <w:tc>
          <w:tcPr>
            <w:tcW w:w="1788"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Élèves</w:t>
            </w:r>
          </w:p>
        </w:tc>
      </w:tr>
      <w:tr w:rsidR="00000000">
        <w:tblPrEx>
          <w:tblCellMar>
            <w:top w:w="0" w:type="dxa"/>
            <w:bottom w:w="0" w:type="dxa"/>
          </w:tblCellMar>
        </w:tblPrEx>
        <w:trPr>
          <w:jc w:val="center"/>
        </w:trPr>
        <w:tc>
          <w:tcPr>
            <w:tcW w:w="1919" w:type="dxa"/>
            <w:tcBorders>
              <w:top w:val="single" w:sz="6" w:space="0" w:color="auto"/>
            </w:tcBorders>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1970-1972 </w:t>
            </w:r>
          </w:p>
        </w:tc>
        <w:tc>
          <w:tcPr>
            <w:tcW w:w="1794" w:type="dxa"/>
            <w:tcBorders>
              <w:top w:val="single" w:sz="6" w:space="0" w:color="auto"/>
            </w:tcBorders>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8 687 </w:t>
            </w:r>
          </w:p>
        </w:tc>
        <w:tc>
          <w:tcPr>
            <w:tcW w:w="1764" w:type="dxa"/>
            <w:tcBorders>
              <w:top w:val="single" w:sz="6" w:space="0" w:color="auto"/>
            </w:tcBorders>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47 741 </w:t>
            </w:r>
          </w:p>
        </w:tc>
        <w:tc>
          <w:tcPr>
            <w:tcW w:w="1788" w:type="dxa"/>
            <w:tcBorders>
              <w:top w:val="single" w:sz="6" w:space="0" w:color="auto"/>
            </w:tcBorders>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1 246 965  </w:t>
            </w:r>
          </w:p>
        </w:tc>
      </w:tr>
      <w:tr w:rsidR="00000000">
        <w:tblPrEx>
          <w:tblCellMar>
            <w:top w:w="0" w:type="dxa"/>
            <w:bottom w:w="0" w:type="dxa"/>
          </w:tblCellMar>
        </w:tblPrEx>
        <w:trPr>
          <w:jc w:val="center"/>
        </w:trPr>
        <w:tc>
          <w:tcPr>
            <w:tcW w:w="1919" w:type="dxa"/>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1979-1980 </w:t>
            </w:r>
          </w:p>
        </w:tc>
        <w:tc>
          <w:tcPr>
            <w:tcW w:w="179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12 916 </w:t>
            </w:r>
          </w:p>
        </w:tc>
        <w:tc>
          <w:tcPr>
            <w:tcW w:w="176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72 704 </w:t>
            </w:r>
          </w:p>
        </w:tc>
        <w:tc>
          <w:tcPr>
            <w:tcW w:w="1788"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2 005 927  </w:t>
            </w:r>
          </w:p>
        </w:tc>
      </w:tr>
      <w:tr w:rsidR="00000000">
        <w:tblPrEx>
          <w:tblCellMar>
            <w:top w:w="0" w:type="dxa"/>
            <w:bottom w:w="0" w:type="dxa"/>
          </w:tblCellMar>
        </w:tblPrEx>
        <w:trPr>
          <w:jc w:val="center"/>
        </w:trPr>
        <w:tc>
          <w:tcPr>
            <w:tcW w:w="1919" w:type="dxa"/>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1985-1986 </w:t>
            </w:r>
          </w:p>
        </w:tc>
        <w:tc>
          <w:tcPr>
            <w:tcW w:w="179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17 454 </w:t>
            </w:r>
          </w:p>
        </w:tc>
        <w:tc>
          <w:tcPr>
            <w:tcW w:w="176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103 572 </w:t>
            </w:r>
          </w:p>
        </w:tc>
        <w:tc>
          <w:tcPr>
            <w:tcW w:w="1788"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2 533 287  </w:t>
            </w:r>
          </w:p>
        </w:tc>
      </w:tr>
      <w:tr w:rsidR="00000000">
        <w:tblPrEx>
          <w:tblCellMar>
            <w:top w:w="0" w:type="dxa"/>
            <w:bottom w:w="0" w:type="dxa"/>
          </w:tblCellMar>
        </w:tblPrEx>
        <w:trPr>
          <w:jc w:val="center"/>
        </w:trPr>
        <w:tc>
          <w:tcPr>
            <w:tcW w:w="1919" w:type="dxa"/>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1989-1990 </w:t>
            </w:r>
          </w:p>
        </w:tc>
        <w:tc>
          <w:tcPr>
            <w:tcW w:w="179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19 684 </w:t>
            </w:r>
          </w:p>
        </w:tc>
        <w:tc>
          <w:tcPr>
            <w:tcW w:w="176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125 066 </w:t>
            </w:r>
          </w:p>
        </w:tc>
        <w:tc>
          <w:tcPr>
            <w:tcW w:w="1788"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2 749 432  </w:t>
            </w:r>
          </w:p>
        </w:tc>
      </w:tr>
      <w:tr w:rsidR="00000000">
        <w:tblPrEx>
          <w:tblCellMar>
            <w:top w:w="0" w:type="dxa"/>
            <w:bottom w:w="0" w:type="dxa"/>
          </w:tblCellMar>
        </w:tblPrEx>
        <w:trPr>
          <w:jc w:val="center"/>
        </w:trPr>
        <w:tc>
          <w:tcPr>
            <w:tcW w:w="1919" w:type="dxa"/>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1990-1991 </w:t>
            </w:r>
          </w:p>
        </w:tc>
        <w:tc>
          <w:tcPr>
            <w:tcW w:w="179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19 887 </w:t>
            </w:r>
          </w:p>
        </w:tc>
        <w:tc>
          <w:tcPr>
            <w:tcW w:w="176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127 466 </w:t>
            </w:r>
          </w:p>
        </w:tc>
        <w:tc>
          <w:tcPr>
            <w:tcW w:w="1788"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2 747 206  </w:t>
            </w:r>
          </w:p>
        </w:tc>
      </w:tr>
      <w:tr w:rsidR="00000000">
        <w:tblPrEx>
          <w:tblCellMar>
            <w:top w:w="0" w:type="dxa"/>
            <w:bottom w:w="0" w:type="dxa"/>
          </w:tblCellMar>
        </w:tblPrEx>
        <w:trPr>
          <w:jc w:val="center"/>
        </w:trPr>
        <w:tc>
          <w:tcPr>
            <w:tcW w:w="1919" w:type="dxa"/>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1991-1992 </w:t>
            </w:r>
          </w:p>
        </w:tc>
        <w:tc>
          <w:tcPr>
            <w:tcW w:w="179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21 133 </w:t>
            </w:r>
          </w:p>
        </w:tc>
        <w:tc>
          <w:tcPr>
            <w:tcW w:w="176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131 040 </w:t>
            </w:r>
          </w:p>
        </w:tc>
        <w:tc>
          <w:tcPr>
            <w:tcW w:w="1788"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2 834 590  </w:t>
            </w:r>
          </w:p>
        </w:tc>
      </w:tr>
      <w:tr w:rsidR="00000000">
        <w:tblPrEx>
          <w:tblCellMar>
            <w:top w:w="0" w:type="dxa"/>
            <w:bottom w:w="0" w:type="dxa"/>
          </w:tblCellMar>
        </w:tblPrEx>
        <w:trPr>
          <w:jc w:val="center"/>
        </w:trPr>
        <w:tc>
          <w:tcPr>
            <w:tcW w:w="1919" w:type="dxa"/>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1992-1993 </w:t>
            </w:r>
          </w:p>
        </w:tc>
        <w:tc>
          <w:tcPr>
            <w:tcW w:w="179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20 728 </w:t>
            </w:r>
          </w:p>
        </w:tc>
        <w:tc>
          <w:tcPr>
            <w:tcW w:w="176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131 872 </w:t>
            </w:r>
          </w:p>
        </w:tc>
        <w:tc>
          <w:tcPr>
            <w:tcW w:w="1788"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2 800 524  </w:t>
            </w:r>
          </w:p>
        </w:tc>
      </w:tr>
      <w:tr w:rsidR="00000000">
        <w:tblPrEx>
          <w:tblCellMar>
            <w:top w:w="0" w:type="dxa"/>
            <w:bottom w:w="0" w:type="dxa"/>
          </w:tblCellMar>
        </w:tblPrEx>
        <w:trPr>
          <w:jc w:val="center"/>
        </w:trPr>
        <w:tc>
          <w:tcPr>
            <w:tcW w:w="1919" w:type="dxa"/>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1993-1994 </w:t>
            </w:r>
          </w:p>
        </w:tc>
        <w:tc>
          <w:tcPr>
            <w:tcW w:w="179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22 753 </w:t>
            </w:r>
          </w:p>
        </w:tc>
        <w:tc>
          <w:tcPr>
            <w:tcW w:w="176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130 177 </w:t>
            </w:r>
          </w:p>
        </w:tc>
        <w:tc>
          <w:tcPr>
            <w:tcW w:w="1788"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2 655 621  </w:t>
            </w:r>
          </w:p>
        </w:tc>
      </w:tr>
      <w:tr w:rsidR="00000000">
        <w:tblPrEx>
          <w:tblCellMar>
            <w:top w:w="0" w:type="dxa"/>
            <w:bottom w:w="0" w:type="dxa"/>
          </w:tblCellMar>
        </w:tblPrEx>
        <w:trPr>
          <w:jc w:val="center"/>
        </w:trPr>
        <w:tc>
          <w:tcPr>
            <w:tcW w:w="1919" w:type="dxa"/>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1994-1995 </w:t>
            </w:r>
          </w:p>
        </w:tc>
        <w:tc>
          <w:tcPr>
            <w:tcW w:w="179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23 334 </w:t>
            </w:r>
          </w:p>
        </w:tc>
        <w:tc>
          <w:tcPr>
            <w:tcW w:w="176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139 827 </w:t>
            </w:r>
          </w:p>
        </w:tc>
        <w:tc>
          <w:tcPr>
            <w:tcW w:w="1788"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2 713 457  </w:t>
            </w:r>
          </w:p>
        </w:tc>
      </w:tr>
      <w:tr w:rsidR="00000000">
        <w:tblPrEx>
          <w:tblCellMar>
            <w:top w:w="0" w:type="dxa"/>
            <w:bottom w:w="0" w:type="dxa"/>
          </w:tblCellMar>
        </w:tblPrEx>
        <w:trPr>
          <w:jc w:val="center"/>
        </w:trPr>
        <w:tc>
          <w:tcPr>
            <w:tcW w:w="1919" w:type="dxa"/>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1995-1996 </w:t>
            </w:r>
          </w:p>
        </w:tc>
        <w:tc>
          <w:tcPr>
            <w:tcW w:w="179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23 322 </w:t>
            </w:r>
          </w:p>
        </w:tc>
        <w:tc>
          <w:tcPr>
            <w:tcW w:w="176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146 392 </w:t>
            </w:r>
          </w:p>
        </w:tc>
        <w:tc>
          <w:tcPr>
            <w:tcW w:w="1788"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2 753 485  </w:t>
            </w:r>
          </w:p>
        </w:tc>
      </w:tr>
      <w:tr w:rsidR="00000000">
        <w:tblPrEx>
          <w:tblCellMar>
            <w:top w:w="0" w:type="dxa"/>
            <w:bottom w:w="0" w:type="dxa"/>
          </w:tblCellMar>
        </w:tblPrEx>
        <w:trPr>
          <w:jc w:val="center"/>
        </w:trPr>
        <w:tc>
          <w:tcPr>
            <w:tcW w:w="1919" w:type="dxa"/>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1996-1997 </w:t>
            </w:r>
          </w:p>
        </w:tc>
        <w:tc>
          <w:tcPr>
            <w:tcW w:w="179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24 171 </w:t>
            </w:r>
          </w:p>
        </w:tc>
        <w:tc>
          <w:tcPr>
            <w:tcW w:w="176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156 163 </w:t>
            </w:r>
          </w:p>
        </w:tc>
        <w:tc>
          <w:tcPr>
            <w:tcW w:w="1788"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2 886 279  </w:t>
            </w:r>
          </w:p>
        </w:tc>
      </w:tr>
      <w:tr w:rsidR="00000000">
        <w:tblPrEx>
          <w:tblCellMar>
            <w:top w:w="0" w:type="dxa"/>
            <w:bottom w:w="0" w:type="dxa"/>
          </w:tblCellMar>
        </w:tblPrEx>
        <w:trPr>
          <w:jc w:val="center"/>
        </w:trPr>
        <w:tc>
          <w:tcPr>
            <w:tcW w:w="1919" w:type="dxa"/>
          </w:tcPr>
          <w:p w:rsidR="00000000" w:rsidRDefault="00000000">
            <w:pPr>
              <w:autoSpaceDE w:val="0"/>
              <w:autoSpaceDN w:val="0"/>
              <w:adjustRightInd w:val="0"/>
              <w:spacing w:before="20" w:after="40"/>
              <w:rPr>
                <w:color w:val="000000"/>
                <w:sz w:val="20"/>
                <w:szCs w:val="22"/>
                <w:lang w:val="fr-FR"/>
              </w:rPr>
            </w:pPr>
            <w:r>
              <w:rPr>
                <w:color w:val="000000"/>
                <w:sz w:val="20"/>
                <w:szCs w:val="22"/>
                <w:lang w:val="fr-FR"/>
              </w:rPr>
              <w:t xml:space="preserve">1997-1998 </w:t>
            </w:r>
          </w:p>
        </w:tc>
        <w:tc>
          <w:tcPr>
            <w:tcW w:w="179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24 827 </w:t>
            </w:r>
          </w:p>
        </w:tc>
        <w:tc>
          <w:tcPr>
            <w:tcW w:w="1764"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162 273 </w:t>
            </w:r>
          </w:p>
        </w:tc>
        <w:tc>
          <w:tcPr>
            <w:tcW w:w="1788" w:type="dxa"/>
          </w:tcPr>
          <w:p w:rsidR="00000000" w:rsidRDefault="00000000">
            <w:pPr>
              <w:autoSpaceDE w:val="0"/>
              <w:autoSpaceDN w:val="0"/>
              <w:adjustRightInd w:val="0"/>
              <w:spacing w:before="20" w:after="40"/>
              <w:ind w:right="567"/>
              <w:jc w:val="right"/>
              <w:rPr>
                <w:color w:val="000000"/>
                <w:sz w:val="20"/>
                <w:szCs w:val="22"/>
                <w:lang w:val="fr-FR"/>
              </w:rPr>
            </w:pPr>
            <w:r>
              <w:rPr>
                <w:color w:val="000000"/>
                <w:sz w:val="20"/>
                <w:szCs w:val="22"/>
                <w:lang w:val="fr-FR"/>
              </w:rPr>
              <w:t xml:space="preserve">2 952 503  </w:t>
            </w:r>
          </w:p>
        </w:tc>
      </w:tr>
    </w:tbl>
    <w:p w:rsidR="00000000" w:rsidRDefault="00000000">
      <w:pPr>
        <w:autoSpaceDE w:val="0"/>
        <w:autoSpaceDN w:val="0"/>
        <w:adjustRightInd w:val="0"/>
        <w:spacing w:before="80" w:after="240"/>
        <w:ind w:left="1440"/>
        <w:rPr>
          <w:color w:val="000000"/>
          <w:sz w:val="20"/>
          <w:szCs w:val="22"/>
          <w:lang w:val="fr-FR"/>
        </w:rPr>
      </w:pPr>
      <w:r>
        <w:rPr>
          <w:i/>
          <w:iCs/>
          <w:color w:val="000000"/>
          <w:sz w:val="20"/>
          <w:szCs w:val="22"/>
          <w:lang w:val="fr-FR"/>
        </w:rPr>
        <w:t>Source :</w:t>
      </w:r>
      <w:r>
        <w:rPr>
          <w:color w:val="000000"/>
          <w:sz w:val="20"/>
          <w:szCs w:val="22"/>
          <w:lang w:val="fr-FR"/>
        </w:rPr>
        <w:t xml:space="preserve"> Pauvreté et capital humain en Équateur, SIISE , 1997.  </w:t>
      </w:r>
    </w:p>
    <w:p w:rsidR="00000000" w:rsidRDefault="00000000">
      <w:pPr>
        <w:pStyle w:val="Heading1"/>
        <w:keepNext w:val="0"/>
        <w:spacing w:after="240"/>
        <w:jc w:val="left"/>
        <w:rPr>
          <w:b w:val="0"/>
          <w:bCs w:val="0"/>
          <w:i/>
          <w:iCs/>
          <w:lang w:val="fr-FR"/>
        </w:rPr>
      </w:pPr>
      <w:r>
        <w:rPr>
          <w:b w:val="0"/>
          <w:bCs w:val="0"/>
          <w:i/>
          <w:iCs/>
          <w:lang w:val="fr-FR"/>
        </w:rPr>
        <w:t>Système d'enseignement fondamental</w:t>
      </w:r>
    </w:p>
    <w:p w:rsidR="00000000" w:rsidRDefault="00000000">
      <w:pPr>
        <w:spacing w:after="240"/>
        <w:rPr>
          <w:bCs/>
          <w:lang w:val="fr-FR"/>
        </w:rPr>
      </w:pPr>
      <w:r>
        <w:rPr>
          <w:bCs/>
          <w:lang w:val="fr-FR"/>
        </w:rPr>
        <w:t>492.</w:t>
      </w:r>
      <w:r>
        <w:rPr>
          <w:bCs/>
          <w:lang w:val="fr-FR"/>
        </w:rPr>
        <w:tab/>
        <w:t>Le système éducatif national est unique et comprend deux sous système :</w:t>
      </w:r>
    </w:p>
    <w:p w:rsidR="00000000" w:rsidRDefault="00000000">
      <w:pPr>
        <w:numPr>
          <w:ilvl w:val="0"/>
          <w:numId w:val="98"/>
        </w:numPr>
        <w:spacing w:after="240"/>
        <w:rPr>
          <w:bCs/>
          <w:lang w:val="fr-FR"/>
        </w:rPr>
      </w:pPr>
      <w:r>
        <w:rPr>
          <w:bCs/>
          <w:caps/>
          <w:lang w:val="fr-FR"/>
        </w:rPr>
        <w:t>s</w:t>
      </w:r>
      <w:r>
        <w:rPr>
          <w:bCs/>
          <w:lang w:val="fr-FR"/>
        </w:rPr>
        <w:t>colarisé : espagnol et autochtone;</w:t>
      </w:r>
    </w:p>
    <w:p w:rsidR="00000000" w:rsidRDefault="00000000">
      <w:pPr>
        <w:numPr>
          <w:ilvl w:val="0"/>
          <w:numId w:val="98"/>
        </w:numPr>
        <w:spacing w:after="240"/>
        <w:rPr>
          <w:bCs/>
          <w:lang w:val="fr-FR"/>
        </w:rPr>
      </w:pPr>
      <w:r>
        <w:rPr>
          <w:bCs/>
          <w:caps/>
          <w:lang w:val="fr-FR"/>
        </w:rPr>
        <w:t>n</w:t>
      </w:r>
      <w:r>
        <w:rPr>
          <w:bCs/>
          <w:lang w:val="fr-FR"/>
        </w:rPr>
        <w:t>on scolarisé : espagnol et autochtone.</w:t>
      </w:r>
    </w:p>
    <w:p w:rsidR="00000000" w:rsidRDefault="00000000">
      <w:pPr>
        <w:spacing w:after="240"/>
        <w:rPr>
          <w:bCs/>
          <w:lang w:val="fr-FR"/>
        </w:rPr>
      </w:pPr>
      <w:r>
        <w:rPr>
          <w:bCs/>
          <w:lang w:val="fr-FR"/>
        </w:rPr>
        <w:t>493.</w:t>
      </w:r>
      <w:r>
        <w:rPr>
          <w:bCs/>
          <w:lang w:val="fr-FR"/>
        </w:rPr>
        <w:tab/>
        <w:t xml:space="preserve">Le sous-système scolarisé recouvre l'éducation dispensée dans les établissements définis dans la loi et dans les règlements généraux et spéciaux.  Il englobe : </w:t>
      </w:r>
    </w:p>
    <w:p w:rsidR="00000000" w:rsidRDefault="00000000">
      <w:pPr>
        <w:numPr>
          <w:ilvl w:val="0"/>
          <w:numId w:val="100"/>
        </w:numPr>
        <w:spacing w:after="240"/>
        <w:rPr>
          <w:bCs/>
          <w:lang w:val="fr-FR"/>
        </w:rPr>
      </w:pPr>
      <w:r>
        <w:rPr>
          <w:bCs/>
          <w:lang w:val="fr-FR"/>
        </w:rPr>
        <w:t xml:space="preserve">L’enseignement régulier : espagnol et autochtone; </w:t>
      </w:r>
    </w:p>
    <w:p w:rsidR="00000000" w:rsidRDefault="00000000">
      <w:pPr>
        <w:numPr>
          <w:ilvl w:val="0"/>
          <w:numId w:val="100"/>
        </w:numPr>
        <w:spacing w:after="240"/>
        <w:rPr>
          <w:bCs/>
          <w:lang w:val="fr-FR"/>
        </w:rPr>
      </w:pPr>
      <w:r>
        <w:rPr>
          <w:bCs/>
          <w:lang w:val="fr-FR"/>
        </w:rPr>
        <w:t>L'enseignement compensatoire : espagnol et autochtone;</w:t>
      </w:r>
    </w:p>
    <w:p w:rsidR="00000000" w:rsidRDefault="00000000">
      <w:pPr>
        <w:numPr>
          <w:ilvl w:val="0"/>
          <w:numId w:val="100"/>
        </w:numPr>
        <w:spacing w:after="240"/>
        <w:rPr>
          <w:bCs/>
          <w:lang w:val="fr-FR"/>
        </w:rPr>
      </w:pPr>
      <w:r>
        <w:rPr>
          <w:bCs/>
          <w:lang w:val="fr-FR"/>
        </w:rPr>
        <w:t>L'enseignement spécial : espagnol et autochtone.</w:t>
      </w:r>
    </w:p>
    <w:p w:rsidR="00000000" w:rsidRDefault="00000000">
      <w:pPr>
        <w:spacing w:after="240"/>
        <w:rPr>
          <w:bCs/>
          <w:lang w:val="fr-FR"/>
        </w:rPr>
      </w:pPr>
      <w:r>
        <w:rPr>
          <w:bCs/>
          <w:lang w:val="fr-FR"/>
        </w:rPr>
        <w:t>494.</w:t>
      </w:r>
      <w:r>
        <w:rPr>
          <w:bCs/>
          <w:lang w:val="fr-FR"/>
        </w:rPr>
        <w:tab/>
        <w:t>Dans le système scolarisé espagnol et autochtone, les modalités sont bien établies.  L'enseignement compensatoire a pour objectif essentiel de rétablir l'égalité des chances pour ceux qui n'ont pas été admis dans l'enseignement régulier ou qui n'ont pas été jusqu'au bout de cet enseignement, et de leur permettre de s'intégrer à ce système régulier, à tout moment de leur vie, conformément à leurs besoins et aspirations.</w:t>
      </w:r>
    </w:p>
    <w:p w:rsidR="00000000" w:rsidRDefault="00000000">
      <w:pPr>
        <w:spacing w:after="240"/>
        <w:rPr>
          <w:bCs/>
          <w:lang w:val="fr-FR"/>
        </w:rPr>
      </w:pPr>
      <w:r>
        <w:rPr>
          <w:bCs/>
          <w:lang w:val="fr-FR"/>
        </w:rPr>
        <w:t>495.</w:t>
      </w:r>
      <w:r>
        <w:rPr>
          <w:bCs/>
          <w:lang w:val="fr-FR"/>
        </w:rPr>
        <w:tab/>
        <w:t>L’enseignement compensatoire comprend :</w:t>
      </w:r>
    </w:p>
    <w:p w:rsidR="00000000" w:rsidRDefault="00000000">
      <w:pPr>
        <w:numPr>
          <w:ilvl w:val="0"/>
          <w:numId w:val="102"/>
        </w:numPr>
        <w:spacing w:after="240"/>
        <w:rPr>
          <w:bCs/>
          <w:lang w:val="fr-FR"/>
        </w:rPr>
      </w:pPr>
      <w:r>
        <w:rPr>
          <w:bCs/>
          <w:lang w:val="fr-FR"/>
        </w:rPr>
        <w:t>Le niveau d'enseignement de base populaire :</w:t>
      </w:r>
    </w:p>
    <w:p w:rsidR="00000000" w:rsidRDefault="00000000">
      <w:pPr>
        <w:numPr>
          <w:ilvl w:val="0"/>
          <w:numId w:val="104"/>
        </w:numPr>
        <w:spacing w:after="240"/>
        <w:rPr>
          <w:bCs/>
          <w:lang w:val="fr-FR"/>
        </w:rPr>
      </w:pPr>
      <w:r>
        <w:rPr>
          <w:bCs/>
          <w:lang w:val="fr-FR"/>
        </w:rPr>
        <w:t>Alphabétisation;</w:t>
      </w:r>
    </w:p>
    <w:p w:rsidR="00000000" w:rsidRDefault="00000000">
      <w:pPr>
        <w:numPr>
          <w:ilvl w:val="0"/>
          <w:numId w:val="104"/>
        </w:numPr>
        <w:spacing w:after="240"/>
        <w:rPr>
          <w:bCs/>
          <w:lang w:val="fr-FR"/>
        </w:rPr>
      </w:pPr>
      <w:r>
        <w:rPr>
          <w:bCs/>
          <w:lang w:val="fr-FR"/>
        </w:rPr>
        <w:t>Post-alphabétisation;</w:t>
      </w:r>
    </w:p>
    <w:p w:rsidR="00000000" w:rsidRDefault="00000000">
      <w:pPr>
        <w:numPr>
          <w:ilvl w:val="0"/>
          <w:numId w:val="104"/>
        </w:numPr>
        <w:spacing w:after="240"/>
        <w:rPr>
          <w:bCs/>
          <w:lang w:val="fr-FR"/>
        </w:rPr>
      </w:pPr>
      <w:r>
        <w:rPr>
          <w:bCs/>
          <w:lang w:val="fr-FR"/>
        </w:rPr>
        <w:t>Cycle de base;</w:t>
      </w:r>
    </w:p>
    <w:p w:rsidR="00000000" w:rsidRDefault="00000000">
      <w:pPr>
        <w:numPr>
          <w:ilvl w:val="0"/>
          <w:numId w:val="102"/>
        </w:numPr>
        <w:spacing w:after="240"/>
        <w:rPr>
          <w:bCs/>
          <w:lang w:val="fr-FR"/>
        </w:rPr>
      </w:pPr>
      <w:r>
        <w:rPr>
          <w:bCs/>
          <w:lang w:val="fr-FR"/>
        </w:rPr>
        <w:t>Le niveau diversifié populaire;</w:t>
      </w:r>
    </w:p>
    <w:p w:rsidR="00000000" w:rsidRDefault="00000000">
      <w:pPr>
        <w:numPr>
          <w:ilvl w:val="0"/>
          <w:numId w:val="102"/>
        </w:numPr>
        <w:spacing w:after="240"/>
        <w:rPr>
          <w:bCs/>
          <w:lang w:val="fr-FR"/>
        </w:rPr>
      </w:pPr>
      <w:r>
        <w:rPr>
          <w:bCs/>
          <w:lang w:val="fr-FR"/>
        </w:rPr>
        <w:t>La formation professionnelle en milieu artisanal;</w:t>
      </w:r>
    </w:p>
    <w:p w:rsidR="00000000" w:rsidRDefault="00000000">
      <w:pPr>
        <w:numPr>
          <w:ilvl w:val="0"/>
          <w:numId w:val="102"/>
        </w:numPr>
        <w:spacing w:after="240"/>
        <w:rPr>
          <w:bCs/>
          <w:lang w:val="fr-FR"/>
        </w:rPr>
      </w:pPr>
      <w:r>
        <w:rPr>
          <w:bCs/>
          <w:lang w:val="fr-FR"/>
        </w:rPr>
        <w:t>Dans le domaine de l'éducation populaire permanente, des unités éducatives de production peuvent fonctionner, en conformité avec le règlement qu’adoptera à cet effet le Ministère de l'éducation et de la culture.</w:t>
      </w:r>
    </w:p>
    <w:p w:rsidR="00000000" w:rsidRDefault="00000000">
      <w:pPr>
        <w:spacing w:after="240"/>
        <w:rPr>
          <w:bCs/>
          <w:lang w:val="fr-FR"/>
        </w:rPr>
      </w:pPr>
      <w:r>
        <w:rPr>
          <w:bCs/>
          <w:lang w:val="fr-FR"/>
        </w:rPr>
        <w:t>496.</w:t>
      </w:r>
      <w:r>
        <w:rPr>
          <w:bCs/>
          <w:lang w:val="fr-FR"/>
        </w:rPr>
        <w:tab/>
        <w:t xml:space="preserve">Il est possible de donner ainsi un tableau rétrospectif des actions entreprises dans ce domaine. </w:t>
      </w:r>
    </w:p>
    <w:p w:rsidR="00000000" w:rsidRDefault="00000000">
      <w:pPr>
        <w:numPr>
          <w:ilvl w:val="0"/>
          <w:numId w:val="106"/>
        </w:numPr>
        <w:spacing w:after="240"/>
        <w:rPr>
          <w:bCs/>
          <w:lang w:val="fr-FR"/>
        </w:rPr>
      </w:pPr>
      <w:r>
        <w:rPr>
          <w:bCs/>
          <w:lang w:val="fr-FR"/>
        </w:rPr>
        <w:t>Campagne nationale d'alphabétisation - UNP, (1944-1963);</w:t>
      </w:r>
    </w:p>
    <w:p w:rsidR="00000000" w:rsidRDefault="00000000">
      <w:pPr>
        <w:numPr>
          <w:ilvl w:val="0"/>
          <w:numId w:val="106"/>
        </w:numPr>
        <w:spacing w:after="240"/>
        <w:rPr>
          <w:bCs/>
          <w:lang w:val="fr-FR"/>
        </w:rPr>
      </w:pPr>
      <w:r>
        <w:rPr>
          <w:bCs/>
          <w:lang w:val="fr-FR"/>
        </w:rPr>
        <w:t>Campagne nationale d'alphabétisation - Ministère de l'éducation (1963-1972);</w:t>
      </w:r>
    </w:p>
    <w:p w:rsidR="00000000" w:rsidRDefault="00000000">
      <w:pPr>
        <w:numPr>
          <w:ilvl w:val="0"/>
          <w:numId w:val="106"/>
        </w:numPr>
        <w:spacing w:after="240"/>
        <w:rPr>
          <w:bCs/>
          <w:lang w:val="fr-FR"/>
        </w:rPr>
      </w:pPr>
      <w:r>
        <w:rPr>
          <w:bCs/>
          <w:lang w:val="fr-FR"/>
        </w:rPr>
        <w:t>Projet pilote d'alphabétisation - Ministère de l'éducation/Unesco/PNUD (1965-1972);</w:t>
      </w:r>
    </w:p>
    <w:p w:rsidR="00000000" w:rsidRDefault="00000000">
      <w:pPr>
        <w:numPr>
          <w:ilvl w:val="0"/>
          <w:numId w:val="106"/>
        </w:numPr>
        <w:spacing w:after="240"/>
        <w:rPr>
          <w:bCs/>
          <w:lang w:val="fr-FR"/>
        </w:rPr>
      </w:pPr>
      <w:r>
        <w:rPr>
          <w:bCs/>
          <w:lang w:val="fr-FR"/>
        </w:rPr>
        <w:t>Programme national d'alphabétisation - Ministère de l'éducation, Département de l'éducation des adultes et de l'alphabétisation (1972-1979);</w:t>
      </w:r>
    </w:p>
    <w:p w:rsidR="00000000" w:rsidRDefault="00000000">
      <w:pPr>
        <w:numPr>
          <w:ilvl w:val="0"/>
          <w:numId w:val="106"/>
        </w:numPr>
        <w:spacing w:after="240"/>
        <w:rPr>
          <w:bCs/>
          <w:lang w:val="fr-FR"/>
        </w:rPr>
      </w:pPr>
      <w:r>
        <w:rPr>
          <w:bCs/>
          <w:lang w:val="fr-FR"/>
        </w:rPr>
        <w:t>Programme national d'alphabétisation - JRA/Ministère de l'éducation/Office national de l'alphabétisation (1980-1984);</w:t>
      </w:r>
    </w:p>
    <w:p w:rsidR="00000000" w:rsidRDefault="00000000">
      <w:pPr>
        <w:numPr>
          <w:ilvl w:val="0"/>
          <w:numId w:val="106"/>
        </w:numPr>
        <w:spacing w:after="240"/>
        <w:rPr>
          <w:bCs/>
          <w:lang w:val="fr-FR"/>
        </w:rPr>
      </w:pPr>
      <w:r>
        <w:rPr>
          <w:bCs/>
          <w:lang w:val="fr-FR"/>
        </w:rPr>
        <w:t>Programme d'enseignement compensatoire - Direction nationale de l'enseignement compensatoire et non scolarisé (DINECNE) (1984-1988);</w:t>
      </w:r>
    </w:p>
    <w:p w:rsidR="00000000" w:rsidRDefault="00000000">
      <w:pPr>
        <w:numPr>
          <w:ilvl w:val="0"/>
          <w:numId w:val="106"/>
        </w:numPr>
        <w:spacing w:after="240"/>
        <w:rPr>
          <w:bCs/>
          <w:lang w:val="fr-FR"/>
        </w:rPr>
      </w:pPr>
      <w:r>
        <w:rPr>
          <w:bCs/>
          <w:lang w:val="fr-FR"/>
        </w:rPr>
        <w:t>Campagne nationale d'alphabétisation Leónidas Proaño (1989);</w:t>
      </w:r>
    </w:p>
    <w:p w:rsidR="00000000" w:rsidRDefault="00000000">
      <w:pPr>
        <w:numPr>
          <w:ilvl w:val="0"/>
          <w:numId w:val="106"/>
        </w:numPr>
        <w:spacing w:after="240"/>
        <w:rPr>
          <w:bCs/>
          <w:lang w:val="fr-FR"/>
        </w:rPr>
      </w:pPr>
      <w:r>
        <w:rPr>
          <w:bCs/>
          <w:lang w:val="fr-FR"/>
        </w:rPr>
        <w:t>Programme adapté "L’Équateur étudie" (1990);</w:t>
      </w:r>
    </w:p>
    <w:p w:rsidR="00000000" w:rsidRDefault="00000000">
      <w:pPr>
        <w:numPr>
          <w:ilvl w:val="0"/>
          <w:numId w:val="106"/>
        </w:numPr>
        <w:spacing w:after="240"/>
        <w:rPr>
          <w:bCs/>
          <w:lang w:val="fr-FR"/>
        </w:rPr>
      </w:pPr>
      <w:r>
        <w:rPr>
          <w:bCs/>
          <w:lang w:val="fr-FR"/>
        </w:rPr>
        <w:t>Nouvelle orientation culturelle (1996).</w:t>
      </w:r>
    </w:p>
    <w:p w:rsidR="00000000" w:rsidRDefault="00000000">
      <w:pPr>
        <w:spacing w:after="240"/>
        <w:rPr>
          <w:bCs/>
          <w:lang w:val="fr-FR"/>
        </w:rPr>
      </w:pPr>
      <w:r>
        <w:rPr>
          <w:bCs/>
          <w:lang w:val="fr-FR"/>
        </w:rPr>
        <w:t>497.</w:t>
      </w:r>
      <w:r>
        <w:rPr>
          <w:bCs/>
          <w:lang w:val="fr-FR"/>
        </w:rPr>
        <w:tab/>
        <w:t>Chacun de ses programmes et projets ont été appliqués selon des modalités propres (par exemple, avec la participation directe d'élèves du secondaire à la campagne d'alphabétisation).</w:t>
      </w:r>
    </w:p>
    <w:p w:rsidR="00000000" w:rsidRDefault="00000000">
      <w:pPr>
        <w:spacing w:after="240"/>
        <w:rPr>
          <w:bCs/>
          <w:lang w:val="fr-FR"/>
        </w:rPr>
      </w:pPr>
      <w:r>
        <w:rPr>
          <w:b/>
          <w:bCs/>
          <w:lang w:val="fr-FR"/>
        </w:rPr>
        <w:t>Principaux problèmes</w:t>
      </w:r>
    </w:p>
    <w:p w:rsidR="00000000" w:rsidRDefault="00000000">
      <w:pPr>
        <w:spacing w:after="240"/>
        <w:rPr>
          <w:bCs/>
          <w:lang w:val="fr-FR"/>
        </w:rPr>
      </w:pPr>
      <w:r>
        <w:rPr>
          <w:bCs/>
          <w:lang w:val="fr-FR"/>
        </w:rPr>
        <w:t>498.</w:t>
      </w:r>
      <w:r>
        <w:rPr>
          <w:bCs/>
          <w:lang w:val="fr-FR"/>
        </w:rPr>
        <w:tab/>
        <w:t>Bien que la Constitution prévoie que 30 % au moins du budget général de l’État doit être affecté à l'éducation, cela n'a pas été possible dans la pratique, l'éducation ayant pâti des conséquences des problèmes économiques nationaux et restant subordonnée à la politique des gouvernements en place.</w:t>
      </w:r>
    </w:p>
    <w:p w:rsidR="00000000" w:rsidRDefault="00000000">
      <w:pPr>
        <w:spacing w:after="240"/>
        <w:rPr>
          <w:bCs/>
          <w:lang w:val="fr-FR"/>
        </w:rPr>
      </w:pPr>
      <w:r>
        <w:rPr>
          <w:bCs/>
          <w:lang w:val="fr-FR"/>
        </w:rPr>
        <w:t>499.</w:t>
      </w:r>
      <w:r>
        <w:rPr>
          <w:bCs/>
          <w:lang w:val="fr-FR"/>
        </w:rPr>
        <w:tab/>
        <w:t>Un autre facteur qu’il convient de prendre en considération est la grande crise économique que le pays traverse depuis quelques années et qui, non seulement ne permet pas d'accroître les crédits en faveur de l'éducation, mais a au contraire pour effet de les réduire.</w:t>
      </w:r>
    </w:p>
    <w:p w:rsidR="00000000" w:rsidRDefault="00000000">
      <w:pPr>
        <w:spacing w:after="240"/>
        <w:rPr>
          <w:bCs/>
          <w:lang w:val="fr-FR"/>
        </w:rPr>
      </w:pPr>
      <w:r>
        <w:rPr>
          <w:bCs/>
          <w:lang w:val="fr-FR"/>
        </w:rPr>
        <w:t>500.</w:t>
      </w:r>
      <w:r>
        <w:rPr>
          <w:bCs/>
          <w:lang w:val="fr-FR"/>
        </w:rPr>
        <w:tab/>
        <w:t>Il est indispensable de disposer d'une loi relative à l'éducation ― actuellement en cours d'élaboration ― qui réponde aux changements et transformations sociales que connaît le pays et qui favorise la déconcentration administrative et financière, la participation de la société civile, la responsabilité réditionnelle et l'amélioration de la qualité de l'éducation.</w:t>
      </w:r>
    </w:p>
    <w:p w:rsidR="00000000" w:rsidRDefault="00000000">
      <w:pPr>
        <w:spacing w:after="240"/>
        <w:rPr>
          <w:bCs/>
          <w:iCs/>
          <w:lang w:val="fr-FR"/>
        </w:rPr>
      </w:pPr>
      <w:r>
        <w:rPr>
          <w:bCs/>
          <w:i/>
          <w:iCs/>
          <w:lang w:val="fr-FR"/>
        </w:rPr>
        <w:t>Niveaux d'éducation.  Statistiques</w:t>
      </w:r>
    </w:p>
    <w:p w:rsidR="00000000" w:rsidRDefault="00000000">
      <w:pPr>
        <w:spacing w:after="240"/>
        <w:rPr>
          <w:bCs/>
          <w:iCs/>
          <w:lang w:val="fr-FR"/>
        </w:rPr>
      </w:pPr>
      <w:r>
        <w:rPr>
          <w:bCs/>
          <w:iCs/>
          <w:lang w:val="fr-FR"/>
        </w:rPr>
        <w:t>501.</w:t>
      </w:r>
      <w:r>
        <w:rPr>
          <w:bCs/>
          <w:iCs/>
          <w:lang w:val="fr-FR"/>
        </w:rPr>
        <w:tab/>
        <w:t>La population analphabète est composée des personnes ne sachant ni lire ni écrire.</w:t>
      </w:r>
    </w:p>
    <w:p w:rsidR="00000000" w:rsidRDefault="00000000">
      <w:pPr>
        <w:spacing w:after="240"/>
        <w:rPr>
          <w:bCs/>
          <w:iCs/>
          <w:lang w:val="fr-FR"/>
        </w:rPr>
      </w:pPr>
      <w:r>
        <w:rPr>
          <w:bCs/>
          <w:iCs/>
          <w:lang w:val="fr-FR"/>
        </w:rPr>
        <w:t>502.</w:t>
      </w:r>
      <w:r>
        <w:rPr>
          <w:bCs/>
          <w:iCs/>
          <w:lang w:val="fr-FR"/>
        </w:rPr>
        <w:tab/>
        <w:t>Bien que des programmes d'alphabétisation et des campagnes d'éducation destinés essentiellement aux adultes aient été menées à bien au cours des dernières années en vue de réduire le pourcentage de personne illettrées, les niveaux d'analphabétisme restent élevés dans le pays, en particulier dans le groupe des personnes âgées de quinze ans et plus.  On a cependant observé entre 1994 et 1998 un recul lent, mais régulier, de l'analphabétisme au niveau national.  En 1999, le taux d'analphabétisme dans les zones rurales était supérieur à la moyenne nationale</w:t>
      </w:r>
      <w:r>
        <w:rPr>
          <w:rStyle w:val="FootnoteReference"/>
          <w:b/>
          <w:bCs/>
          <w:iCs/>
          <w:lang w:val="fr-FR"/>
        </w:rPr>
        <w:footnoteReference w:id="69"/>
      </w:r>
      <w:r>
        <w:rPr>
          <w:bCs/>
          <w:iCs/>
          <w:lang w:val="fr-FR"/>
        </w:rPr>
        <w:t>.</w:t>
      </w:r>
    </w:p>
    <w:p w:rsidR="00000000" w:rsidRDefault="00000000">
      <w:pPr>
        <w:spacing w:after="360"/>
        <w:rPr>
          <w:bCs/>
          <w:lang w:val="fr-FR"/>
        </w:rPr>
      </w:pPr>
      <w:r>
        <w:rPr>
          <w:bCs/>
          <w:lang w:val="fr-FR"/>
        </w:rPr>
        <w:t>503.</w:t>
      </w:r>
      <w:r>
        <w:rPr>
          <w:bCs/>
          <w:lang w:val="fr-FR"/>
        </w:rPr>
        <w:tab/>
        <w:t>Parmi les principales causes de l'analphabétisme, on peut mentionner les suivantes : les effets de la crise économique qui ont empêché de consacrer les ressources nécessaires à la solution du problème; l'éloignement des centres éducatifs, ainsi que les insuffisances de l'infrastructure de base de l'éducation, en particulier dans les zones rurales; et l’insertion accrue de la population dans le marché du travail</w:t>
      </w:r>
      <w:r>
        <w:rPr>
          <w:rStyle w:val="FootnoteReference"/>
          <w:b/>
          <w:bCs/>
          <w:lang w:val="fr-FR"/>
        </w:rPr>
        <w:footnoteReference w:id="70"/>
      </w:r>
      <w:r>
        <w:rPr>
          <w:bCs/>
          <w:lang w:val="fr-FR"/>
        </w:rPr>
        <w:t>.</w:t>
      </w:r>
    </w:p>
    <w:p w:rsidR="00000000" w:rsidRDefault="00000000">
      <w:pPr>
        <w:autoSpaceDE w:val="0"/>
        <w:autoSpaceDN w:val="0"/>
        <w:adjustRightInd w:val="0"/>
        <w:jc w:val="center"/>
        <w:rPr>
          <w:b/>
          <w:bCs/>
          <w:color w:val="000000"/>
          <w:sz w:val="20"/>
          <w:szCs w:val="22"/>
          <w:lang w:val="fr-FR"/>
        </w:rPr>
      </w:pPr>
      <w:r>
        <w:rPr>
          <w:b/>
          <w:bCs/>
          <w:color w:val="000000"/>
          <w:sz w:val="20"/>
          <w:szCs w:val="22"/>
          <w:lang w:val="fr-FR"/>
        </w:rPr>
        <w:t xml:space="preserve">Population analphabète au niveau national par secteur, selon le groupe d'âge </w:t>
      </w:r>
    </w:p>
    <w:p w:rsidR="00000000" w:rsidRDefault="00000000">
      <w:pPr>
        <w:autoSpaceDE w:val="0"/>
        <w:autoSpaceDN w:val="0"/>
        <w:adjustRightInd w:val="0"/>
        <w:spacing w:after="120"/>
        <w:jc w:val="center"/>
        <w:rPr>
          <w:i/>
          <w:iCs/>
          <w:color w:val="000000"/>
          <w:sz w:val="20"/>
          <w:szCs w:val="22"/>
          <w:lang w:val="fr-FR"/>
        </w:rPr>
      </w:pPr>
      <w:r>
        <w:rPr>
          <w:i/>
          <w:iCs/>
          <w:color w:val="000000"/>
          <w:sz w:val="20"/>
          <w:szCs w:val="22"/>
          <w:lang w:val="fr-FR"/>
        </w:rPr>
        <w:t xml:space="preserve">(En pourcentage)  </w:t>
      </w:r>
    </w:p>
    <w:tbl>
      <w:tblPr>
        <w:tblW w:w="8505" w:type="dxa"/>
        <w:tblInd w:w="655" w:type="dxa"/>
        <w:tblBorders>
          <w:top w:val="single" w:sz="6" w:space="0" w:color="auto"/>
          <w:bottom w:val="single" w:sz="6" w:space="0" w:color="auto"/>
        </w:tblBorders>
        <w:tblLayout w:type="fixed"/>
        <w:tblCellMar>
          <w:left w:w="70" w:type="dxa"/>
          <w:right w:w="70" w:type="dxa"/>
        </w:tblCellMar>
        <w:tblLook w:val="0000" w:firstRow="0" w:lastRow="0" w:firstColumn="0" w:lastColumn="0" w:noHBand="0" w:noVBand="0"/>
      </w:tblPr>
      <w:tblGrid>
        <w:gridCol w:w="2767"/>
        <w:gridCol w:w="1424"/>
        <w:gridCol w:w="1506"/>
        <w:gridCol w:w="1506"/>
        <w:gridCol w:w="1302"/>
      </w:tblGrid>
      <w:tr w:rsidR="00000000">
        <w:tblPrEx>
          <w:tblCellMar>
            <w:top w:w="0" w:type="dxa"/>
            <w:bottom w:w="0" w:type="dxa"/>
          </w:tblCellMar>
        </w:tblPrEx>
        <w:tc>
          <w:tcPr>
            <w:tcW w:w="2652"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Groupe d'âge</w:t>
            </w:r>
          </w:p>
        </w:tc>
        <w:tc>
          <w:tcPr>
            <w:tcW w:w="1365"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1994</w:t>
            </w:r>
          </w:p>
        </w:tc>
        <w:tc>
          <w:tcPr>
            <w:tcW w:w="1443"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1995</w:t>
            </w:r>
          </w:p>
        </w:tc>
        <w:tc>
          <w:tcPr>
            <w:tcW w:w="1443"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1998</w:t>
            </w:r>
          </w:p>
        </w:tc>
        <w:tc>
          <w:tcPr>
            <w:tcW w:w="1248"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1999</w:t>
            </w:r>
          </w:p>
        </w:tc>
      </w:tr>
      <w:tr w:rsidR="00000000">
        <w:tblPrEx>
          <w:tblCellMar>
            <w:top w:w="0" w:type="dxa"/>
            <w:bottom w:w="0" w:type="dxa"/>
          </w:tblCellMar>
        </w:tblPrEx>
        <w:tc>
          <w:tcPr>
            <w:tcW w:w="2652" w:type="dxa"/>
            <w:tcBorders>
              <w:top w:val="single" w:sz="6" w:space="0" w:color="auto"/>
            </w:tcBorders>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Ensemble du pays  </w:t>
            </w:r>
          </w:p>
        </w:tc>
        <w:tc>
          <w:tcPr>
            <w:tcW w:w="1365" w:type="dxa"/>
            <w:tcBorders>
              <w:top w:val="single" w:sz="6" w:space="0" w:color="auto"/>
            </w:tcBorders>
          </w:tcPr>
          <w:p w:rsidR="00000000" w:rsidRDefault="00000000">
            <w:pPr>
              <w:autoSpaceDE w:val="0"/>
              <w:autoSpaceDN w:val="0"/>
              <w:adjustRightInd w:val="0"/>
              <w:spacing w:before="40" w:after="20"/>
              <w:rPr>
                <w:color w:val="000000"/>
                <w:sz w:val="20"/>
                <w:szCs w:val="22"/>
                <w:lang w:val="fr-FR"/>
              </w:rPr>
            </w:pPr>
          </w:p>
        </w:tc>
        <w:tc>
          <w:tcPr>
            <w:tcW w:w="1443" w:type="dxa"/>
            <w:tcBorders>
              <w:top w:val="single" w:sz="6" w:space="0" w:color="auto"/>
            </w:tcBorders>
          </w:tcPr>
          <w:p w:rsidR="00000000" w:rsidRDefault="00000000">
            <w:pPr>
              <w:autoSpaceDE w:val="0"/>
              <w:autoSpaceDN w:val="0"/>
              <w:adjustRightInd w:val="0"/>
              <w:spacing w:before="40" w:after="20"/>
              <w:rPr>
                <w:color w:val="000000"/>
                <w:sz w:val="20"/>
                <w:szCs w:val="22"/>
                <w:lang w:val="fr-FR"/>
              </w:rPr>
            </w:pPr>
          </w:p>
        </w:tc>
        <w:tc>
          <w:tcPr>
            <w:tcW w:w="1443" w:type="dxa"/>
            <w:tcBorders>
              <w:top w:val="single" w:sz="6" w:space="0" w:color="auto"/>
            </w:tcBorders>
          </w:tcPr>
          <w:p w:rsidR="00000000" w:rsidRDefault="00000000">
            <w:pPr>
              <w:autoSpaceDE w:val="0"/>
              <w:autoSpaceDN w:val="0"/>
              <w:adjustRightInd w:val="0"/>
              <w:spacing w:before="40" w:after="20"/>
              <w:rPr>
                <w:color w:val="000000"/>
                <w:sz w:val="20"/>
                <w:szCs w:val="22"/>
                <w:lang w:val="fr-FR"/>
              </w:rPr>
            </w:pPr>
          </w:p>
        </w:tc>
        <w:tc>
          <w:tcPr>
            <w:tcW w:w="1248" w:type="dxa"/>
            <w:tcBorders>
              <w:top w:val="single" w:sz="6" w:space="0" w:color="auto"/>
            </w:tcBorders>
          </w:tcPr>
          <w:p w:rsidR="00000000" w:rsidRDefault="00000000">
            <w:pPr>
              <w:autoSpaceDE w:val="0"/>
              <w:autoSpaceDN w:val="0"/>
              <w:adjustRightInd w:val="0"/>
              <w:spacing w:before="40" w:after="20"/>
              <w:rPr>
                <w:color w:val="000000"/>
                <w:sz w:val="20"/>
                <w:szCs w:val="22"/>
                <w:lang w:val="fr-FR"/>
              </w:rPr>
            </w:pPr>
          </w:p>
        </w:tc>
      </w:tr>
      <w:tr w:rsidR="00000000">
        <w:tblPrEx>
          <w:tblCellMar>
            <w:top w:w="0" w:type="dxa"/>
            <w:bottom w:w="0" w:type="dxa"/>
          </w:tblCellMar>
        </w:tblPrEx>
        <w:tc>
          <w:tcPr>
            <w:tcW w:w="26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  10 ans et plus </w:t>
            </w:r>
          </w:p>
        </w:tc>
        <w:tc>
          <w:tcPr>
            <w:tcW w:w="1365"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9,9 </w:t>
            </w:r>
          </w:p>
        </w:tc>
        <w:tc>
          <w:tcPr>
            <w:tcW w:w="1443"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9,5 </w:t>
            </w:r>
          </w:p>
        </w:tc>
        <w:tc>
          <w:tcPr>
            <w:tcW w:w="1443"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9,9 </w:t>
            </w:r>
          </w:p>
        </w:tc>
        <w:tc>
          <w:tcPr>
            <w:tcW w:w="1248"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9,9  </w:t>
            </w:r>
          </w:p>
        </w:tc>
      </w:tr>
      <w:tr w:rsidR="00000000">
        <w:tblPrEx>
          <w:tblCellMar>
            <w:top w:w="0" w:type="dxa"/>
            <w:bottom w:w="0" w:type="dxa"/>
          </w:tblCellMar>
        </w:tblPrEx>
        <w:tc>
          <w:tcPr>
            <w:tcW w:w="26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  15 ans et plus </w:t>
            </w:r>
          </w:p>
        </w:tc>
        <w:tc>
          <w:tcPr>
            <w:tcW w:w="1365"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11,2 </w:t>
            </w:r>
          </w:p>
        </w:tc>
        <w:tc>
          <w:tcPr>
            <w:tcW w:w="1443"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10,5 </w:t>
            </w:r>
          </w:p>
        </w:tc>
        <w:tc>
          <w:tcPr>
            <w:tcW w:w="1443"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10,2 </w:t>
            </w:r>
          </w:p>
        </w:tc>
        <w:tc>
          <w:tcPr>
            <w:tcW w:w="1248"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11,0  </w:t>
            </w:r>
          </w:p>
        </w:tc>
      </w:tr>
      <w:tr w:rsidR="00000000">
        <w:tblPrEx>
          <w:tblCellMar>
            <w:top w:w="0" w:type="dxa"/>
            <w:bottom w:w="0" w:type="dxa"/>
          </w:tblCellMar>
        </w:tblPrEx>
        <w:tc>
          <w:tcPr>
            <w:tcW w:w="26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Secteur urbain  </w:t>
            </w:r>
          </w:p>
        </w:tc>
        <w:tc>
          <w:tcPr>
            <w:tcW w:w="1365" w:type="dxa"/>
          </w:tcPr>
          <w:p w:rsidR="00000000" w:rsidRDefault="00000000">
            <w:pPr>
              <w:tabs>
                <w:tab w:val="decimal" w:pos="538"/>
              </w:tabs>
              <w:autoSpaceDE w:val="0"/>
              <w:autoSpaceDN w:val="0"/>
              <w:adjustRightInd w:val="0"/>
              <w:spacing w:before="40" w:after="20"/>
              <w:rPr>
                <w:color w:val="000000"/>
                <w:sz w:val="20"/>
                <w:szCs w:val="22"/>
                <w:lang w:val="fr-FR"/>
              </w:rPr>
            </w:pPr>
          </w:p>
        </w:tc>
        <w:tc>
          <w:tcPr>
            <w:tcW w:w="1443" w:type="dxa"/>
          </w:tcPr>
          <w:p w:rsidR="00000000" w:rsidRDefault="00000000">
            <w:pPr>
              <w:tabs>
                <w:tab w:val="decimal" w:pos="538"/>
              </w:tabs>
              <w:autoSpaceDE w:val="0"/>
              <w:autoSpaceDN w:val="0"/>
              <w:adjustRightInd w:val="0"/>
              <w:spacing w:before="40" w:after="20"/>
              <w:rPr>
                <w:color w:val="000000"/>
                <w:sz w:val="20"/>
                <w:szCs w:val="22"/>
                <w:lang w:val="fr-FR"/>
              </w:rPr>
            </w:pPr>
          </w:p>
        </w:tc>
        <w:tc>
          <w:tcPr>
            <w:tcW w:w="1443" w:type="dxa"/>
          </w:tcPr>
          <w:p w:rsidR="00000000" w:rsidRDefault="00000000">
            <w:pPr>
              <w:tabs>
                <w:tab w:val="decimal" w:pos="538"/>
              </w:tabs>
              <w:autoSpaceDE w:val="0"/>
              <w:autoSpaceDN w:val="0"/>
              <w:adjustRightInd w:val="0"/>
              <w:spacing w:before="40" w:after="20"/>
              <w:rPr>
                <w:color w:val="000000"/>
                <w:sz w:val="20"/>
                <w:szCs w:val="22"/>
                <w:lang w:val="fr-FR"/>
              </w:rPr>
            </w:pPr>
          </w:p>
        </w:tc>
        <w:tc>
          <w:tcPr>
            <w:tcW w:w="1248" w:type="dxa"/>
          </w:tcPr>
          <w:p w:rsidR="00000000" w:rsidRDefault="00000000">
            <w:pPr>
              <w:tabs>
                <w:tab w:val="decimal" w:pos="538"/>
              </w:tabs>
              <w:autoSpaceDE w:val="0"/>
              <w:autoSpaceDN w:val="0"/>
              <w:adjustRightInd w:val="0"/>
              <w:spacing w:before="40" w:after="20"/>
              <w:rPr>
                <w:color w:val="000000"/>
                <w:sz w:val="20"/>
                <w:szCs w:val="22"/>
                <w:lang w:val="fr-FR"/>
              </w:rPr>
            </w:pPr>
          </w:p>
        </w:tc>
      </w:tr>
      <w:tr w:rsidR="00000000">
        <w:tblPrEx>
          <w:tblCellMar>
            <w:top w:w="0" w:type="dxa"/>
            <w:bottom w:w="0" w:type="dxa"/>
          </w:tblCellMar>
        </w:tblPrEx>
        <w:tc>
          <w:tcPr>
            <w:tcW w:w="26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  10 ans et plus </w:t>
            </w:r>
          </w:p>
        </w:tc>
        <w:tc>
          <w:tcPr>
            <w:tcW w:w="1365"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4,9 </w:t>
            </w:r>
          </w:p>
        </w:tc>
        <w:tc>
          <w:tcPr>
            <w:tcW w:w="1443"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5,4 </w:t>
            </w:r>
          </w:p>
        </w:tc>
        <w:tc>
          <w:tcPr>
            <w:tcW w:w="1443"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4,6 </w:t>
            </w:r>
          </w:p>
        </w:tc>
        <w:tc>
          <w:tcPr>
            <w:tcW w:w="1248"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5,3  </w:t>
            </w:r>
          </w:p>
        </w:tc>
      </w:tr>
      <w:tr w:rsidR="00000000">
        <w:tblPrEx>
          <w:tblCellMar>
            <w:top w:w="0" w:type="dxa"/>
            <w:bottom w:w="0" w:type="dxa"/>
          </w:tblCellMar>
        </w:tblPrEx>
        <w:tc>
          <w:tcPr>
            <w:tcW w:w="26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  15 ans et plus </w:t>
            </w:r>
          </w:p>
        </w:tc>
        <w:tc>
          <w:tcPr>
            <w:tcW w:w="1365"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5,4 </w:t>
            </w:r>
          </w:p>
        </w:tc>
        <w:tc>
          <w:tcPr>
            <w:tcW w:w="1443"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6,0 </w:t>
            </w:r>
          </w:p>
        </w:tc>
        <w:tc>
          <w:tcPr>
            <w:tcW w:w="1443"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5,0 </w:t>
            </w:r>
          </w:p>
        </w:tc>
        <w:tc>
          <w:tcPr>
            <w:tcW w:w="1248"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5,7  </w:t>
            </w:r>
          </w:p>
        </w:tc>
      </w:tr>
      <w:tr w:rsidR="00000000">
        <w:tblPrEx>
          <w:tblCellMar>
            <w:top w:w="0" w:type="dxa"/>
            <w:bottom w:w="0" w:type="dxa"/>
          </w:tblCellMar>
        </w:tblPrEx>
        <w:tc>
          <w:tcPr>
            <w:tcW w:w="26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Secteur rural  </w:t>
            </w:r>
          </w:p>
        </w:tc>
        <w:tc>
          <w:tcPr>
            <w:tcW w:w="1365" w:type="dxa"/>
          </w:tcPr>
          <w:p w:rsidR="00000000" w:rsidRDefault="00000000">
            <w:pPr>
              <w:tabs>
                <w:tab w:val="decimal" w:pos="538"/>
              </w:tabs>
              <w:autoSpaceDE w:val="0"/>
              <w:autoSpaceDN w:val="0"/>
              <w:adjustRightInd w:val="0"/>
              <w:spacing w:before="40" w:after="20"/>
              <w:rPr>
                <w:color w:val="000000"/>
                <w:sz w:val="20"/>
                <w:szCs w:val="22"/>
                <w:lang w:val="fr-FR"/>
              </w:rPr>
            </w:pPr>
          </w:p>
        </w:tc>
        <w:tc>
          <w:tcPr>
            <w:tcW w:w="1443" w:type="dxa"/>
          </w:tcPr>
          <w:p w:rsidR="00000000" w:rsidRDefault="00000000">
            <w:pPr>
              <w:tabs>
                <w:tab w:val="decimal" w:pos="538"/>
              </w:tabs>
              <w:autoSpaceDE w:val="0"/>
              <w:autoSpaceDN w:val="0"/>
              <w:adjustRightInd w:val="0"/>
              <w:spacing w:before="40" w:after="20"/>
              <w:rPr>
                <w:color w:val="000000"/>
                <w:sz w:val="20"/>
                <w:szCs w:val="22"/>
                <w:lang w:val="fr-FR"/>
              </w:rPr>
            </w:pPr>
          </w:p>
        </w:tc>
        <w:tc>
          <w:tcPr>
            <w:tcW w:w="1443" w:type="dxa"/>
          </w:tcPr>
          <w:p w:rsidR="00000000" w:rsidRDefault="00000000">
            <w:pPr>
              <w:tabs>
                <w:tab w:val="decimal" w:pos="538"/>
              </w:tabs>
              <w:autoSpaceDE w:val="0"/>
              <w:autoSpaceDN w:val="0"/>
              <w:adjustRightInd w:val="0"/>
              <w:spacing w:before="40" w:after="20"/>
              <w:rPr>
                <w:color w:val="000000"/>
                <w:sz w:val="20"/>
                <w:szCs w:val="22"/>
                <w:lang w:val="fr-FR"/>
              </w:rPr>
            </w:pPr>
          </w:p>
        </w:tc>
        <w:tc>
          <w:tcPr>
            <w:tcW w:w="1248" w:type="dxa"/>
          </w:tcPr>
          <w:p w:rsidR="00000000" w:rsidRDefault="00000000">
            <w:pPr>
              <w:tabs>
                <w:tab w:val="decimal" w:pos="538"/>
              </w:tabs>
              <w:autoSpaceDE w:val="0"/>
              <w:autoSpaceDN w:val="0"/>
              <w:adjustRightInd w:val="0"/>
              <w:spacing w:before="40" w:after="20"/>
              <w:rPr>
                <w:color w:val="000000"/>
                <w:sz w:val="20"/>
                <w:szCs w:val="22"/>
                <w:lang w:val="fr-FR"/>
              </w:rPr>
            </w:pPr>
          </w:p>
        </w:tc>
      </w:tr>
      <w:tr w:rsidR="00000000">
        <w:tblPrEx>
          <w:tblCellMar>
            <w:top w:w="0" w:type="dxa"/>
            <w:bottom w:w="0" w:type="dxa"/>
          </w:tblCellMar>
        </w:tblPrEx>
        <w:tc>
          <w:tcPr>
            <w:tcW w:w="26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  10 ans et plus </w:t>
            </w:r>
          </w:p>
        </w:tc>
        <w:tc>
          <w:tcPr>
            <w:tcW w:w="1365"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16,8 </w:t>
            </w:r>
          </w:p>
        </w:tc>
        <w:tc>
          <w:tcPr>
            <w:tcW w:w="1443"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15,9 </w:t>
            </w:r>
          </w:p>
        </w:tc>
        <w:tc>
          <w:tcPr>
            <w:tcW w:w="1443"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15,5 </w:t>
            </w:r>
          </w:p>
        </w:tc>
        <w:tc>
          <w:tcPr>
            <w:tcW w:w="1248"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16,8  </w:t>
            </w:r>
          </w:p>
        </w:tc>
      </w:tr>
      <w:tr w:rsidR="00000000">
        <w:tblPrEx>
          <w:tblCellMar>
            <w:top w:w="0" w:type="dxa"/>
            <w:bottom w:w="0" w:type="dxa"/>
          </w:tblCellMar>
        </w:tblPrEx>
        <w:tc>
          <w:tcPr>
            <w:tcW w:w="26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  15 ans et plus </w:t>
            </w:r>
          </w:p>
        </w:tc>
        <w:tc>
          <w:tcPr>
            <w:tcW w:w="1365"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19,3 </w:t>
            </w:r>
          </w:p>
        </w:tc>
        <w:tc>
          <w:tcPr>
            <w:tcW w:w="1443"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17,9 </w:t>
            </w:r>
          </w:p>
        </w:tc>
        <w:tc>
          <w:tcPr>
            <w:tcW w:w="1443"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17,9 </w:t>
            </w:r>
          </w:p>
        </w:tc>
        <w:tc>
          <w:tcPr>
            <w:tcW w:w="1248" w:type="dxa"/>
          </w:tcPr>
          <w:p w:rsidR="00000000" w:rsidRDefault="00000000">
            <w:pPr>
              <w:tabs>
                <w:tab w:val="decimal" w:pos="538"/>
              </w:tabs>
              <w:autoSpaceDE w:val="0"/>
              <w:autoSpaceDN w:val="0"/>
              <w:adjustRightInd w:val="0"/>
              <w:spacing w:before="40" w:after="20"/>
              <w:rPr>
                <w:color w:val="000000"/>
                <w:sz w:val="20"/>
                <w:szCs w:val="22"/>
                <w:lang w:val="fr-FR"/>
              </w:rPr>
            </w:pPr>
            <w:r>
              <w:rPr>
                <w:color w:val="000000"/>
                <w:sz w:val="20"/>
                <w:szCs w:val="22"/>
                <w:lang w:val="fr-FR"/>
              </w:rPr>
              <w:t xml:space="preserve">19,2  </w:t>
            </w:r>
          </w:p>
        </w:tc>
      </w:tr>
    </w:tbl>
    <w:p w:rsidR="00000000" w:rsidRDefault="00000000">
      <w:pPr>
        <w:autoSpaceDE w:val="0"/>
        <w:autoSpaceDN w:val="0"/>
        <w:adjustRightInd w:val="0"/>
        <w:spacing w:before="80" w:after="240"/>
        <w:ind w:left="900"/>
        <w:rPr>
          <w:color w:val="000000"/>
          <w:sz w:val="20"/>
          <w:szCs w:val="22"/>
          <w:lang w:val="fr-FR"/>
        </w:rPr>
      </w:pPr>
      <w:r>
        <w:rPr>
          <w:i/>
          <w:iCs/>
          <w:color w:val="000000"/>
          <w:sz w:val="20"/>
          <w:szCs w:val="22"/>
          <w:lang w:val="fr-FR"/>
        </w:rPr>
        <w:t>Source :</w:t>
      </w:r>
      <w:r>
        <w:rPr>
          <w:color w:val="000000"/>
          <w:sz w:val="20"/>
          <w:szCs w:val="22"/>
          <w:lang w:val="fr-FR"/>
        </w:rPr>
        <w:t xml:space="preserve"> INEC - Enquête sur les conditions de vie, 1994-1999.  </w:t>
      </w:r>
    </w:p>
    <w:p w:rsidR="00000000" w:rsidRDefault="00000000">
      <w:pPr>
        <w:autoSpaceDE w:val="0"/>
        <w:autoSpaceDN w:val="0"/>
        <w:adjustRightInd w:val="0"/>
        <w:spacing w:after="240"/>
        <w:rPr>
          <w:color w:val="000000"/>
          <w:sz w:val="20"/>
          <w:szCs w:val="22"/>
          <w:lang w:val="fr-FR"/>
        </w:rPr>
      </w:pPr>
    </w:p>
    <w:p w:rsidR="00000000" w:rsidRDefault="00000000">
      <w:pPr>
        <w:autoSpaceDE w:val="0"/>
        <w:autoSpaceDN w:val="0"/>
        <w:adjustRightInd w:val="0"/>
        <w:spacing w:after="120"/>
        <w:jc w:val="center"/>
        <w:rPr>
          <w:b/>
          <w:bCs/>
          <w:color w:val="000000"/>
          <w:sz w:val="20"/>
          <w:szCs w:val="20"/>
          <w:lang w:val="fr-FR"/>
        </w:rPr>
      </w:pPr>
      <w:r>
        <w:rPr>
          <w:b/>
          <w:bCs/>
          <w:color w:val="000000"/>
          <w:sz w:val="20"/>
          <w:szCs w:val="20"/>
          <w:lang w:val="fr-FR"/>
        </w:rPr>
        <w:t>Immatriculations aux trois niveaux de l'enseignement régulier,</w:t>
      </w:r>
      <w:r>
        <w:rPr>
          <w:b/>
          <w:bCs/>
          <w:color w:val="000000"/>
          <w:sz w:val="20"/>
          <w:szCs w:val="20"/>
          <w:lang w:val="fr-FR"/>
        </w:rPr>
        <w:br/>
        <w:t xml:space="preserve">par secteur, selon l’année scolaire et le sexe  </w:t>
      </w:r>
    </w:p>
    <w:tbl>
      <w:tblPr>
        <w:tblW w:w="9299" w:type="dxa"/>
        <w:jc w:val="center"/>
        <w:tblInd w:w="70" w:type="dxa"/>
        <w:tblBorders>
          <w:top w:val="single" w:sz="6" w:space="0" w:color="auto"/>
          <w:bottom w:val="single" w:sz="6" w:space="0" w:color="auto"/>
        </w:tblBorders>
        <w:tblLayout w:type="fixed"/>
        <w:tblCellMar>
          <w:left w:w="70" w:type="dxa"/>
          <w:right w:w="70" w:type="dxa"/>
        </w:tblCellMar>
        <w:tblLook w:val="0000" w:firstRow="0" w:lastRow="0" w:firstColumn="0" w:lastColumn="0" w:noHBand="0" w:noVBand="0"/>
      </w:tblPr>
      <w:tblGrid>
        <w:gridCol w:w="918"/>
        <w:gridCol w:w="863"/>
        <w:gridCol w:w="831"/>
        <w:gridCol w:w="793"/>
        <w:gridCol w:w="813"/>
        <w:gridCol w:w="927"/>
        <w:gridCol w:w="819"/>
        <w:gridCol w:w="927"/>
        <w:gridCol w:w="834"/>
        <w:gridCol w:w="794"/>
        <w:gridCol w:w="780"/>
      </w:tblGrid>
      <w:tr w:rsidR="00000000">
        <w:tblPrEx>
          <w:tblCellMar>
            <w:top w:w="0" w:type="dxa"/>
            <w:bottom w:w="0" w:type="dxa"/>
          </w:tblCellMar>
        </w:tblPrEx>
        <w:trPr>
          <w:jc w:val="center"/>
        </w:trPr>
        <w:tc>
          <w:tcPr>
            <w:tcW w:w="930"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0"/>
                <w:lang w:val="fr-FR"/>
              </w:rPr>
            </w:pPr>
            <w:r>
              <w:rPr>
                <w:b/>
                <w:bCs/>
                <w:i/>
                <w:iCs/>
                <w:color w:val="000000"/>
                <w:sz w:val="20"/>
                <w:szCs w:val="20"/>
                <w:lang w:val="fr-FR"/>
              </w:rPr>
              <w:t>Année scolaire</w:t>
            </w:r>
          </w:p>
        </w:tc>
        <w:tc>
          <w:tcPr>
            <w:tcW w:w="875"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0"/>
                <w:lang w:val="fr-FR"/>
              </w:rPr>
            </w:pPr>
            <w:r>
              <w:rPr>
                <w:b/>
                <w:bCs/>
                <w:i/>
                <w:iCs/>
                <w:color w:val="000000"/>
                <w:sz w:val="20"/>
                <w:szCs w:val="20"/>
                <w:lang w:val="fr-FR"/>
              </w:rPr>
              <w:t>Sexe</w:t>
            </w:r>
          </w:p>
        </w:tc>
        <w:tc>
          <w:tcPr>
            <w:tcW w:w="2470" w:type="dxa"/>
            <w:gridSpan w:val="3"/>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0"/>
                <w:lang w:val="fr-FR"/>
              </w:rPr>
            </w:pPr>
            <w:r>
              <w:rPr>
                <w:b/>
                <w:bCs/>
                <w:i/>
                <w:iCs/>
                <w:color w:val="000000"/>
                <w:sz w:val="20"/>
                <w:szCs w:val="20"/>
                <w:lang w:val="fr-FR"/>
              </w:rPr>
              <w:t>Préprimaire</w:t>
            </w:r>
          </w:p>
        </w:tc>
        <w:tc>
          <w:tcPr>
            <w:tcW w:w="2710" w:type="dxa"/>
            <w:gridSpan w:val="3"/>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0"/>
                <w:lang w:val="fr-FR"/>
              </w:rPr>
            </w:pPr>
            <w:r>
              <w:rPr>
                <w:b/>
                <w:bCs/>
                <w:i/>
                <w:iCs/>
                <w:color w:val="000000"/>
                <w:sz w:val="20"/>
                <w:szCs w:val="20"/>
                <w:lang w:val="fr-FR"/>
              </w:rPr>
              <w:t>Primaire</w:t>
            </w:r>
          </w:p>
        </w:tc>
        <w:tc>
          <w:tcPr>
            <w:tcW w:w="2440" w:type="dxa"/>
            <w:gridSpan w:val="3"/>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0"/>
                <w:lang w:val="fr-FR"/>
              </w:rPr>
            </w:pPr>
            <w:r>
              <w:rPr>
                <w:b/>
                <w:bCs/>
                <w:i/>
                <w:iCs/>
                <w:color w:val="000000"/>
                <w:sz w:val="20"/>
                <w:szCs w:val="20"/>
                <w:lang w:val="fr-FR"/>
              </w:rPr>
              <w:t>Cycle de base</w:t>
            </w:r>
          </w:p>
        </w:tc>
      </w:tr>
      <w:tr w:rsidR="00000000">
        <w:tblPrEx>
          <w:tblCellMar>
            <w:top w:w="0" w:type="dxa"/>
            <w:bottom w:w="0" w:type="dxa"/>
          </w:tblCellMar>
        </w:tblPrEx>
        <w:trPr>
          <w:jc w:val="center"/>
        </w:trPr>
        <w:tc>
          <w:tcPr>
            <w:tcW w:w="930"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0"/>
                <w:lang w:val="fr-FR"/>
              </w:rPr>
            </w:pPr>
          </w:p>
        </w:tc>
        <w:tc>
          <w:tcPr>
            <w:tcW w:w="875"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0"/>
                <w:lang w:val="fr-FR"/>
              </w:rPr>
            </w:pPr>
          </w:p>
        </w:tc>
        <w:tc>
          <w:tcPr>
            <w:tcW w:w="842"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0"/>
                <w:lang w:val="fr-FR"/>
              </w:rPr>
            </w:pPr>
            <w:r>
              <w:rPr>
                <w:b/>
                <w:bCs/>
                <w:i/>
                <w:iCs/>
                <w:color w:val="000000"/>
                <w:sz w:val="20"/>
                <w:szCs w:val="20"/>
                <w:lang w:val="fr-FR"/>
              </w:rPr>
              <w:t>Secteur urbain</w:t>
            </w:r>
          </w:p>
        </w:tc>
        <w:tc>
          <w:tcPr>
            <w:tcW w:w="804"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0"/>
                <w:lang w:val="fr-FR"/>
              </w:rPr>
            </w:pPr>
            <w:r>
              <w:rPr>
                <w:b/>
                <w:bCs/>
                <w:i/>
                <w:iCs/>
                <w:color w:val="000000"/>
                <w:sz w:val="20"/>
                <w:szCs w:val="20"/>
                <w:lang w:val="fr-FR"/>
              </w:rPr>
              <w:t>Secteur rural</w:t>
            </w:r>
          </w:p>
        </w:tc>
        <w:tc>
          <w:tcPr>
            <w:tcW w:w="824"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0"/>
                <w:lang w:val="fr-FR"/>
              </w:rPr>
            </w:pPr>
            <w:r>
              <w:rPr>
                <w:b/>
                <w:bCs/>
                <w:i/>
                <w:iCs/>
                <w:color w:val="000000"/>
                <w:sz w:val="20"/>
                <w:szCs w:val="20"/>
                <w:lang w:val="fr-FR"/>
              </w:rPr>
              <w:t>Total</w:t>
            </w:r>
          </w:p>
        </w:tc>
        <w:tc>
          <w:tcPr>
            <w:tcW w:w="940"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0"/>
                <w:lang w:val="fr-FR"/>
              </w:rPr>
            </w:pPr>
            <w:r>
              <w:rPr>
                <w:b/>
                <w:bCs/>
                <w:i/>
                <w:iCs/>
                <w:color w:val="000000"/>
                <w:sz w:val="20"/>
                <w:szCs w:val="20"/>
                <w:lang w:val="fr-FR"/>
              </w:rPr>
              <w:t>Secteur urbain</w:t>
            </w:r>
          </w:p>
        </w:tc>
        <w:tc>
          <w:tcPr>
            <w:tcW w:w="830"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0"/>
                <w:lang w:val="fr-FR"/>
              </w:rPr>
            </w:pPr>
            <w:r>
              <w:rPr>
                <w:b/>
                <w:bCs/>
                <w:i/>
                <w:iCs/>
                <w:color w:val="000000"/>
                <w:sz w:val="20"/>
                <w:szCs w:val="20"/>
                <w:lang w:val="fr-FR"/>
              </w:rPr>
              <w:t>Secteur rural</w:t>
            </w:r>
          </w:p>
        </w:tc>
        <w:tc>
          <w:tcPr>
            <w:tcW w:w="940"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0"/>
                <w:lang w:val="fr-FR"/>
              </w:rPr>
            </w:pPr>
            <w:r>
              <w:rPr>
                <w:b/>
                <w:bCs/>
                <w:i/>
                <w:iCs/>
                <w:color w:val="000000"/>
                <w:sz w:val="20"/>
                <w:szCs w:val="20"/>
                <w:lang w:val="fr-FR"/>
              </w:rPr>
              <w:t>Total</w:t>
            </w:r>
          </w:p>
        </w:tc>
        <w:tc>
          <w:tcPr>
            <w:tcW w:w="845"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0"/>
                <w:lang w:val="fr-FR"/>
              </w:rPr>
            </w:pPr>
            <w:r>
              <w:rPr>
                <w:b/>
                <w:bCs/>
                <w:i/>
                <w:iCs/>
                <w:color w:val="000000"/>
                <w:sz w:val="20"/>
                <w:szCs w:val="20"/>
                <w:lang w:val="fr-FR"/>
              </w:rPr>
              <w:t>Secteur urbain</w:t>
            </w:r>
          </w:p>
        </w:tc>
        <w:tc>
          <w:tcPr>
            <w:tcW w:w="805"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0"/>
                <w:lang w:val="fr-FR"/>
              </w:rPr>
            </w:pPr>
            <w:r>
              <w:rPr>
                <w:b/>
                <w:bCs/>
                <w:i/>
                <w:iCs/>
                <w:color w:val="000000"/>
                <w:sz w:val="20"/>
                <w:szCs w:val="20"/>
                <w:lang w:val="fr-FR"/>
              </w:rPr>
              <w:t>Secteur rural</w:t>
            </w:r>
          </w:p>
        </w:tc>
        <w:tc>
          <w:tcPr>
            <w:tcW w:w="790"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0"/>
                <w:lang w:val="fr-FR"/>
              </w:rPr>
            </w:pPr>
            <w:r>
              <w:rPr>
                <w:b/>
                <w:bCs/>
                <w:i/>
                <w:iCs/>
                <w:color w:val="000000"/>
                <w:sz w:val="20"/>
                <w:szCs w:val="20"/>
                <w:lang w:val="fr-FR"/>
              </w:rPr>
              <w:t>Total</w:t>
            </w:r>
          </w:p>
        </w:tc>
      </w:tr>
      <w:tr w:rsidR="00000000">
        <w:tblPrEx>
          <w:tblCellMar>
            <w:top w:w="0" w:type="dxa"/>
            <w:bottom w:w="0" w:type="dxa"/>
          </w:tblCellMar>
        </w:tblPrEx>
        <w:trPr>
          <w:jc w:val="center"/>
        </w:trPr>
        <w:tc>
          <w:tcPr>
            <w:tcW w:w="930" w:type="dxa"/>
            <w:tcBorders>
              <w:top w:val="single" w:sz="6" w:space="0" w:color="auto"/>
            </w:tcBorders>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1993/94 </w:t>
            </w:r>
          </w:p>
        </w:tc>
        <w:tc>
          <w:tcPr>
            <w:tcW w:w="875" w:type="dxa"/>
            <w:tcBorders>
              <w:top w:val="single" w:sz="6" w:space="0" w:color="auto"/>
            </w:tcBorders>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Hommes </w:t>
            </w:r>
          </w:p>
        </w:tc>
        <w:tc>
          <w:tcPr>
            <w:tcW w:w="842" w:type="dxa"/>
            <w:tcBorders>
              <w:top w:val="single" w:sz="6" w:space="0" w:color="auto"/>
            </w:tcBorders>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50 854 </w:t>
            </w:r>
          </w:p>
        </w:tc>
        <w:tc>
          <w:tcPr>
            <w:tcW w:w="804" w:type="dxa"/>
            <w:tcBorders>
              <w:top w:val="single" w:sz="6" w:space="0" w:color="auto"/>
            </w:tcBorders>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11 222 </w:t>
            </w:r>
          </w:p>
        </w:tc>
        <w:tc>
          <w:tcPr>
            <w:tcW w:w="824" w:type="dxa"/>
            <w:tcBorders>
              <w:top w:val="single" w:sz="6" w:space="0" w:color="auto"/>
            </w:tcBorders>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62 076 </w:t>
            </w:r>
          </w:p>
        </w:tc>
        <w:tc>
          <w:tcPr>
            <w:tcW w:w="940" w:type="dxa"/>
            <w:tcBorders>
              <w:top w:val="single" w:sz="6" w:space="0" w:color="auto"/>
            </w:tcBorders>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502 901 </w:t>
            </w:r>
          </w:p>
        </w:tc>
        <w:tc>
          <w:tcPr>
            <w:tcW w:w="830" w:type="dxa"/>
            <w:tcBorders>
              <w:top w:val="single" w:sz="6" w:space="0" w:color="auto"/>
            </w:tcBorders>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389 981 </w:t>
            </w:r>
          </w:p>
        </w:tc>
        <w:tc>
          <w:tcPr>
            <w:tcW w:w="940" w:type="dxa"/>
            <w:tcBorders>
              <w:top w:val="single" w:sz="6" w:space="0" w:color="auto"/>
            </w:tcBorders>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892 882 </w:t>
            </w:r>
          </w:p>
        </w:tc>
        <w:tc>
          <w:tcPr>
            <w:tcW w:w="845" w:type="dxa"/>
            <w:tcBorders>
              <w:top w:val="single" w:sz="6" w:space="0" w:color="auto"/>
            </w:tcBorders>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187 190 </w:t>
            </w:r>
          </w:p>
        </w:tc>
        <w:tc>
          <w:tcPr>
            <w:tcW w:w="805" w:type="dxa"/>
            <w:tcBorders>
              <w:top w:val="single" w:sz="6" w:space="0" w:color="auto"/>
            </w:tcBorders>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36 075 </w:t>
            </w:r>
          </w:p>
        </w:tc>
        <w:tc>
          <w:tcPr>
            <w:tcW w:w="790" w:type="dxa"/>
            <w:tcBorders>
              <w:top w:val="single" w:sz="6" w:space="0" w:color="auto"/>
            </w:tcBorders>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223 265  </w:t>
            </w:r>
          </w:p>
        </w:tc>
      </w:tr>
      <w:tr w:rsidR="00000000">
        <w:tblPrEx>
          <w:tblCellMar>
            <w:top w:w="0" w:type="dxa"/>
            <w:bottom w:w="0" w:type="dxa"/>
          </w:tblCellMar>
        </w:tblPrEx>
        <w:trPr>
          <w:jc w:val="center"/>
        </w:trPr>
        <w:tc>
          <w:tcPr>
            <w:tcW w:w="930" w:type="dxa"/>
          </w:tcPr>
          <w:p w:rsidR="00000000" w:rsidRDefault="00000000">
            <w:pPr>
              <w:autoSpaceDE w:val="0"/>
              <w:autoSpaceDN w:val="0"/>
              <w:adjustRightInd w:val="0"/>
              <w:spacing w:before="40" w:after="40"/>
              <w:rPr>
                <w:color w:val="000000"/>
                <w:sz w:val="19"/>
                <w:szCs w:val="20"/>
                <w:lang w:val="fr-FR"/>
              </w:rPr>
            </w:pPr>
          </w:p>
        </w:tc>
        <w:tc>
          <w:tcPr>
            <w:tcW w:w="875"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Femmes </w:t>
            </w:r>
          </w:p>
        </w:tc>
        <w:tc>
          <w:tcPr>
            <w:tcW w:w="842"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51 079 </w:t>
            </w:r>
          </w:p>
        </w:tc>
        <w:tc>
          <w:tcPr>
            <w:tcW w:w="80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11 281 </w:t>
            </w:r>
          </w:p>
        </w:tc>
        <w:tc>
          <w:tcPr>
            <w:tcW w:w="82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62 360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493 007 </w:t>
            </w:r>
          </w:p>
        </w:tc>
        <w:tc>
          <w:tcPr>
            <w:tcW w:w="83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365 234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858 241 </w:t>
            </w:r>
          </w:p>
        </w:tc>
        <w:tc>
          <w:tcPr>
            <w:tcW w:w="84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181 105 </w:t>
            </w:r>
          </w:p>
        </w:tc>
        <w:tc>
          <w:tcPr>
            <w:tcW w:w="80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26 288 </w:t>
            </w:r>
          </w:p>
        </w:tc>
        <w:tc>
          <w:tcPr>
            <w:tcW w:w="79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207 393  </w:t>
            </w:r>
          </w:p>
        </w:tc>
      </w:tr>
      <w:tr w:rsidR="00000000">
        <w:tblPrEx>
          <w:tblCellMar>
            <w:top w:w="0" w:type="dxa"/>
            <w:bottom w:w="0" w:type="dxa"/>
          </w:tblCellMar>
        </w:tblPrEx>
        <w:trPr>
          <w:jc w:val="center"/>
        </w:trPr>
        <w:tc>
          <w:tcPr>
            <w:tcW w:w="930" w:type="dxa"/>
          </w:tcPr>
          <w:p w:rsidR="00000000" w:rsidRDefault="00000000">
            <w:pPr>
              <w:autoSpaceDE w:val="0"/>
              <w:autoSpaceDN w:val="0"/>
              <w:adjustRightInd w:val="0"/>
              <w:spacing w:before="40" w:after="40"/>
              <w:rPr>
                <w:color w:val="000000"/>
                <w:sz w:val="19"/>
                <w:szCs w:val="20"/>
                <w:lang w:val="fr-FR"/>
              </w:rPr>
            </w:pPr>
          </w:p>
        </w:tc>
        <w:tc>
          <w:tcPr>
            <w:tcW w:w="875"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  Total </w:t>
            </w:r>
          </w:p>
        </w:tc>
        <w:tc>
          <w:tcPr>
            <w:tcW w:w="842"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101 933 </w:t>
            </w:r>
          </w:p>
        </w:tc>
        <w:tc>
          <w:tcPr>
            <w:tcW w:w="80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22 503 </w:t>
            </w:r>
          </w:p>
        </w:tc>
        <w:tc>
          <w:tcPr>
            <w:tcW w:w="82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124 436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995 908 </w:t>
            </w:r>
          </w:p>
        </w:tc>
        <w:tc>
          <w:tcPr>
            <w:tcW w:w="83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755 215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1 751 123 </w:t>
            </w:r>
          </w:p>
        </w:tc>
        <w:tc>
          <w:tcPr>
            <w:tcW w:w="84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368 295 </w:t>
            </w:r>
          </w:p>
        </w:tc>
        <w:tc>
          <w:tcPr>
            <w:tcW w:w="80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62 363 </w:t>
            </w:r>
          </w:p>
        </w:tc>
        <w:tc>
          <w:tcPr>
            <w:tcW w:w="79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430 658  </w:t>
            </w:r>
          </w:p>
        </w:tc>
      </w:tr>
      <w:tr w:rsidR="00000000">
        <w:tblPrEx>
          <w:tblCellMar>
            <w:top w:w="0" w:type="dxa"/>
            <w:bottom w:w="0" w:type="dxa"/>
          </w:tblCellMar>
        </w:tblPrEx>
        <w:trPr>
          <w:jc w:val="center"/>
        </w:trPr>
        <w:tc>
          <w:tcPr>
            <w:tcW w:w="930"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1994/95 </w:t>
            </w:r>
          </w:p>
        </w:tc>
        <w:tc>
          <w:tcPr>
            <w:tcW w:w="875"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Hommes </w:t>
            </w:r>
          </w:p>
        </w:tc>
        <w:tc>
          <w:tcPr>
            <w:tcW w:w="842"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55 843 </w:t>
            </w:r>
          </w:p>
        </w:tc>
        <w:tc>
          <w:tcPr>
            <w:tcW w:w="80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12 866 </w:t>
            </w:r>
          </w:p>
        </w:tc>
        <w:tc>
          <w:tcPr>
            <w:tcW w:w="82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68 709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511 215 </w:t>
            </w:r>
          </w:p>
        </w:tc>
        <w:tc>
          <w:tcPr>
            <w:tcW w:w="83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395 072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906 287 </w:t>
            </w:r>
          </w:p>
        </w:tc>
        <w:tc>
          <w:tcPr>
            <w:tcW w:w="84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197 938 </w:t>
            </w:r>
          </w:p>
        </w:tc>
        <w:tc>
          <w:tcPr>
            <w:tcW w:w="80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38 028 </w:t>
            </w:r>
          </w:p>
        </w:tc>
        <w:tc>
          <w:tcPr>
            <w:tcW w:w="79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235 966  </w:t>
            </w:r>
          </w:p>
        </w:tc>
      </w:tr>
      <w:tr w:rsidR="00000000">
        <w:tblPrEx>
          <w:tblCellMar>
            <w:top w:w="0" w:type="dxa"/>
            <w:bottom w:w="0" w:type="dxa"/>
          </w:tblCellMar>
        </w:tblPrEx>
        <w:trPr>
          <w:jc w:val="center"/>
        </w:trPr>
        <w:tc>
          <w:tcPr>
            <w:tcW w:w="930" w:type="dxa"/>
          </w:tcPr>
          <w:p w:rsidR="00000000" w:rsidRDefault="00000000">
            <w:pPr>
              <w:autoSpaceDE w:val="0"/>
              <w:autoSpaceDN w:val="0"/>
              <w:adjustRightInd w:val="0"/>
              <w:spacing w:before="40" w:after="40"/>
              <w:rPr>
                <w:color w:val="000000"/>
                <w:sz w:val="19"/>
                <w:szCs w:val="20"/>
                <w:lang w:val="fr-FR"/>
              </w:rPr>
            </w:pPr>
          </w:p>
        </w:tc>
        <w:tc>
          <w:tcPr>
            <w:tcW w:w="875"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Femmes </w:t>
            </w:r>
          </w:p>
        </w:tc>
        <w:tc>
          <w:tcPr>
            <w:tcW w:w="842"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54 711 </w:t>
            </w:r>
          </w:p>
        </w:tc>
        <w:tc>
          <w:tcPr>
            <w:tcW w:w="80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12 738 </w:t>
            </w:r>
          </w:p>
        </w:tc>
        <w:tc>
          <w:tcPr>
            <w:tcW w:w="82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67 449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502 039 </w:t>
            </w:r>
          </w:p>
        </w:tc>
        <w:tc>
          <w:tcPr>
            <w:tcW w:w="83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368 978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871 017 </w:t>
            </w:r>
          </w:p>
        </w:tc>
        <w:tc>
          <w:tcPr>
            <w:tcW w:w="84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188 973 </w:t>
            </w:r>
          </w:p>
        </w:tc>
        <w:tc>
          <w:tcPr>
            <w:tcW w:w="80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27 306 </w:t>
            </w:r>
          </w:p>
        </w:tc>
        <w:tc>
          <w:tcPr>
            <w:tcW w:w="79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216 279  </w:t>
            </w:r>
          </w:p>
        </w:tc>
      </w:tr>
      <w:tr w:rsidR="00000000">
        <w:tblPrEx>
          <w:tblCellMar>
            <w:top w:w="0" w:type="dxa"/>
            <w:bottom w:w="0" w:type="dxa"/>
          </w:tblCellMar>
        </w:tblPrEx>
        <w:trPr>
          <w:jc w:val="center"/>
        </w:trPr>
        <w:tc>
          <w:tcPr>
            <w:tcW w:w="930" w:type="dxa"/>
          </w:tcPr>
          <w:p w:rsidR="00000000" w:rsidRDefault="00000000">
            <w:pPr>
              <w:autoSpaceDE w:val="0"/>
              <w:autoSpaceDN w:val="0"/>
              <w:adjustRightInd w:val="0"/>
              <w:spacing w:before="40" w:after="40"/>
              <w:rPr>
                <w:color w:val="000000"/>
                <w:sz w:val="19"/>
                <w:szCs w:val="20"/>
                <w:lang w:val="fr-FR"/>
              </w:rPr>
            </w:pPr>
          </w:p>
        </w:tc>
        <w:tc>
          <w:tcPr>
            <w:tcW w:w="875"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  Total </w:t>
            </w:r>
          </w:p>
        </w:tc>
        <w:tc>
          <w:tcPr>
            <w:tcW w:w="842"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110 554 </w:t>
            </w:r>
          </w:p>
        </w:tc>
        <w:tc>
          <w:tcPr>
            <w:tcW w:w="80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25 604 </w:t>
            </w:r>
          </w:p>
        </w:tc>
        <w:tc>
          <w:tcPr>
            <w:tcW w:w="82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136 158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1 013 254 </w:t>
            </w:r>
          </w:p>
        </w:tc>
        <w:tc>
          <w:tcPr>
            <w:tcW w:w="83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764 050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1 777 304 </w:t>
            </w:r>
          </w:p>
        </w:tc>
        <w:tc>
          <w:tcPr>
            <w:tcW w:w="84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386 911 </w:t>
            </w:r>
          </w:p>
        </w:tc>
        <w:tc>
          <w:tcPr>
            <w:tcW w:w="80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65 334 </w:t>
            </w:r>
          </w:p>
        </w:tc>
        <w:tc>
          <w:tcPr>
            <w:tcW w:w="79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452 245  </w:t>
            </w:r>
          </w:p>
        </w:tc>
      </w:tr>
      <w:tr w:rsidR="00000000">
        <w:tblPrEx>
          <w:tblCellMar>
            <w:top w:w="0" w:type="dxa"/>
            <w:bottom w:w="0" w:type="dxa"/>
          </w:tblCellMar>
        </w:tblPrEx>
        <w:trPr>
          <w:jc w:val="center"/>
        </w:trPr>
        <w:tc>
          <w:tcPr>
            <w:tcW w:w="930"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1995/96 </w:t>
            </w:r>
          </w:p>
        </w:tc>
        <w:tc>
          <w:tcPr>
            <w:tcW w:w="875"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Hommes </w:t>
            </w:r>
          </w:p>
        </w:tc>
        <w:tc>
          <w:tcPr>
            <w:tcW w:w="842"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58 357 </w:t>
            </w:r>
          </w:p>
        </w:tc>
        <w:tc>
          <w:tcPr>
            <w:tcW w:w="80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14 583 </w:t>
            </w:r>
          </w:p>
        </w:tc>
        <w:tc>
          <w:tcPr>
            <w:tcW w:w="82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72 940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524 840 </w:t>
            </w:r>
          </w:p>
        </w:tc>
        <w:tc>
          <w:tcPr>
            <w:tcW w:w="83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399 714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924 554 </w:t>
            </w:r>
          </w:p>
        </w:tc>
        <w:tc>
          <w:tcPr>
            <w:tcW w:w="84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194 060 </w:t>
            </w:r>
          </w:p>
        </w:tc>
        <w:tc>
          <w:tcPr>
            <w:tcW w:w="80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41 231 </w:t>
            </w:r>
          </w:p>
        </w:tc>
        <w:tc>
          <w:tcPr>
            <w:tcW w:w="79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235 291  </w:t>
            </w:r>
          </w:p>
        </w:tc>
      </w:tr>
      <w:tr w:rsidR="00000000">
        <w:tblPrEx>
          <w:tblCellMar>
            <w:top w:w="0" w:type="dxa"/>
            <w:bottom w:w="0" w:type="dxa"/>
          </w:tblCellMar>
        </w:tblPrEx>
        <w:trPr>
          <w:jc w:val="center"/>
        </w:trPr>
        <w:tc>
          <w:tcPr>
            <w:tcW w:w="930" w:type="dxa"/>
          </w:tcPr>
          <w:p w:rsidR="00000000" w:rsidRDefault="00000000">
            <w:pPr>
              <w:autoSpaceDE w:val="0"/>
              <w:autoSpaceDN w:val="0"/>
              <w:adjustRightInd w:val="0"/>
              <w:spacing w:before="40" w:after="40"/>
              <w:rPr>
                <w:color w:val="000000"/>
                <w:sz w:val="19"/>
                <w:szCs w:val="20"/>
                <w:lang w:val="fr-FR"/>
              </w:rPr>
            </w:pPr>
          </w:p>
        </w:tc>
        <w:tc>
          <w:tcPr>
            <w:tcW w:w="875"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Femmes </w:t>
            </w:r>
          </w:p>
        </w:tc>
        <w:tc>
          <w:tcPr>
            <w:tcW w:w="842"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58 620 </w:t>
            </w:r>
          </w:p>
        </w:tc>
        <w:tc>
          <w:tcPr>
            <w:tcW w:w="80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14 298 </w:t>
            </w:r>
          </w:p>
        </w:tc>
        <w:tc>
          <w:tcPr>
            <w:tcW w:w="82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72 918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515 048 </w:t>
            </w:r>
          </w:p>
        </w:tc>
        <w:tc>
          <w:tcPr>
            <w:tcW w:w="83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372 653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887 701 </w:t>
            </w:r>
          </w:p>
        </w:tc>
        <w:tc>
          <w:tcPr>
            <w:tcW w:w="84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192 392 </w:t>
            </w:r>
          </w:p>
        </w:tc>
        <w:tc>
          <w:tcPr>
            <w:tcW w:w="80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29 832 </w:t>
            </w:r>
          </w:p>
        </w:tc>
        <w:tc>
          <w:tcPr>
            <w:tcW w:w="79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222 224  </w:t>
            </w:r>
          </w:p>
        </w:tc>
      </w:tr>
      <w:tr w:rsidR="00000000">
        <w:tblPrEx>
          <w:tblCellMar>
            <w:top w:w="0" w:type="dxa"/>
            <w:bottom w:w="0" w:type="dxa"/>
          </w:tblCellMar>
        </w:tblPrEx>
        <w:trPr>
          <w:jc w:val="center"/>
        </w:trPr>
        <w:tc>
          <w:tcPr>
            <w:tcW w:w="930" w:type="dxa"/>
          </w:tcPr>
          <w:p w:rsidR="00000000" w:rsidRDefault="00000000">
            <w:pPr>
              <w:autoSpaceDE w:val="0"/>
              <w:autoSpaceDN w:val="0"/>
              <w:adjustRightInd w:val="0"/>
              <w:spacing w:before="40" w:after="40"/>
              <w:rPr>
                <w:color w:val="000000"/>
                <w:sz w:val="19"/>
                <w:szCs w:val="20"/>
                <w:lang w:val="fr-FR"/>
              </w:rPr>
            </w:pPr>
          </w:p>
        </w:tc>
        <w:tc>
          <w:tcPr>
            <w:tcW w:w="875"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  Total </w:t>
            </w:r>
          </w:p>
        </w:tc>
        <w:tc>
          <w:tcPr>
            <w:tcW w:w="842"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116 977 </w:t>
            </w:r>
          </w:p>
        </w:tc>
        <w:tc>
          <w:tcPr>
            <w:tcW w:w="80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28 881 </w:t>
            </w:r>
          </w:p>
        </w:tc>
        <w:tc>
          <w:tcPr>
            <w:tcW w:w="82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145 858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1 039 888 </w:t>
            </w:r>
          </w:p>
        </w:tc>
        <w:tc>
          <w:tcPr>
            <w:tcW w:w="83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772 367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1 812 255 </w:t>
            </w:r>
          </w:p>
        </w:tc>
        <w:tc>
          <w:tcPr>
            <w:tcW w:w="84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386 452 </w:t>
            </w:r>
          </w:p>
        </w:tc>
        <w:tc>
          <w:tcPr>
            <w:tcW w:w="80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71 063 </w:t>
            </w:r>
          </w:p>
        </w:tc>
        <w:tc>
          <w:tcPr>
            <w:tcW w:w="79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457 515  </w:t>
            </w:r>
          </w:p>
        </w:tc>
      </w:tr>
      <w:tr w:rsidR="00000000">
        <w:tblPrEx>
          <w:tblCellMar>
            <w:top w:w="0" w:type="dxa"/>
            <w:bottom w:w="0" w:type="dxa"/>
          </w:tblCellMar>
        </w:tblPrEx>
        <w:trPr>
          <w:jc w:val="center"/>
        </w:trPr>
        <w:tc>
          <w:tcPr>
            <w:tcW w:w="930"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1996/97 </w:t>
            </w:r>
          </w:p>
        </w:tc>
        <w:tc>
          <w:tcPr>
            <w:tcW w:w="875"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Hommes </w:t>
            </w:r>
          </w:p>
        </w:tc>
        <w:tc>
          <w:tcPr>
            <w:tcW w:w="842"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63 037 </w:t>
            </w:r>
          </w:p>
        </w:tc>
        <w:tc>
          <w:tcPr>
            <w:tcW w:w="80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15 455 </w:t>
            </w:r>
          </w:p>
        </w:tc>
        <w:tc>
          <w:tcPr>
            <w:tcW w:w="82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78 492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548 810 </w:t>
            </w:r>
          </w:p>
        </w:tc>
        <w:tc>
          <w:tcPr>
            <w:tcW w:w="83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414 801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963 611 </w:t>
            </w:r>
          </w:p>
        </w:tc>
        <w:tc>
          <w:tcPr>
            <w:tcW w:w="84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211 472 </w:t>
            </w:r>
          </w:p>
        </w:tc>
        <w:tc>
          <w:tcPr>
            <w:tcW w:w="80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44 608 </w:t>
            </w:r>
          </w:p>
        </w:tc>
        <w:tc>
          <w:tcPr>
            <w:tcW w:w="79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256 080  </w:t>
            </w:r>
          </w:p>
        </w:tc>
      </w:tr>
      <w:tr w:rsidR="00000000">
        <w:tblPrEx>
          <w:tblCellMar>
            <w:top w:w="0" w:type="dxa"/>
            <w:bottom w:w="0" w:type="dxa"/>
          </w:tblCellMar>
        </w:tblPrEx>
        <w:trPr>
          <w:jc w:val="center"/>
        </w:trPr>
        <w:tc>
          <w:tcPr>
            <w:tcW w:w="930" w:type="dxa"/>
          </w:tcPr>
          <w:p w:rsidR="00000000" w:rsidRDefault="00000000">
            <w:pPr>
              <w:autoSpaceDE w:val="0"/>
              <w:autoSpaceDN w:val="0"/>
              <w:adjustRightInd w:val="0"/>
              <w:spacing w:before="40" w:after="40"/>
              <w:rPr>
                <w:color w:val="000000"/>
                <w:sz w:val="19"/>
                <w:szCs w:val="20"/>
                <w:lang w:val="fr-FR"/>
              </w:rPr>
            </w:pPr>
          </w:p>
        </w:tc>
        <w:tc>
          <w:tcPr>
            <w:tcW w:w="875"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Femmes </w:t>
            </w:r>
          </w:p>
        </w:tc>
        <w:tc>
          <w:tcPr>
            <w:tcW w:w="842"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63 305 </w:t>
            </w:r>
          </w:p>
        </w:tc>
        <w:tc>
          <w:tcPr>
            <w:tcW w:w="80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14 975 </w:t>
            </w:r>
          </w:p>
        </w:tc>
        <w:tc>
          <w:tcPr>
            <w:tcW w:w="82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78 280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537 425 </w:t>
            </w:r>
          </w:p>
        </w:tc>
        <w:tc>
          <w:tcPr>
            <w:tcW w:w="83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387 136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924 561 </w:t>
            </w:r>
          </w:p>
        </w:tc>
        <w:tc>
          <w:tcPr>
            <w:tcW w:w="84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211 151 </w:t>
            </w:r>
          </w:p>
        </w:tc>
        <w:tc>
          <w:tcPr>
            <w:tcW w:w="80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32 071 </w:t>
            </w:r>
          </w:p>
        </w:tc>
        <w:tc>
          <w:tcPr>
            <w:tcW w:w="79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243 222  </w:t>
            </w:r>
          </w:p>
        </w:tc>
      </w:tr>
      <w:tr w:rsidR="00000000">
        <w:tblPrEx>
          <w:tblCellMar>
            <w:top w:w="0" w:type="dxa"/>
            <w:bottom w:w="0" w:type="dxa"/>
          </w:tblCellMar>
        </w:tblPrEx>
        <w:trPr>
          <w:jc w:val="center"/>
        </w:trPr>
        <w:tc>
          <w:tcPr>
            <w:tcW w:w="930" w:type="dxa"/>
          </w:tcPr>
          <w:p w:rsidR="00000000" w:rsidRDefault="00000000">
            <w:pPr>
              <w:autoSpaceDE w:val="0"/>
              <w:autoSpaceDN w:val="0"/>
              <w:adjustRightInd w:val="0"/>
              <w:spacing w:before="40" w:after="40"/>
              <w:rPr>
                <w:color w:val="000000"/>
                <w:sz w:val="19"/>
                <w:szCs w:val="20"/>
                <w:lang w:val="fr-FR"/>
              </w:rPr>
            </w:pPr>
          </w:p>
        </w:tc>
        <w:tc>
          <w:tcPr>
            <w:tcW w:w="875"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  Total </w:t>
            </w:r>
          </w:p>
        </w:tc>
        <w:tc>
          <w:tcPr>
            <w:tcW w:w="842"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126 342 </w:t>
            </w:r>
          </w:p>
        </w:tc>
        <w:tc>
          <w:tcPr>
            <w:tcW w:w="80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30 430 </w:t>
            </w:r>
          </w:p>
        </w:tc>
        <w:tc>
          <w:tcPr>
            <w:tcW w:w="82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156 772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1 086 235 </w:t>
            </w:r>
          </w:p>
        </w:tc>
        <w:tc>
          <w:tcPr>
            <w:tcW w:w="83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801 937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1 888 172 </w:t>
            </w:r>
          </w:p>
        </w:tc>
        <w:tc>
          <w:tcPr>
            <w:tcW w:w="84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422 623 </w:t>
            </w:r>
          </w:p>
        </w:tc>
        <w:tc>
          <w:tcPr>
            <w:tcW w:w="80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76 679 </w:t>
            </w:r>
          </w:p>
        </w:tc>
        <w:tc>
          <w:tcPr>
            <w:tcW w:w="79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499 302  </w:t>
            </w:r>
          </w:p>
        </w:tc>
      </w:tr>
      <w:tr w:rsidR="00000000">
        <w:tblPrEx>
          <w:tblCellMar>
            <w:top w:w="0" w:type="dxa"/>
            <w:bottom w:w="0" w:type="dxa"/>
          </w:tblCellMar>
        </w:tblPrEx>
        <w:trPr>
          <w:jc w:val="center"/>
        </w:trPr>
        <w:tc>
          <w:tcPr>
            <w:tcW w:w="930"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1997/98 </w:t>
            </w:r>
          </w:p>
        </w:tc>
        <w:tc>
          <w:tcPr>
            <w:tcW w:w="875"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Hommes </w:t>
            </w:r>
          </w:p>
        </w:tc>
        <w:tc>
          <w:tcPr>
            <w:tcW w:w="842"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66 920 </w:t>
            </w:r>
          </w:p>
        </w:tc>
        <w:tc>
          <w:tcPr>
            <w:tcW w:w="80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17 007 </w:t>
            </w:r>
          </w:p>
        </w:tc>
        <w:tc>
          <w:tcPr>
            <w:tcW w:w="82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83 927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553 101 </w:t>
            </w:r>
          </w:p>
        </w:tc>
        <w:tc>
          <w:tcPr>
            <w:tcW w:w="83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406 000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959 101 </w:t>
            </w:r>
          </w:p>
        </w:tc>
        <w:tc>
          <w:tcPr>
            <w:tcW w:w="84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208 797 </w:t>
            </w:r>
          </w:p>
        </w:tc>
        <w:tc>
          <w:tcPr>
            <w:tcW w:w="80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46 696 </w:t>
            </w:r>
          </w:p>
        </w:tc>
        <w:tc>
          <w:tcPr>
            <w:tcW w:w="79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255 493  </w:t>
            </w:r>
          </w:p>
        </w:tc>
      </w:tr>
      <w:tr w:rsidR="00000000">
        <w:tblPrEx>
          <w:tblCellMar>
            <w:top w:w="0" w:type="dxa"/>
            <w:bottom w:w="0" w:type="dxa"/>
          </w:tblCellMar>
        </w:tblPrEx>
        <w:trPr>
          <w:jc w:val="center"/>
        </w:trPr>
        <w:tc>
          <w:tcPr>
            <w:tcW w:w="930" w:type="dxa"/>
          </w:tcPr>
          <w:p w:rsidR="00000000" w:rsidRDefault="00000000">
            <w:pPr>
              <w:autoSpaceDE w:val="0"/>
              <w:autoSpaceDN w:val="0"/>
              <w:adjustRightInd w:val="0"/>
              <w:spacing w:before="40" w:after="40"/>
              <w:rPr>
                <w:color w:val="000000"/>
                <w:sz w:val="19"/>
                <w:szCs w:val="20"/>
                <w:lang w:val="fr-FR"/>
              </w:rPr>
            </w:pPr>
          </w:p>
        </w:tc>
        <w:tc>
          <w:tcPr>
            <w:tcW w:w="875"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Femmes </w:t>
            </w:r>
          </w:p>
        </w:tc>
        <w:tc>
          <w:tcPr>
            <w:tcW w:w="842"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67 354 </w:t>
            </w:r>
          </w:p>
        </w:tc>
        <w:tc>
          <w:tcPr>
            <w:tcW w:w="80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16 847 </w:t>
            </w:r>
          </w:p>
        </w:tc>
        <w:tc>
          <w:tcPr>
            <w:tcW w:w="82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84 201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544 943 </w:t>
            </w:r>
          </w:p>
        </w:tc>
        <w:tc>
          <w:tcPr>
            <w:tcW w:w="83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378 901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923 844 </w:t>
            </w:r>
          </w:p>
        </w:tc>
        <w:tc>
          <w:tcPr>
            <w:tcW w:w="84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209 329 </w:t>
            </w:r>
          </w:p>
        </w:tc>
        <w:tc>
          <w:tcPr>
            <w:tcW w:w="80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34 020 </w:t>
            </w:r>
          </w:p>
        </w:tc>
        <w:tc>
          <w:tcPr>
            <w:tcW w:w="79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243 349  </w:t>
            </w:r>
          </w:p>
        </w:tc>
      </w:tr>
      <w:tr w:rsidR="00000000">
        <w:tblPrEx>
          <w:tblCellMar>
            <w:top w:w="0" w:type="dxa"/>
            <w:bottom w:w="0" w:type="dxa"/>
          </w:tblCellMar>
        </w:tblPrEx>
        <w:trPr>
          <w:jc w:val="center"/>
        </w:trPr>
        <w:tc>
          <w:tcPr>
            <w:tcW w:w="930" w:type="dxa"/>
          </w:tcPr>
          <w:p w:rsidR="00000000" w:rsidRDefault="00000000">
            <w:pPr>
              <w:autoSpaceDE w:val="0"/>
              <w:autoSpaceDN w:val="0"/>
              <w:adjustRightInd w:val="0"/>
              <w:spacing w:before="40" w:after="40"/>
              <w:rPr>
                <w:color w:val="000000"/>
                <w:sz w:val="19"/>
                <w:szCs w:val="20"/>
                <w:lang w:val="fr-FR"/>
              </w:rPr>
            </w:pPr>
          </w:p>
        </w:tc>
        <w:tc>
          <w:tcPr>
            <w:tcW w:w="875" w:type="dxa"/>
          </w:tcPr>
          <w:p w:rsidR="00000000" w:rsidRDefault="00000000">
            <w:pPr>
              <w:autoSpaceDE w:val="0"/>
              <w:autoSpaceDN w:val="0"/>
              <w:adjustRightInd w:val="0"/>
              <w:spacing w:before="40" w:after="40"/>
              <w:rPr>
                <w:color w:val="000000"/>
                <w:sz w:val="19"/>
                <w:szCs w:val="20"/>
                <w:lang w:val="fr-FR"/>
              </w:rPr>
            </w:pPr>
            <w:r>
              <w:rPr>
                <w:color w:val="000000"/>
                <w:sz w:val="19"/>
                <w:szCs w:val="20"/>
                <w:lang w:val="fr-FR"/>
              </w:rPr>
              <w:t xml:space="preserve">  Total </w:t>
            </w:r>
          </w:p>
        </w:tc>
        <w:tc>
          <w:tcPr>
            <w:tcW w:w="842"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134 274 </w:t>
            </w:r>
          </w:p>
        </w:tc>
        <w:tc>
          <w:tcPr>
            <w:tcW w:w="80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33 854 </w:t>
            </w:r>
          </w:p>
        </w:tc>
        <w:tc>
          <w:tcPr>
            <w:tcW w:w="824"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168 128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1 098 044 </w:t>
            </w:r>
          </w:p>
        </w:tc>
        <w:tc>
          <w:tcPr>
            <w:tcW w:w="83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784 901 </w:t>
            </w:r>
          </w:p>
        </w:tc>
        <w:tc>
          <w:tcPr>
            <w:tcW w:w="94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1 882 945 </w:t>
            </w:r>
          </w:p>
        </w:tc>
        <w:tc>
          <w:tcPr>
            <w:tcW w:w="84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418 126 </w:t>
            </w:r>
          </w:p>
        </w:tc>
        <w:tc>
          <w:tcPr>
            <w:tcW w:w="805"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80 716 </w:t>
            </w:r>
          </w:p>
        </w:tc>
        <w:tc>
          <w:tcPr>
            <w:tcW w:w="790" w:type="dxa"/>
          </w:tcPr>
          <w:p w:rsidR="00000000" w:rsidRDefault="00000000">
            <w:pPr>
              <w:autoSpaceDE w:val="0"/>
              <w:autoSpaceDN w:val="0"/>
              <w:adjustRightInd w:val="0"/>
              <w:spacing w:before="40" w:after="40"/>
              <w:jc w:val="right"/>
              <w:rPr>
                <w:color w:val="000000"/>
                <w:sz w:val="19"/>
                <w:szCs w:val="20"/>
                <w:lang w:val="fr-FR"/>
              </w:rPr>
            </w:pPr>
            <w:r>
              <w:rPr>
                <w:color w:val="000000"/>
                <w:sz w:val="19"/>
                <w:szCs w:val="20"/>
                <w:lang w:val="fr-FR"/>
              </w:rPr>
              <w:t xml:space="preserve">498 842  </w:t>
            </w:r>
          </w:p>
        </w:tc>
      </w:tr>
    </w:tbl>
    <w:p w:rsidR="00000000" w:rsidRDefault="00000000">
      <w:pPr>
        <w:autoSpaceDE w:val="0"/>
        <w:autoSpaceDN w:val="0"/>
        <w:adjustRightInd w:val="0"/>
        <w:spacing w:before="80" w:after="40"/>
        <w:ind w:left="567"/>
        <w:rPr>
          <w:color w:val="000000"/>
          <w:sz w:val="20"/>
          <w:szCs w:val="20"/>
          <w:lang w:val="fr-FR"/>
        </w:rPr>
      </w:pPr>
      <w:r>
        <w:rPr>
          <w:i/>
          <w:iCs/>
          <w:color w:val="000000"/>
          <w:sz w:val="20"/>
          <w:szCs w:val="20"/>
          <w:lang w:val="fr-FR"/>
        </w:rPr>
        <w:t>Source :</w:t>
      </w:r>
      <w:r>
        <w:rPr>
          <w:color w:val="000000"/>
          <w:sz w:val="20"/>
          <w:szCs w:val="20"/>
          <w:lang w:val="fr-FR"/>
        </w:rPr>
        <w:t xml:space="preserve"> Système national de statistiques éducatives de l'Équateur (SINEC ).  </w:t>
      </w:r>
    </w:p>
    <w:p w:rsidR="00000000" w:rsidRDefault="00000000">
      <w:pPr>
        <w:autoSpaceDE w:val="0"/>
        <w:autoSpaceDN w:val="0"/>
        <w:adjustRightInd w:val="0"/>
        <w:spacing w:after="240"/>
        <w:ind w:left="567"/>
        <w:rPr>
          <w:color w:val="000000"/>
          <w:sz w:val="20"/>
          <w:szCs w:val="20"/>
          <w:lang w:val="fr-FR"/>
        </w:rPr>
      </w:pPr>
      <w:r>
        <w:rPr>
          <w:i/>
          <w:iCs/>
          <w:color w:val="000000"/>
          <w:sz w:val="20"/>
          <w:szCs w:val="20"/>
          <w:lang w:val="fr-FR"/>
        </w:rPr>
        <w:t>Note :</w:t>
      </w:r>
      <w:r>
        <w:rPr>
          <w:color w:val="000000"/>
          <w:sz w:val="20"/>
          <w:szCs w:val="20"/>
          <w:lang w:val="fr-FR"/>
        </w:rPr>
        <w:t xml:space="preserve"> Élaboration : Équipe statistique du Ministère l'éducation et de la culture.</w:t>
      </w:r>
    </w:p>
    <w:p w:rsidR="00000000" w:rsidRDefault="00000000">
      <w:pPr>
        <w:autoSpaceDE w:val="0"/>
        <w:autoSpaceDN w:val="0"/>
        <w:adjustRightInd w:val="0"/>
        <w:spacing w:after="120"/>
        <w:jc w:val="center"/>
        <w:rPr>
          <w:b/>
          <w:bCs/>
          <w:color w:val="000000"/>
          <w:sz w:val="20"/>
          <w:szCs w:val="22"/>
          <w:lang w:val="fr-FR"/>
        </w:rPr>
      </w:pPr>
      <w:r>
        <w:rPr>
          <w:b/>
          <w:bCs/>
          <w:color w:val="000000"/>
          <w:sz w:val="20"/>
          <w:szCs w:val="22"/>
          <w:lang w:val="fr-FR"/>
        </w:rPr>
        <w:t>Élèves promus du niveau préprimaire de l'enseignement régulier,</w:t>
      </w:r>
      <w:r>
        <w:rPr>
          <w:b/>
          <w:bCs/>
          <w:color w:val="000000"/>
          <w:sz w:val="20"/>
          <w:szCs w:val="22"/>
          <w:lang w:val="fr-FR"/>
        </w:rPr>
        <w:br/>
        <w:t xml:space="preserve">par secteur, selon l’année scolaire et le sexe  </w:t>
      </w:r>
    </w:p>
    <w:tbl>
      <w:tblPr>
        <w:tblW w:w="9299" w:type="dxa"/>
        <w:tblInd w:w="70" w:type="dxa"/>
        <w:tblBorders>
          <w:top w:val="single" w:sz="6" w:space="0" w:color="auto"/>
          <w:bottom w:val="single" w:sz="6" w:space="0" w:color="auto"/>
        </w:tblBorders>
        <w:tblLayout w:type="fixed"/>
        <w:tblCellMar>
          <w:left w:w="70" w:type="dxa"/>
          <w:right w:w="70" w:type="dxa"/>
        </w:tblCellMar>
        <w:tblLook w:val="0000" w:firstRow="0" w:lastRow="0" w:firstColumn="0" w:lastColumn="0" w:noHBand="0" w:noVBand="0"/>
      </w:tblPr>
      <w:tblGrid>
        <w:gridCol w:w="1007"/>
        <w:gridCol w:w="1006"/>
        <w:gridCol w:w="1227"/>
        <w:gridCol w:w="1080"/>
        <w:gridCol w:w="1080"/>
        <w:gridCol w:w="1440"/>
        <w:gridCol w:w="1263"/>
        <w:gridCol w:w="1196"/>
      </w:tblGrid>
      <w:tr w:rsidR="00000000">
        <w:tblPrEx>
          <w:tblCellMar>
            <w:top w:w="0" w:type="dxa"/>
            <w:bottom w:w="0" w:type="dxa"/>
          </w:tblCellMar>
        </w:tblPrEx>
        <w:trPr>
          <w:cantSplit/>
        </w:trPr>
        <w:tc>
          <w:tcPr>
            <w:tcW w:w="1007" w:type="dxa"/>
            <w:vMerge w:val="restart"/>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Année scolaire</w:t>
            </w:r>
          </w:p>
        </w:tc>
        <w:tc>
          <w:tcPr>
            <w:tcW w:w="8292" w:type="dxa"/>
            <w:gridSpan w:val="7"/>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Niveau préprimaire</w:t>
            </w:r>
          </w:p>
        </w:tc>
      </w:tr>
      <w:tr w:rsidR="00000000">
        <w:tblPrEx>
          <w:tblCellMar>
            <w:top w:w="0" w:type="dxa"/>
            <w:bottom w:w="0" w:type="dxa"/>
          </w:tblCellMar>
        </w:tblPrEx>
        <w:trPr>
          <w:cantSplit/>
        </w:trPr>
        <w:tc>
          <w:tcPr>
            <w:tcW w:w="1007" w:type="dxa"/>
            <w:vMerge/>
            <w:tcBorders>
              <w:top w:val="nil"/>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p>
        </w:tc>
        <w:tc>
          <w:tcPr>
            <w:tcW w:w="1006"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Sexe</w:t>
            </w:r>
          </w:p>
        </w:tc>
        <w:tc>
          <w:tcPr>
            <w:tcW w:w="1227"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Immatricula-tions nettes – secteur urbain</w:t>
            </w:r>
          </w:p>
        </w:tc>
        <w:tc>
          <w:tcPr>
            <w:tcW w:w="1080"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Promus -  secteur urbain*</w:t>
            </w:r>
          </w:p>
        </w:tc>
        <w:tc>
          <w:tcPr>
            <w:tcW w:w="1080"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Pourcentage</w:t>
            </w:r>
          </w:p>
        </w:tc>
        <w:tc>
          <w:tcPr>
            <w:tcW w:w="1440"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Immatricula-tions nettes – secteur rural</w:t>
            </w:r>
          </w:p>
        </w:tc>
        <w:tc>
          <w:tcPr>
            <w:tcW w:w="1263"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Promus -  secteur rural*</w:t>
            </w:r>
          </w:p>
        </w:tc>
        <w:tc>
          <w:tcPr>
            <w:tcW w:w="1196"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Pourcentage</w:t>
            </w:r>
          </w:p>
        </w:tc>
      </w:tr>
      <w:tr w:rsidR="00000000">
        <w:tblPrEx>
          <w:tblCellMar>
            <w:top w:w="0" w:type="dxa"/>
            <w:bottom w:w="0" w:type="dxa"/>
          </w:tblCellMar>
        </w:tblPrEx>
        <w:tc>
          <w:tcPr>
            <w:tcW w:w="1007" w:type="dxa"/>
            <w:tcBorders>
              <w:top w:val="single" w:sz="6" w:space="0" w:color="auto"/>
            </w:tcBorders>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1993/94 </w:t>
            </w:r>
          </w:p>
        </w:tc>
        <w:tc>
          <w:tcPr>
            <w:tcW w:w="1006" w:type="dxa"/>
            <w:tcBorders>
              <w:top w:val="single" w:sz="6" w:space="0" w:color="auto"/>
            </w:tcBorders>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Hommes </w:t>
            </w:r>
          </w:p>
        </w:tc>
        <w:tc>
          <w:tcPr>
            <w:tcW w:w="1227" w:type="dxa"/>
            <w:tcBorders>
              <w:top w:val="single" w:sz="6" w:space="0" w:color="auto"/>
            </w:tcBorders>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50 854 </w:t>
            </w:r>
          </w:p>
        </w:tc>
        <w:tc>
          <w:tcPr>
            <w:tcW w:w="1080" w:type="dxa"/>
            <w:tcBorders>
              <w:top w:val="single" w:sz="6" w:space="0" w:color="auto"/>
            </w:tcBorders>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48 366 </w:t>
            </w:r>
          </w:p>
        </w:tc>
        <w:tc>
          <w:tcPr>
            <w:tcW w:w="1080" w:type="dxa"/>
            <w:tcBorders>
              <w:top w:val="single" w:sz="6" w:space="0" w:color="auto"/>
            </w:tcBorders>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95,11 </w:t>
            </w:r>
          </w:p>
        </w:tc>
        <w:tc>
          <w:tcPr>
            <w:tcW w:w="1440" w:type="dxa"/>
            <w:tcBorders>
              <w:top w:val="single" w:sz="6" w:space="0" w:color="auto"/>
            </w:tcBorders>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11 222 </w:t>
            </w:r>
          </w:p>
        </w:tc>
        <w:tc>
          <w:tcPr>
            <w:tcW w:w="1263" w:type="dxa"/>
            <w:tcBorders>
              <w:top w:val="single" w:sz="6" w:space="0" w:color="auto"/>
            </w:tcBorders>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10 562 </w:t>
            </w:r>
          </w:p>
        </w:tc>
        <w:tc>
          <w:tcPr>
            <w:tcW w:w="1196" w:type="dxa"/>
            <w:tcBorders>
              <w:top w:val="single" w:sz="6" w:space="0" w:color="auto"/>
            </w:tcBorders>
          </w:tcPr>
          <w:p w:rsidR="00000000" w:rsidRDefault="00000000">
            <w:pPr>
              <w:tabs>
                <w:tab w:val="decimal" w:pos="467"/>
              </w:tabs>
              <w:autoSpaceDE w:val="0"/>
              <w:autoSpaceDN w:val="0"/>
              <w:adjustRightInd w:val="0"/>
              <w:spacing w:before="20" w:after="20"/>
              <w:rPr>
                <w:color w:val="000000"/>
                <w:sz w:val="20"/>
                <w:szCs w:val="22"/>
                <w:lang w:val="fr-FR"/>
              </w:rPr>
            </w:pPr>
            <w:r>
              <w:rPr>
                <w:color w:val="000000"/>
                <w:sz w:val="20"/>
                <w:szCs w:val="22"/>
                <w:lang w:val="fr-FR"/>
              </w:rPr>
              <w:t xml:space="preserve">94,12  </w:t>
            </w:r>
          </w:p>
        </w:tc>
      </w:tr>
      <w:tr w:rsidR="00000000">
        <w:tblPrEx>
          <w:tblCellMar>
            <w:top w:w="0" w:type="dxa"/>
            <w:bottom w:w="0" w:type="dxa"/>
          </w:tblCellMar>
        </w:tblPrEx>
        <w:tc>
          <w:tcPr>
            <w:tcW w:w="1007"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Femmes </w:t>
            </w:r>
          </w:p>
        </w:tc>
        <w:tc>
          <w:tcPr>
            <w:tcW w:w="1227"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51 079 </w:t>
            </w:r>
          </w:p>
        </w:tc>
        <w:tc>
          <w:tcPr>
            <w:tcW w:w="1080"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48 681 </w:t>
            </w:r>
          </w:p>
        </w:tc>
        <w:tc>
          <w:tcPr>
            <w:tcW w:w="108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95,31 </w:t>
            </w:r>
          </w:p>
        </w:tc>
        <w:tc>
          <w:tcPr>
            <w:tcW w:w="144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11 281 </w:t>
            </w:r>
          </w:p>
        </w:tc>
        <w:tc>
          <w:tcPr>
            <w:tcW w:w="1263"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10 637 </w:t>
            </w:r>
          </w:p>
        </w:tc>
        <w:tc>
          <w:tcPr>
            <w:tcW w:w="1196" w:type="dxa"/>
          </w:tcPr>
          <w:p w:rsidR="00000000" w:rsidRDefault="00000000">
            <w:pPr>
              <w:tabs>
                <w:tab w:val="decimal" w:pos="467"/>
              </w:tabs>
              <w:autoSpaceDE w:val="0"/>
              <w:autoSpaceDN w:val="0"/>
              <w:adjustRightInd w:val="0"/>
              <w:spacing w:before="20" w:after="20"/>
              <w:rPr>
                <w:color w:val="000000"/>
                <w:sz w:val="20"/>
                <w:szCs w:val="22"/>
                <w:lang w:val="fr-FR"/>
              </w:rPr>
            </w:pPr>
            <w:r>
              <w:rPr>
                <w:color w:val="000000"/>
                <w:sz w:val="20"/>
                <w:szCs w:val="22"/>
                <w:lang w:val="fr-FR"/>
              </w:rPr>
              <w:t xml:space="preserve">94,29  </w:t>
            </w:r>
          </w:p>
        </w:tc>
      </w:tr>
      <w:tr w:rsidR="00000000">
        <w:tblPrEx>
          <w:tblCellMar>
            <w:top w:w="0" w:type="dxa"/>
            <w:bottom w:w="0" w:type="dxa"/>
          </w:tblCellMar>
        </w:tblPrEx>
        <w:tc>
          <w:tcPr>
            <w:tcW w:w="1007"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  Total </w:t>
            </w:r>
          </w:p>
        </w:tc>
        <w:tc>
          <w:tcPr>
            <w:tcW w:w="1227"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101 933 </w:t>
            </w:r>
          </w:p>
        </w:tc>
        <w:tc>
          <w:tcPr>
            <w:tcW w:w="1080"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97 047 </w:t>
            </w:r>
          </w:p>
        </w:tc>
        <w:tc>
          <w:tcPr>
            <w:tcW w:w="108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95,21 </w:t>
            </w:r>
          </w:p>
        </w:tc>
        <w:tc>
          <w:tcPr>
            <w:tcW w:w="144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22 503 </w:t>
            </w:r>
          </w:p>
        </w:tc>
        <w:tc>
          <w:tcPr>
            <w:tcW w:w="1263"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21 199 </w:t>
            </w:r>
          </w:p>
        </w:tc>
        <w:tc>
          <w:tcPr>
            <w:tcW w:w="1196" w:type="dxa"/>
          </w:tcPr>
          <w:p w:rsidR="00000000" w:rsidRDefault="00000000">
            <w:pPr>
              <w:tabs>
                <w:tab w:val="decimal" w:pos="467"/>
              </w:tabs>
              <w:autoSpaceDE w:val="0"/>
              <w:autoSpaceDN w:val="0"/>
              <w:adjustRightInd w:val="0"/>
              <w:spacing w:before="20" w:after="20"/>
              <w:rPr>
                <w:color w:val="000000"/>
                <w:sz w:val="20"/>
                <w:szCs w:val="22"/>
                <w:lang w:val="fr-FR"/>
              </w:rPr>
            </w:pPr>
            <w:r>
              <w:rPr>
                <w:color w:val="000000"/>
                <w:sz w:val="20"/>
                <w:szCs w:val="22"/>
                <w:lang w:val="fr-FR"/>
              </w:rPr>
              <w:t xml:space="preserve">94,21  </w:t>
            </w:r>
          </w:p>
        </w:tc>
      </w:tr>
      <w:tr w:rsidR="00000000">
        <w:tblPrEx>
          <w:tblCellMar>
            <w:top w:w="0" w:type="dxa"/>
            <w:bottom w:w="0" w:type="dxa"/>
          </w:tblCellMar>
        </w:tblPrEx>
        <w:tc>
          <w:tcPr>
            <w:tcW w:w="1007"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1994/95 </w:t>
            </w: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Hommes </w:t>
            </w:r>
          </w:p>
        </w:tc>
        <w:tc>
          <w:tcPr>
            <w:tcW w:w="1227"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55 843 </w:t>
            </w:r>
          </w:p>
        </w:tc>
        <w:tc>
          <w:tcPr>
            <w:tcW w:w="1080"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53 487 </w:t>
            </w:r>
          </w:p>
        </w:tc>
        <w:tc>
          <w:tcPr>
            <w:tcW w:w="108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95,78 </w:t>
            </w:r>
          </w:p>
        </w:tc>
        <w:tc>
          <w:tcPr>
            <w:tcW w:w="144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12 866 </w:t>
            </w:r>
          </w:p>
        </w:tc>
        <w:tc>
          <w:tcPr>
            <w:tcW w:w="1263"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12 259 </w:t>
            </w:r>
          </w:p>
        </w:tc>
        <w:tc>
          <w:tcPr>
            <w:tcW w:w="1196" w:type="dxa"/>
          </w:tcPr>
          <w:p w:rsidR="00000000" w:rsidRDefault="00000000">
            <w:pPr>
              <w:tabs>
                <w:tab w:val="decimal" w:pos="467"/>
              </w:tabs>
              <w:autoSpaceDE w:val="0"/>
              <w:autoSpaceDN w:val="0"/>
              <w:adjustRightInd w:val="0"/>
              <w:spacing w:before="20" w:after="20"/>
              <w:rPr>
                <w:color w:val="000000"/>
                <w:sz w:val="20"/>
                <w:szCs w:val="22"/>
                <w:lang w:val="fr-FR"/>
              </w:rPr>
            </w:pPr>
            <w:r>
              <w:rPr>
                <w:color w:val="000000"/>
                <w:sz w:val="20"/>
                <w:szCs w:val="22"/>
                <w:lang w:val="fr-FR"/>
              </w:rPr>
              <w:t xml:space="preserve">95,28  </w:t>
            </w:r>
          </w:p>
        </w:tc>
      </w:tr>
      <w:tr w:rsidR="00000000">
        <w:tblPrEx>
          <w:tblCellMar>
            <w:top w:w="0" w:type="dxa"/>
            <w:bottom w:w="0" w:type="dxa"/>
          </w:tblCellMar>
        </w:tblPrEx>
        <w:tc>
          <w:tcPr>
            <w:tcW w:w="1007"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Femmes </w:t>
            </w:r>
          </w:p>
        </w:tc>
        <w:tc>
          <w:tcPr>
            <w:tcW w:w="1227"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54 711 </w:t>
            </w:r>
          </w:p>
        </w:tc>
        <w:tc>
          <w:tcPr>
            <w:tcW w:w="1080"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52 348 </w:t>
            </w:r>
          </w:p>
        </w:tc>
        <w:tc>
          <w:tcPr>
            <w:tcW w:w="108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95,68 </w:t>
            </w:r>
          </w:p>
        </w:tc>
        <w:tc>
          <w:tcPr>
            <w:tcW w:w="144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12 738 </w:t>
            </w:r>
          </w:p>
        </w:tc>
        <w:tc>
          <w:tcPr>
            <w:tcW w:w="1263"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12 183 </w:t>
            </w:r>
          </w:p>
        </w:tc>
        <w:tc>
          <w:tcPr>
            <w:tcW w:w="1196" w:type="dxa"/>
          </w:tcPr>
          <w:p w:rsidR="00000000" w:rsidRDefault="00000000">
            <w:pPr>
              <w:tabs>
                <w:tab w:val="decimal" w:pos="467"/>
              </w:tabs>
              <w:autoSpaceDE w:val="0"/>
              <w:autoSpaceDN w:val="0"/>
              <w:adjustRightInd w:val="0"/>
              <w:spacing w:before="20" w:after="20"/>
              <w:rPr>
                <w:color w:val="000000"/>
                <w:sz w:val="20"/>
                <w:szCs w:val="22"/>
                <w:lang w:val="fr-FR"/>
              </w:rPr>
            </w:pPr>
            <w:r>
              <w:rPr>
                <w:color w:val="000000"/>
                <w:sz w:val="20"/>
                <w:szCs w:val="22"/>
                <w:lang w:val="fr-FR"/>
              </w:rPr>
              <w:t xml:space="preserve">95,64  </w:t>
            </w:r>
          </w:p>
        </w:tc>
      </w:tr>
      <w:tr w:rsidR="00000000">
        <w:tblPrEx>
          <w:tblCellMar>
            <w:top w:w="0" w:type="dxa"/>
            <w:bottom w:w="0" w:type="dxa"/>
          </w:tblCellMar>
        </w:tblPrEx>
        <w:tc>
          <w:tcPr>
            <w:tcW w:w="1007"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  Total </w:t>
            </w:r>
          </w:p>
        </w:tc>
        <w:tc>
          <w:tcPr>
            <w:tcW w:w="1227"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110 554 </w:t>
            </w:r>
          </w:p>
        </w:tc>
        <w:tc>
          <w:tcPr>
            <w:tcW w:w="1080"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105 835 </w:t>
            </w:r>
          </w:p>
        </w:tc>
        <w:tc>
          <w:tcPr>
            <w:tcW w:w="108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95,73 </w:t>
            </w:r>
          </w:p>
        </w:tc>
        <w:tc>
          <w:tcPr>
            <w:tcW w:w="144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25 604 </w:t>
            </w:r>
          </w:p>
        </w:tc>
        <w:tc>
          <w:tcPr>
            <w:tcW w:w="1263" w:type="dxa"/>
          </w:tcPr>
          <w:p w:rsidR="00000000" w:rsidRDefault="00000000">
            <w:pPr>
              <w:autoSpaceDE w:val="0"/>
              <w:autoSpaceDN w:val="0"/>
              <w:adjustRightInd w:val="0"/>
              <w:spacing w:before="20" w:after="20"/>
              <w:ind w:right="290"/>
              <w:jc w:val="right"/>
              <w:rPr>
                <w:color w:val="000000"/>
                <w:sz w:val="20"/>
                <w:szCs w:val="22"/>
                <w:lang w:val="fr-FR"/>
              </w:rPr>
            </w:pPr>
          </w:p>
        </w:tc>
        <w:tc>
          <w:tcPr>
            <w:tcW w:w="1196" w:type="dxa"/>
          </w:tcPr>
          <w:p w:rsidR="00000000" w:rsidRDefault="00000000">
            <w:pPr>
              <w:tabs>
                <w:tab w:val="decimal" w:pos="467"/>
              </w:tabs>
              <w:autoSpaceDE w:val="0"/>
              <w:autoSpaceDN w:val="0"/>
              <w:adjustRightInd w:val="0"/>
              <w:spacing w:before="20" w:after="20"/>
              <w:rPr>
                <w:color w:val="000000"/>
                <w:sz w:val="20"/>
                <w:szCs w:val="22"/>
                <w:lang w:val="fr-FR"/>
              </w:rPr>
            </w:pPr>
            <w:r>
              <w:rPr>
                <w:color w:val="000000"/>
                <w:sz w:val="20"/>
                <w:szCs w:val="22"/>
                <w:lang w:val="fr-FR"/>
              </w:rPr>
              <w:t xml:space="preserve">0,00  </w:t>
            </w:r>
          </w:p>
        </w:tc>
      </w:tr>
      <w:tr w:rsidR="00000000">
        <w:tblPrEx>
          <w:tblCellMar>
            <w:top w:w="0" w:type="dxa"/>
            <w:bottom w:w="0" w:type="dxa"/>
          </w:tblCellMar>
        </w:tblPrEx>
        <w:tc>
          <w:tcPr>
            <w:tcW w:w="1007"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1995/96 </w:t>
            </w: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Hommes </w:t>
            </w:r>
          </w:p>
        </w:tc>
        <w:tc>
          <w:tcPr>
            <w:tcW w:w="1227"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58 357 </w:t>
            </w:r>
          </w:p>
        </w:tc>
        <w:tc>
          <w:tcPr>
            <w:tcW w:w="1080"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55 840 </w:t>
            </w:r>
          </w:p>
        </w:tc>
        <w:tc>
          <w:tcPr>
            <w:tcW w:w="108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95,69 </w:t>
            </w:r>
          </w:p>
        </w:tc>
        <w:tc>
          <w:tcPr>
            <w:tcW w:w="144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14 583 </w:t>
            </w:r>
          </w:p>
        </w:tc>
        <w:tc>
          <w:tcPr>
            <w:tcW w:w="1263"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13 380 </w:t>
            </w:r>
          </w:p>
        </w:tc>
        <w:tc>
          <w:tcPr>
            <w:tcW w:w="1196" w:type="dxa"/>
          </w:tcPr>
          <w:p w:rsidR="00000000" w:rsidRDefault="00000000">
            <w:pPr>
              <w:tabs>
                <w:tab w:val="decimal" w:pos="467"/>
              </w:tabs>
              <w:autoSpaceDE w:val="0"/>
              <w:autoSpaceDN w:val="0"/>
              <w:adjustRightInd w:val="0"/>
              <w:spacing w:before="20" w:after="20"/>
              <w:rPr>
                <w:color w:val="000000"/>
                <w:sz w:val="20"/>
                <w:szCs w:val="22"/>
                <w:lang w:val="fr-FR"/>
              </w:rPr>
            </w:pPr>
            <w:r>
              <w:rPr>
                <w:color w:val="000000"/>
                <w:sz w:val="20"/>
                <w:szCs w:val="22"/>
                <w:lang w:val="fr-FR"/>
              </w:rPr>
              <w:t xml:space="preserve">91,75  </w:t>
            </w:r>
          </w:p>
        </w:tc>
      </w:tr>
      <w:tr w:rsidR="00000000">
        <w:tblPrEx>
          <w:tblCellMar>
            <w:top w:w="0" w:type="dxa"/>
            <w:bottom w:w="0" w:type="dxa"/>
          </w:tblCellMar>
        </w:tblPrEx>
        <w:tc>
          <w:tcPr>
            <w:tcW w:w="1007"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Femmes </w:t>
            </w:r>
          </w:p>
        </w:tc>
        <w:tc>
          <w:tcPr>
            <w:tcW w:w="1227"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58 620 </w:t>
            </w:r>
          </w:p>
        </w:tc>
        <w:tc>
          <w:tcPr>
            <w:tcW w:w="1080"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56 163 </w:t>
            </w:r>
          </w:p>
        </w:tc>
        <w:tc>
          <w:tcPr>
            <w:tcW w:w="108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95,81 </w:t>
            </w:r>
          </w:p>
        </w:tc>
        <w:tc>
          <w:tcPr>
            <w:tcW w:w="144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14 298 </w:t>
            </w:r>
          </w:p>
        </w:tc>
        <w:tc>
          <w:tcPr>
            <w:tcW w:w="1263"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13 634 </w:t>
            </w:r>
          </w:p>
        </w:tc>
        <w:tc>
          <w:tcPr>
            <w:tcW w:w="1196" w:type="dxa"/>
          </w:tcPr>
          <w:p w:rsidR="00000000" w:rsidRDefault="00000000">
            <w:pPr>
              <w:tabs>
                <w:tab w:val="decimal" w:pos="467"/>
              </w:tabs>
              <w:autoSpaceDE w:val="0"/>
              <w:autoSpaceDN w:val="0"/>
              <w:adjustRightInd w:val="0"/>
              <w:spacing w:before="20" w:after="20"/>
              <w:rPr>
                <w:color w:val="000000"/>
                <w:sz w:val="20"/>
                <w:szCs w:val="22"/>
                <w:lang w:val="fr-FR"/>
              </w:rPr>
            </w:pPr>
            <w:r>
              <w:rPr>
                <w:color w:val="000000"/>
                <w:sz w:val="20"/>
                <w:szCs w:val="22"/>
                <w:lang w:val="fr-FR"/>
              </w:rPr>
              <w:t xml:space="preserve">95,36  </w:t>
            </w:r>
          </w:p>
        </w:tc>
      </w:tr>
      <w:tr w:rsidR="00000000">
        <w:tblPrEx>
          <w:tblCellMar>
            <w:top w:w="0" w:type="dxa"/>
            <w:bottom w:w="0" w:type="dxa"/>
          </w:tblCellMar>
        </w:tblPrEx>
        <w:tc>
          <w:tcPr>
            <w:tcW w:w="1007"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  Total </w:t>
            </w:r>
          </w:p>
        </w:tc>
        <w:tc>
          <w:tcPr>
            <w:tcW w:w="1227"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116 977 </w:t>
            </w:r>
          </w:p>
        </w:tc>
        <w:tc>
          <w:tcPr>
            <w:tcW w:w="1080"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112 003 </w:t>
            </w:r>
          </w:p>
        </w:tc>
        <w:tc>
          <w:tcPr>
            <w:tcW w:w="108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95,75 </w:t>
            </w:r>
          </w:p>
        </w:tc>
        <w:tc>
          <w:tcPr>
            <w:tcW w:w="144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28 881 </w:t>
            </w:r>
          </w:p>
        </w:tc>
        <w:tc>
          <w:tcPr>
            <w:tcW w:w="1263" w:type="dxa"/>
          </w:tcPr>
          <w:p w:rsidR="00000000" w:rsidRDefault="00000000">
            <w:pPr>
              <w:autoSpaceDE w:val="0"/>
              <w:autoSpaceDN w:val="0"/>
              <w:adjustRightInd w:val="0"/>
              <w:spacing w:before="20" w:after="20"/>
              <w:ind w:right="290"/>
              <w:jc w:val="right"/>
              <w:rPr>
                <w:color w:val="000000"/>
                <w:sz w:val="20"/>
                <w:szCs w:val="22"/>
                <w:lang w:val="fr-FR"/>
              </w:rPr>
            </w:pPr>
          </w:p>
        </w:tc>
        <w:tc>
          <w:tcPr>
            <w:tcW w:w="1196" w:type="dxa"/>
          </w:tcPr>
          <w:p w:rsidR="00000000" w:rsidRDefault="00000000">
            <w:pPr>
              <w:tabs>
                <w:tab w:val="decimal" w:pos="467"/>
              </w:tabs>
              <w:autoSpaceDE w:val="0"/>
              <w:autoSpaceDN w:val="0"/>
              <w:adjustRightInd w:val="0"/>
              <w:spacing w:before="20" w:after="20"/>
              <w:rPr>
                <w:color w:val="000000"/>
                <w:sz w:val="20"/>
                <w:szCs w:val="22"/>
                <w:lang w:val="fr-FR"/>
              </w:rPr>
            </w:pPr>
            <w:r>
              <w:rPr>
                <w:color w:val="000000"/>
                <w:sz w:val="20"/>
                <w:szCs w:val="22"/>
                <w:lang w:val="fr-FR"/>
              </w:rPr>
              <w:t xml:space="preserve">0,00  </w:t>
            </w:r>
          </w:p>
        </w:tc>
      </w:tr>
      <w:tr w:rsidR="00000000">
        <w:tblPrEx>
          <w:tblCellMar>
            <w:top w:w="0" w:type="dxa"/>
            <w:bottom w:w="0" w:type="dxa"/>
          </w:tblCellMar>
        </w:tblPrEx>
        <w:tc>
          <w:tcPr>
            <w:tcW w:w="1007"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1996/97 </w:t>
            </w: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Hommes </w:t>
            </w:r>
          </w:p>
        </w:tc>
        <w:tc>
          <w:tcPr>
            <w:tcW w:w="1227"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63 037 </w:t>
            </w:r>
          </w:p>
        </w:tc>
        <w:tc>
          <w:tcPr>
            <w:tcW w:w="1080"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60 484 </w:t>
            </w:r>
          </w:p>
        </w:tc>
        <w:tc>
          <w:tcPr>
            <w:tcW w:w="108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95,95 </w:t>
            </w:r>
          </w:p>
        </w:tc>
        <w:tc>
          <w:tcPr>
            <w:tcW w:w="144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15 455 </w:t>
            </w:r>
          </w:p>
        </w:tc>
        <w:tc>
          <w:tcPr>
            <w:tcW w:w="1263"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14 718 </w:t>
            </w:r>
          </w:p>
        </w:tc>
        <w:tc>
          <w:tcPr>
            <w:tcW w:w="1196" w:type="dxa"/>
          </w:tcPr>
          <w:p w:rsidR="00000000" w:rsidRDefault="00000000">
            <w:pPr>
              <w:tabs>
                <w:tab w:val="decimal" w:pos="467"/>
              </w:tabs>
              <w:autoSpaceDE w:val="0"/>
              <w:autoSpaceDN w:val="0"/>
              <w:adjustRightInd w:val="0"/>
              <w:spacing w:before="20" w:after="20"/>
              <w:rPr>
                <w:color w:val="000000"/>
                <w:sz w:val="20"/>
                <w:szCs w:val="22"/>
                <w:lang w:val="fr-FR"/>
              </w:rPr>
            </w:pPr>
            <w:r>
              <w:rPr>
                <w:color w:val="000000"/>
                <w:sz w:val="20"/>
                <w:szCs w:val="22"/>
                <w:lang w:val="fr-FR"/>
              </w:rPr>
              <w:t xml:space="preserve">95,23  </w:t>
            </w:r>
          </w:p>
        </w:tc>
      </w:tr>
      <w:tr w:rsidR="00000000">
        <w:tblPrEx>
          <w:tblCellMar>
            <w:top w:w="0" w:type="dxa"/>
            <w:bottom w:w="0" w:type="dxa"/>
          </w:tblCellMar>
        </w:tblPrEx>
        <w:tc>
          <w:tcPr>
            <w:tcW w:w="1007"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Femmes </w:t>
            </w:r>
          </w:p>
        </w:tc>
        <w:tc>
          <w:tcPr>
            <w:tcW w:w="1227"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63 305 </w:t>
            </w:r>
          </w:p>
        </w:tc>
        <w:tc>
          <w:tcPr>
            <w:tcW w:w="1080"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60 817 </w:t>
            </w:r>
          </w:p>
        </w:tc>
        <w:tc>
          <w:tcPr>
            <w:tcW w:w="108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96,07 </w:t>
            </w:r>
          </w:p>
        </w:tc>
        <w:tc>
          <w:tcPr>
            <w:tcW w:w="144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14 975 </w:t>
            </w:r>
          </w:p>
        </w:tc>
        <w:tc>
          <w:tcPr>
            <w:tcW w:w="1263"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14 291 </w:t>
            </w:r>
          </w:p>
        </w:tc>
        <w:tc>
          <w:tcPr>
            <w:tcW w:w="1196" w:type="dxa"/>
          </w:tcPr>
          <w:p w:rsidR="00000000" w:rsidRDefault="00000000">
            <w:pPr>
              <w:tabs>
                <w:tab w:val="decimal" w:pos="467"/>
              </w:tabs>
              <w:autoSpaceDE w:val="0"/>
              <w:autoSpaceDN w:val="0"/>
              <w:adjustRightInd w:val="0"/>
              <w:spacing w:before="20" w:after="20"/>
              <w:rPr>
                <w:color w:val="000000"/>
                <w:sz w:val="20"/>
                <w:szCs w:val="22"/>
                <w:lang w:val="fr-FR"/>
              </w:rPr>
            </w:pPr>
            <w:r>
              <w:rPr>
                <w:color w:val="000000"/>
                <w:sz w:val="20"/>
                <w:szCs w:val="22"/>
                <w:lang w:val="fr-FR"/>
              </w:rPr>
              <w:t xml:space="preserve">95,43  </w:t>
            </w:r>
          </w:p>
        </w:tc>
      </w:tr>
      <w:tr w:rsidR="00000000">
        <w:tblPrEx>
          <w:tblCellMar>
            <w:top w:w="0" w:type="dxa"/>
            <w:bottom w:w="0" w:type="dxa"/>
          </w:tblCellMar>
        </w:tblPrEx>
        <w:tc>
          <w:tcPr>
            <w:tcW w:w="1007"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  Total </w:t>
            </w:r>
          </w:p>
        </w:tc>
        <w:tc>
          <w:tcPr>
            <w:tcW w:w="1227"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126 342 </w:t>
            </w:r>
          </w:p>
        </w:tc>
        <w:tc>
          <w:tcPr>
            <w:tcW w:w="1080"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121 301 </w:t>
            </w:r>
          </w:p>
        </w:tc>
        <w:tc>
          <w:tcPr>
            <w:tcW w:w="108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96,01 </w:t>
            </w:r>
          </w:p>
        </w:tc>
        <w:tc>
          <w:tcPr>
            <w:tcW w:w="144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30 430 </w:t>
            </w:r>
          </w:p>
        </w:tc>
        <w:tc>
          <w:tcPr>
            <w:tcW w:w="1263" w:type="dxa"/>
          </w:tcPr>
          <w:p w:rsidR="00000000" w:rsidRDefault="00000000">
            <w:pPr>
              <w:autoSpaceDE w:val="0"/>
              <w:autoSpaceDN w:val="0"/>
              <w:adjustRightInd w:val="0"/>
              <w:spacing w:before="20" w:after="20"/>
              <w:ind w:right="290"/>
              <w:jc w:val="right"/>
              <w:rPr>
                <w:color w:val="000000"/>
                <w:sz w:val="20"/>
                <w:szCs w:val="22"/>
                <w:lang w:val="fr-FR"/>
              </w:rPr>
            </w:pPr>
          </w:p>
        </w:tc>
        <w:tc>
          <w:tcPr>
            <w:tcW w:w="1196" w:type="dxa"/>
          </w:tcPr>
          <w:p w:rsidR="00000000" w:rsidRDefault="00000000">
            <w:pPr>
              <w:tabs>
                <w:tab w:val="decimal" w:pos="467"/>
              </w:tabs>
              <w:autoSpaceDE w:val="0"/>
              <w:autoSpaceDN w:val="0"/>
              <w:adjustRightInd w:val="0"/>
              <w:spacing w:before="20" w:after="20"/>
              <w:rPr>
                <w:color w:val="000000"/>
                <w:sz w:val="20"/>
                <w:szCs w:val="22"/>
                <w:lang w:val="fr-FR"/>
              </w:rPr>
            </w:pPr>
            <w:r>
              <w:rPr>
                <w:color w:val="000000"/>
                <w:sz w:val="20"/>
                <w:szCs w:val="22"/>
                <w:lang w:val="fr-FR"/>
              </w:rPr>
              <w:t xml:space="preserve">0,00  </w:t>
            </w:r>
          </w:p>
        </w:tc>
      </w:tr>
      <w:tr w:rsidR="00000000">
        <w:tblPrEx>
          <w:tblCellMar>
            <w:top w:w="0" w:type="dxa"/>
            <w:bottom w:w="0" w:type="dxa"/>
          </w:tblCellMar>
        </w:tblPrEx>
        <w:tc>
          <w:tcPr>
            <w:tcW w:w="1007"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1997/98 </w:t>
            </w: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Hommes </w:t>
            </w:r>
          </w:p>
        </w:tc>
        <w:tc>
          <w:tcPr>
            <w:tcW w:w="1227"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66 920 </w:t>
            </w:r>
          </w:p>
        </w:tc>
        <w:tc>
          <w:tcPr>
            <w:tcW w:w="1080"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64 428 </w:t>
            </w:r>
          </w:p>
        </w:tc>
        <w:tc>
          <w:tcPr>
            <w:tcW w:w="108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96,28 </w:t>
            </w:r>
          </w:p>
        </w:tc>
        <w:tc>
          <w:tcPr>
            <w:tcW w:w="144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17 007 </w:t>
            </w:r>
          </w:p>
        </w:tc>
        <w:tc>
          <w:tcPr>
            <w:tcW w:w="1263"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16 252 </w:t>
            </w:r>
          </w:p>
        </w:tc>
        <w:tc>
          <w:tcPr>
            <w:tcW w:w="1196" w:type="dxa"/>
          </w:tcPr>
          <w:p w:rsidR="00000000" w:rsidRDefault="00000000">
            <w:pPr>
              <w:tabs>
                <w:tab w:val="decimal" w:pos="467"/>
              </w:tabs>
              <w:autoSpaceDE w:val="0"/>
              <w:autoSpaceDN w:val="0"/>
              <w:adjustRightInd w:val="0"/>
              <w:spacing w:before="20" w:after="20"/>
              <w:rPr>
                <w:color w:val="000000"/>
                <w:sz w:val="20"/>
                <w:szCs w:val="22"/>
                <w:lang w:val="fr-FR"/>
              </w:rPr>
            </w:pPr>
            <w:r>
              <w:rPr>
                <w:color w:val="000000"/>
                <w:sz w:val="20"/>
                <w:szCs w:val="22"/>
                <w:lang w:val="fr-FR"/>
              </w:rPr>
              <w:t xml:space="preserve">95,56  </w:t>
            </w:r>
          </w:p>
        </w:tc>
      </w:tr>
      <w:tr w:rsidR="00000000">
        <w:tblPrEx>
          <w:tblCellMar>
            <w:top w:w="0" w:type="dxa"/>
            <w:bottom w:w="0" w:type="dxa"/>
          </w:tblCellMar>
        </w:tblPrEx>
        <w:tc>
          <w:tcPr>
            <w:tcW w:w="1007"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Femmes </w:t>
            </w:r>
          </w:p>
        </w:tc>
        <w:tc>
          <w:tcPr>
            <w:tcW w:w="1227"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67 354 </w:t>
            </w:r>
          </w:p>
        </w:tc>
        <w:tc>
          <w:tcPr>
            <w:tcW w:w="1080"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64 927 </w:t>
            </w:r>
          </w:p>
        </w:tc>
        <w:tc>
          <w:tcPr>
            <w:tcW w:w="108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96,40 </w:t>
            </w:r>
          </w:p>
        </w:tc>
        <w:tc>
          <w:tcPr>
            <w:tcW w:w="144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16 847 </w:t>
            </w:r>
          </w:p>
        </w:tc>
        <w:tc>
          <w:tcPr>
            <w:tcW w:w="1263"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16 203 </w:t>
            </w:r>
          </w:p>
        </w:tc>
        <w:tc>
          <w:tcPr>
            <w:tcW w:w="1196" w:type="dxa"/>
          </w:tcPr>
          <w:p w:rsidR="00000000" w:rsidRDefault="00000000">
            <w:pPr>
              <w:tabs>
                <w:tab w:val="decimal" w:pos="467"/>
              </w:tabs>
              <w:autoSpaceDE w:val="0"/>
              <w:autoSpaceDN w:val="0"/>
              <w:adjustRightInd w:val="0"/>
              <w:spacing w:before="20" w:after="20"/>
              <w:rPr>
                <w:color w:val="000000"/>
                <w:sz w:val="20"/>
                <w:szCs w:val="22"/>
                <w:lang w:val="fr-FR"/>
              </w:rPr>
            </w:pPr>
            <w:r>
              <w:rPr>
                <w:color w:val="000000"/>
                <w:sz w:val="20"/>
                <w:szCs w:val="22"/>
                <w:lang w:val="fr-FR"/>
              </w:rPr>
              <w:t xml:space="preserve">96,18  </w:t>
            </w:r>
          </w:p>
        </w:tc>
      </w:tr>
      <w:tr w:rsidR="00000000">
        <w:tblPrEx>
          <w:tblCellMar>
            <w:top w:w="0" w:type="dxa"/>
            <w:bottom w:w="0" w:type="dxa"/>
          </w:tblCellMar>
        </w:tblPrEx>
        <w:tc>
          <w:tcPr>
            <w:tcW w:w="1007"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  Total </w:t>
            </w:r>
          </w:p>
        </w:tc>
        <w:tc>
          <w:tcPr>
            <w:tcW w:w="1227"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134 274 </w:t>
            </w:r>
          </w:p>
        </w:tc>
        <w:tc>
          <w:tcPr>
            <w:tcW w:w="1080" w:type="dxa"/>
          </w:tcPr>
          <w:p w:rsidR="00000000" w:rsidRDefault="00000000">
            <w:pPr>
              <w:autoSpaceDE w:val="0"/>
              <w:autoSpaceDN w:val="0"/>
              <w:adjustRightInd w:val="0"/>
              <w:spacing w:before="20" w:after="20"/>
              <w:ind w:right="267"/>
              <w:jc w:val="right"/>
              <w:rPr>
                <w:color w:val="000000"/>
                <w:sz w:val="20"/>
                <w:szCs w:val="22"/>
                <w:lang w:val="fr-FR"/>
              </w:rPr>
            </w:pPr>
            <w:r>
              <w:rPr>
                <w:color w:val="000000"/>
                <w:sz w:val="20"/>
                <w:szCs w:val="22"/>
                <w:lang w:val="fr-FR"/>
              </w:rPr>
              <w:t xml:space="preserve">129 355 </w:t>
            </w:r>
          </w:p>
        </w:tc>
        <w:tc>
          <w:tcPr>
            <w:tcW w:w="1080"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96,34 </w:t>
            </w:r>
          </w:p>
        </w:tc>
        <w:tc>
          <w:tcPr>
            <w:tcW w:w="144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33 854 </w:t>
            </w:r>
          </w:p>
        </w:tc>
        <w:tc>
          <w:tcPr>
            <w:tcW w:w="1263" w:type="dxa"/>
          </w:tcPr>
          <w:p w:rsidR="00000000" w:rsidRDefault="00000000">
            <w:pPr>
              <w:autoSpaceDE w:val="0"/>
              <w:autoSpaceDN w:val="0"/>
              <w:adjustRightInd w:val="0"/>
              <w:spacing w:before="20" w:after="20"/>
              <w:ind w:right="290"/>
              <w:jc w:val="right"/>
              <w:rPr>
                <w:color w:val="000000"/>
                <w:sz w:val="20"/>
                <w:szCs w:val="22"/>
                <w:lang w:val="fr-FR"/>
              </w:rPr>
            </w:pPr>
          </w:p>
        </w:tc>
        <w:tc>
          <w:tcPr>
            <w:tcW w:w="1196" w:type="dxa"/>
          </w:tcPr>
          <w:p w:rsidR="00000000" w:rsidRDefault="00000000">
            <w:pPr>
              <w:tabs>
                <w:tab w:val="decimal" w:pos="467"/>
              </w:tabs>
              <w:autoSpaceDE w:val="0"/>
              <w:autoSpaceDN w:val="0"/>
              <w:adjustRightInd w:val="0"/>
              <w:spacing w:before="20" w:after="20"/>
              <w:rPr>
                <w:color w:val="000000"/>
                <w:sz w:val="20"/>
                <w:szCs w:val="22"/>
                <w:lang w:val="fr-FR"/>
              </w:rPr>
            </w:pPr>
            <w:r>
              <w:rPr>
                <w:color w:val="000000"/>
                <w:sz w:val="20"/>
                <w:szCs w:val="22"/>
                <w:lang w:val="fr-FR"/>
              </w:rPr>
              <w:t xml:space="preserve">0,00  </w:t>
            </w:r>
          </w:p>
        </w:tc>
      </w:tr>
    </w:tbl>
    <w:p w:rsidR="00000000" w:rsidRDefault="00000000">
      <w:pPr>
        <w:autoSpaceDE w:val="0"/>
        <w:autoSpaceDN w:val="0"/>
        <w:adjustRightInd w:val="0"/>
        <w:spacing w:before="40"/>
        <w:ind w:left="567"/>
        <w:rPr>
          <w:color w:val="000000"/>
          <w:sz w:val="18"/>
          <w:szCs w:val="22"/>
          <w:lang w:val="fr-FR"/>
        </w:rPr>
      </w:pPr>
      <w:r>
        <w:rPr>
          <w:i/>
          <w:iCs/>
          <w:color w:val="000000"/>
          <w:sz w:val="18"/>
          <w:szCs w:val="22"/>
          <w:lang w:val="fr-FR"/>
        </w:rPr>
        <w:t>Note :</w:t>
      </w:r>
      <w:r>
        <w:rPr>
          <w:color w:val="000000"/>
          <w:sz w:val="18"/>
          <w:szCs w:val="22"/>
          <w:lang w:val="fr-FR"/>
        </w:rPr>
        <w:t xml:space="preserve"> Élaboration : Équipe statistique du Ministère l'éducation et de la culture.  </w:t>
      </w:r>
    </w:p>
    <w:p w:rsidR="00000000" w:rsidRDefault="00000000">
      <w:pPr>
        <w:autoSpaceDE w:val="0"/>
        <w:autoSpaceDN w:val="0"/>
        <w:adjustRightInd w:val="0"/>
        <w:spacing w:after="360"/>
        <w:ind w:left="567"/>
        <w:rPr>
          <w:color w:val="000000"/>
          <w:sz w:val="18"/>
          <w:szCs w:val="22"/>
          <w:lang w:val="fr-FR"/>
        </w:rPr>
      </w:pPr>
      <w:r>
        <w:rPr>
          <w:color w:val="000000"/>
          <w:sz w:val="18"/>
          <w:szCs w:val="22"/>
          <w:lang w:val="fr-FR"/>
        </w:rPr>
        <w:t xml:space="preserve">* Élèves promus du niveau préprimaire.  A ce niveau, il n'existe pas de non-promotion; par conséquent du total des immatriculations on déduit l’abandon.  </w:t>
      </w:r>
    </w:p>
    <w:p w:rsidR="00000000" w:rsidRDefault="00000000">
      <w:pPr>
        <w:autoSpaceDE w:val="0"/>
        <w:autoSpaceDN w:val="0"/>
        <w:adjustRightInd w:val="0"/>
        <w:spacing w:after="120"/>
        <w:jc w:val="center"/>
        <w:rPr>
          <w:b/>
          <w:bCs/>
          <w:color w:val="000000"/>
          <w:sz w:val="20"/>
          <w:szCs w:val="22"/>
          <w:lang w:val="fr-FR"/>
        </w:rPr>
      </w:pPr>
      <w:r>
        <w:rPr>
          <w:b/>
          <w:bCs/>
          <w:color w:val="000000"/>
          <w:sz w:val="20"/>
          <w:szCs w:val="22"/>
          <w:lang w:val="fr-FR"/>
        </w:rPr>
        <w:t>Élèves promus du niveau primaire de l'enseignement régulier,</w:t>
      </w:r>
      <w:r>
        <w:rPr>
          <w:b/>
          <w:bCs/>
          <w:color w:val="000000"/>
          <w:sz w:val="20"/>
          <w:szCs w:val="22"/>
          <w:lang w:val="fr-FR"/>
        </w:rPr>
        <w:br/>
        <w:t xml:space="preserve">par secteur, selon l’année scolaire et le sexe  </w:t>
      </w:r>
    </w:p>
    <w:tbl>
      <w:tblPr>
        <w:tblW w:w="9299" w:type="dxa"/>
        <w:jc w:val="center"/>
        <w:tblInd w:w="70" w:type="dxa"/>
        <w:tblBorders>
          <w:top w:val="single" w:sz="6" w:space="0" w:color="auto"/>
          <w:bottom w:val="single" w:sz="6" w:space="0" w:color="auto"/>
        </w:tblBorders>
        <w:tblLayout w:type="fixed"/>
        <w:tblCellMar>
          <w:left w:w="70" w:type="dxa"/>
          <w:right w:w="70" w:type="dxa"/>
        </w:tblCellMar>
        <w:tblLook w:val="0000" w:firstRow="0" w:lastRow="0" w:firstColumn="0" w:lastColumn="0" w:noHBand="0" w:noVBand="0"/>
      </w:tblPr>
      <w:tblGrid>
        <w:gridCol w:w="1006"/>
        <w:gridCol w:w="1006"/>
        <w:gridCol w:w="1123"/>
        <w:gridCol w:w="1325"/>
        <w:gridCol w:w="1196"/>
        <w:gridCol w:w="1307"/>
        <w:gridCol w:w="1260"/>
        <w:gridCol w:w="1076"/>
      </w:tblGrid>
      <w:tr w:rsidR="00000000">
        <w:tblPrEx>
          <w:tblCellMar>
            <w:top w:w="0" w:type="dxa"/>
            <w:bottom w:w="0" w:type="dxa"/>
          </w:tblCellMar>
        </w:tblPrEx>
        <w:trPr>
          <w:cantSplit/>
          <w:jc w:val="center"/>
        </w:trPr>
        <w:tc>
          <w:tcPr>
            <w:tcW w:w="1006" w:type="dxa"/>
            <w:vMerge w:val="restart"/>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Année scolaire</w:t>
            </w:r>
          </w:p>
        </w:tc>
        <w:tc>
          <w:tcPr>
            <w:tcW w:w="8293" w:type="dxa"/>
            <w:gridSpan w:val="7"/>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20"/>
                <w:szCs w:val="22"/>
                <w:lang w:val="fr-FR"/>
              </w:rPr>
            </w:pPr>
            <w:r>
              <w:rPr>
                <w:b/>
                <w:bCs/>
                <w:i/>
                <w:iCs/>
                <w:color w:val="000000"/>
                <w:sz w:val="20"/>
                <w:szCs w:val="22"/>
                <w:lang w:val="fr-FR"/>
              </w:rPr>
              <w:t>Niveau primaire</w:t>
            </w:r>
          </w:p>
        </w:tc>
      </w:tr>
      <w:tr w:rsidR="00000000">
        <w:tblPrEx>
          <w:tblCellMar>
            <w:top w:w="0" w:type="dxa"/>
            <w:bottom w:w="0" w:type="dxa"/>
          </w:tblCellMar>
        </w:tblPrEx>
        <w:trPr>
          <w:cantSplit/>
          <w:jc w:val="center"/>
        </w:trPr>
        <w:tc>
          <w:tcPr>
            <w:tcW w:w="1006" w:type="dxa"/>
            <w:vMerge/>
            <w:vAlign w:val="center"/>
          </w:tcPr>
          <w:p w:rsidR="00000000" w:rsidRDefault="00000000">
            <w:pPr>
              <w:autoSpaceDE w:val="0"/>
              <w:autoSpaceDN w:val="0"/>
              <w:adjustRightInd w:val="0"/>
              <w:spacing w:before="40" w:after="40"/>
              <w:jc w:val="center"/>
              <w:rPr>
                <w:b/>
                <w:bCs/>
                <w:i/>
                <w:iCs/>
                <w:color w:val="000000"/>
                <w:sz w:val="20"/>
                <w:szCs w:val="22"/>
                <w:lang w:val="fr-FR"/>
              </w:rPr>
            </w:pPr>
          </w:p>
        </w:tc>
        <w:tc>
          <w:tcPr>
            <w:tcW w:w="1006"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Sexe</w:t>
            </w:r>
          </w:p>
        </w:tc>
        <w:tc>
          <w:tcPr>
            <w:tcW w:w="1123"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Immatricula-tions nettes – secteur urbain</w:t>
            </w:r>
          </w:p>
        </w:tc>
        <w:tc>
          <w:tcPr>
            <w:tcW w:w="1325"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Promus -  secteur urbain*</w:t>
            </w:r>
          </w:p>
        </w:tc>
        <w:tc>
          <w:tcPr>
            <w:tcW w:w="1196"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Pourcentage</w:t>
            </w:r>
          </w:p>
        </w:tc>
        <w:tc>
          <w:tcPr>
            <w:tcW w:w="1307"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Immatricula-tions nettes – secteur rural</w:t>
            </w:r>
          </w:p>
        </w:tc>
        <w:tc>
          <w:tcPr>
            <w:tcW w:w="1260"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Promus -  secteur rural</w:t>
            </w:r>
          </w:p>
        </w:tc>
        <w:tc>
          <w:tcPr>
            <w:tcW w:w="1076" w:type="dxa"/>
            <w:tcBorders>
              <w:top w:val="single" w:sz="6" w:space="0" w:color="auto"/>
              <w:bottom w:val="single" w:sz="6" w:space="0" w:color="auto"/>
            </w:tcBorders>
            <w:vAlign w:val="center"/>
          </w:tcPr>
          <w:p w:rsidR="00000000" w:rsidRDefault="00000000">
            <w:pPr>
              <w:autoSpaceDE w:val="0"/>
              <w:autoSpaceDN w:val="0"/>
              <w:adjustRightInd w:val="0"/>
              <w:spacing w:before="40" w:after="40"/>
              <w:jc w:val="center"/>
              <w:rPr>
                <w:b/>
                <w:bCs/>
                <w:i/>
                <w:iCs/>
                <w:color w:val="000000"/>
                <w:sz w:val="18"/>
                <w:szCs w:val="22"/>
                <w:lang w:val="fr-FR"/>
              </w:rPr>
            </w:pPr>
            <w:r>
              <w:rPr>
                <w:b/>
                <w:bCs/>
                <w:i/>
                <w:iCs/>
                <w:color w:val="000000"/>
                <w:sz w:val="18"/>
                <w:szCs w:val="22"/>
                <w:lang w:val="fr-FR"/>
              </w:rPr>
              <w:t>Pourcentage</w:t>
            </w:r>
          </w:p>
        </w:tc>
      </w:tr>
      <w:tr w:rsidR="00000000">
        <w:tblPrEx>
          <w:tblCellMar>
            <w:top w:w="0" w:type="dxa"/>
            <w:bottom w:w="0" w:type="dxa"/>
          </w:tblCellMar>
        </w:tblPrEx>
        <w:trPr>
          <w:jc w:val="center"/>
        </w:trPr>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1993/94 </w:t>
            </w:r>
          </w:p>
        </w:tc>
        <w:tc>
          <w:tcPr>
            <w:tcW w:w="1006" w:type="dxa"/>
            <w:tcBorders>
              <w:top w:val="single" w:sz="6" w:space="0" w:color="auto"/>
            </w:tcBorders>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Hommes </w:t>
            </w:r>
          </w:p>
        </w:tc>
        <w:tc>
          <w:tcPr>
            <w:tcW w:w="1123" w:type="dxa"/>
            <w:tcBorders>
              <w:top w:val="single" w:sz="6" w:space="0" w:color="auto"/>
            </w:tcBorders>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502 901 </w:t>
            </w:r>
          </w:p>
        </w:tc>
        <w:tc>
          <w:tcPr>
            <w:tcW w:w="1325" w:type="dxa"/>
            <w:tcBorders>
              <w:top w:val="single" w:sz="6" w:space="0" w:color="auto"/>
            </w:tcBorders>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72 176 </w:t>
            </w:r>
          </w:p>
        </w:tc>
        <w:tc>
          <w:tcPr>
            <w:tcW w:w="1196" w:type="dxa"/>
            <w:tcBorders>
              <w:top w:val="single" w:sz="6" w:space="0" w:color="auto"/>
            </w:tcBorders>
          </w:tcPr>
          <w:p w:rsidR="00000000" w:rsidRDefault="00000000">
            <w:pPr>
              <w:tabs>
                <w:tab w:val="decimal" w:pos="453"/>
              </w:tabs>
              <w:autoSpaceDE w:val="0"/>
              <w:autoSpaceDN w:val="0"/>
              <w:adjustRightInd w:val="0"/>
              <w:spacing w:before="20" w:after="20"/>
              <w:rPr>
                <w:color w:val="000000"/>
                <w:sz w:val="20"/>
                <w:szCs w:val="22"/>
                <w:lang w:val="fr-FR"/>
              </w:rPr>
            </w:pPr>
            <w:r>
              <w:rPr>
                <w:color w:val="000000"/>
                <w:sz w:val="20"/>
                <w:szCs w:val="22"/>
                <w:lang w:val="fr-FR"/>
              </w:rPr>
              <w:t xml:space="preserve">14,35 </w:t>
            </w:r>
          </w:p>
        </w:tc>
        <w:tc>
          <w:tcPr>
            <w:tcW w:w="1307" w:type="dxa"/>
            <w:tcBorders>
              <w:top w:val="single" w:sz="6" w:space="0" w:color="auto"/>
            </w:tcBorders>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389 981 </w:t>
            </w:r>
          </w:p>
        </w:tc>
        <w:tc>
          <w:tcPr>
            <w:tcW w:w="1260" w:type="dxa"/>
            <w:tcBorders>
              <w:top w:val="single" w:sz="6" w:space="0" w:color="auto"/>
            </w:tcBorders>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45 963 </w:t>
            </w:r>
          </w:p>
        </w:tc>
        <w:tc>
          <w:tcPr>
            <w:tcW w:w="1076" w:type="dxa"/>
            <w:tcBorders>
              <w:top w:val="single" w:sz="6" w:space="0" w:color="auto"/>
            </w:tcBorders>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11,79  </w:t>
            </w:r>
          </w:p>
        </w:tc>
      </w:tr>
      <w:tr w:rsidR="00000000">
        <w:tblPrEx>
          <w:tblCellMar>
            <w:top w:w="0" w:type="dxa"/>
            <w:bottom w:w="0" w:type="dxa"/>
          </w:tblCellMar>
        </w:tblPrEx>
        <w:trPr>
          <w:jc w:val="center"/>
        </w:trPr>
        <w:tc>
          <w:tcPr>
            <w:tcW w:w="1006"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Femmes </w:t>
            </w:r>
          </w:p>
        </w:tc>
        <w:tc>
          <w:tcPr>
            <w:tcW w:w="1123"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493 007 </w:t>
            </w:r>
          </w:p>
        </w:tc>
        <w:tc>
          <w:tcPr>
            <w:tcW w:w="1325"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72 455 </w:t>
            </w:r>
          </w:p>
        </w:tc>
        <w:tc>
          <w:tcPr>
            <w:tcW w:w="1196" w:type="dxa"/>
          </w:tcPr>
          <w:p w:rsidR="00000000" w:rsidRDefault="00000000">
            <w:pPr>
              <w:tabs>
                <w:tab w:val="decimal" w:pos="453"/>
              </w:tabs>
              <w:autoSpaceDE w:val="0"/>
              <w:autoSpaceDN w:val="0"/>
              <w:adjustRightInd w:val="0"/>
              <w:spacing w:before="20" w:after="20"/>
              <w:rPr>
                <w:color w:val="000000"/>
                <w:sz w:val="20"/>
                <w:szCs w:val="22"/>
                <w:lang w:val="fr-FR"/>
              </w:rPr>
            </w:pPr>
            <w:r>
              <w:rPr>
                <w:color w:val="000000"/>
                <w:sz w:val="20"/>
                <w:szCs w:val="22"/>
                <w:lang w:val="fr-FR"/>
              </w:rPr>
              <w:t xml:space="preserve">14,70 </w:t>
            </w:r>
          </w:p>
        </w:tc>
        <w:tc>
          <w:tcPr>
            <w:tcW w:w="1307"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365 234 </w:t>
            </w:r>
          </w:p>
        </w:tc>
        <w:tc>
          <w:tcPr>
            <w:tcW w:w="126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44 024 </w:t>
            </w:r>
          </w:p>
        </w:tc>
        <w:tc>
          <w:tcPr>
            <w:tcW w:w="1076"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12 05  </w:t>
            </w:r>
          </w:p>
        </w:tc>
      </w:tr>
      <w:tr w:rsidR="00000000">
        <w:tblPrEx>
          <w:tblCellMar>
            <w:top w:w="0" w:type="dxa"/>
            <w:bottom w:w="0" w:type="dxa"/>
          </w:tblCellMar>
        </w:tblPrEx>
        <w:trPr>
          <w:jc w:val="center"/>
        </w:trPr>
        <w:tc>
          <w:tcPr>
            <w:tcW w:w="1006"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  Total </w:t>
            </w:r>
          </w:p>
        </w:tc>
        <w:tc>
          <w:tcPr>
            <w:tcW w:w="1123"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995 908 </w:t>
            </w:r>
          </w:p>
        </w:tc>
        <w:tc>
          <w:tcPr>
            <w:tcW w:w="1325"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144 631 </w:t>
            </w:r>
          </w:p>
        </w:tc>
        <w:tc>
          <w:tcPr>
            <w:tcW w:w="1196" w:type="dxa"/>
          </w:tcPr>
          <w:p w:rsidR="00000000" w:rsidRDefault="00000000">
            <w:pPr>
              <w:tabs>
                <w:tab w:val="decimal" w:pos="453"/>
              </w:tabs>
              <w:autoSpaceDE w:val="0"/>
              <w:autoSpaceDN w:val="0"/>
              <w:adjustRightInd w:val="0"/>
              <w:spacing w:before="20" w:after="20"/>
              <w:rPr>
                <w:color w:val="000000"/>
                <w:sz w:val="20"/>
                <w:szCs w:val="22"/>
                <w:lang w:val="fr-FR"/>
              </w:rPr>
            </w:pPr>
            <w:r>
              <w:rPr>
                <w:color w:val="000000"/>
                <w:sz w:val="20"/>
                <w:szCs w:val="22"/>
                <w:lang w:val="fr-FR"/>
              </w:rPr>
              <w:t xml:space="preserve">14,52 </w:t>
            </w:r>
          </w:p>
        </w:tc>
        <w:tc>
          <w:tcPr>
            <w:tcW w:w="1307"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755 215 </w:t>
            </w:r>
          </w:p>
        </w:tc>
        <w:tc>
          <w:tcPr>
            <w:tcW w:w="126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89 987 </w:t>
            </w:r>
          </w:p>
        </w:tc>
        <w:tc>
          <w:tcPr>
            <w:tcW w:w="1076"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11,92  </w:t>
            </w:r>
          </w:p>
        </w:tc>
      </w:tr>
      <w:tr w:rsidR="00000000">
        <w:tblPrEx>
          <w:tblCellMar>
            <w:top w:w="0" w:type="dxa"/>
            <w:bottom w:w="0" w:type="dxa"/>
          </w:tblCellMar>
        </w:tblPrEx>
        <w:trPr>
          <w:jc w:val="center"/>
        </w:trPr>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1994/95 </w:t>
            </w: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Hommes </w:t>
            </w:r>
          </w:p>
        </w:tc>
        <w:tc>
          <w:tcPr>
            <w:tcW w:w="1123"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511 215 </w:t>
            </w:r>
          </w:p>
        </w:tc>
        <w:tc>
          <w:tcPr>
            <w:tcW w:w="1325"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71 582 </w:t>
            </w:r>
          </w:p>
        </w:tc>
        <w:tc>
          <w:tcPr>
            <w:tcW w:w="1196" w:type="dxa"/>
          </w:tcPr>
          <w:p w:rsidR="00000000" w:rsidRDefault="00000000">
            <w:pPr>
              <w:tabs>
                <w:tab w:val="decimal" w:pos="453"/>
              </w:tabs>
              <w:autoSpaceDE w:val="0"/>
              <w:autoSpaceDN w:val="0"/>
              <w:adjustRightInd w:val="0"/>
              <w:spacing w:before="20" w:after="20"/>
              <w:rPr>
                <w:color w:val="000000"/>
                <w:sz w:val="20"/>
                <w:szCs w:val="22"/>
                <w:lang w:val="fr-FR"/>
              </w:rPr>
            </w:pPr>
            <w:r>
              <w:rPr>
                <w:color w:val="000000"/>
                <w:sz w:val="20"/>
                <w:szCs w:val="22"/>
                <w:lang w:val="fr-FR"/>
              </w:rPr>
              <w:t xml:space="preserve">14,00 </w:t>
            </w:r>
          </w:p>
        </w:tc>
        <w:tc>
          <w:tcPr>
            <w:tcW w:w="1307"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395 072 </w:t>
            </w:r>
          </w:p>
        </w:tc>
        <w:tc>
          <w:tcPr>
            <w:tcW w:w="126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46 671 </w:t>
            </w:r>
          </w:p>
        </w:tc>
        <w:tc>
          <w:tcPr>
            <w:tcW w:w="1076"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11,81  </w:t>
            </w:r>
          </w:p>
        </w:tc>
      </w:tr>
      <w:tr w:rsidR="00000000">
        <w:tblPrEx>
          <w:tblCellMar>
            <w:top w:w="0" w:type="dxa"/>
            <w:bottom w:w="0" w:type="dxa"/>
          </w:tblCellMar>
        </w:tblPrEx>
        <w:trPr>
          <w:jc w:val="center"/>
        </w:trPr>
        <w:tc>
          <w:tcPr>
            <w:tcW w:w="1006"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Femmes </w:t>
            </w:r>
          </w:p>
        </w:tc>
        <w:tc>
          <w:tcPr>
            <w:tcW w:w="1123"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502 039 </w:t>
            </w:r>
          </w:p>
        </w:tc>
        <w:tc>
          <w:tcPr>
            <w:tcW w:w="1325"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72 581 </w:t>
            </w:r>
          </w:p>
        </w:tc>
        <w:tc>
          <w:tcPr>
            <w:tcW w:w="1196" w:type="dxa"/>
          </w:tcPr>
          <w:p w:rsidR="00000000" w:rsidRDefault="00000000">
            <w:pPr>
              <w:tabs>
                <w:tab w:val="decimal" w:pos="453"/>
              </w:tabs>
              <w:autoSpaceDE w:val="0"/>
              <w:autoSpaceDN w:val="0"/>
              <w:adjustRightInd w:val="0"/>
              <w:spacing w:before="20" w:after="20"/>
              <w:rPr>
                <w:color w:val="000000"/>
                <w:sz w:val="20"/>
                <w:szCs w:val="22"/>
                <w:lang w:val="fr-FR"/>
              </w:rPr>
            </w:pPr>
            <w:r>
              <w:rPr>
                <w:color w:val="000000"/>
                <w:sz w:val="20"/>
                <w:szCs w:val="22"/>
                <w:lang w:val="fr-FR"/>
              </w:rPr>
              <w:t xml:space="preserve">14,46 </w:t>
            </w:r>
          </w:p>
        </w:tc>
        <w:tc>
          <w:tcPr>
            <w:tcW w:w="1307"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368 978 </w:t>
            </w:r>
          </w:p>
        </w:tc>
        <w:tc>
          <w:tcPr>
            <w:tcW w:w="126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44 127 </w:t>
            </w:r>
          </w:p>
        </w:tc>
        <w:tc>
          <w:tcPr>
            <w:tcW w:w="1076"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11,96  </w:t>
            </w:r>
          </w:p>
        </w:tc>
      </w:tr>
      <w:tr w:rsidR="00000000">
        <w:tblPrEx>
          <w:tblCellMar>
            <w:top w:w="0" w:type="dxa"/>
            <w:bottom w:w="0" w:type="dxa"/>
          </w:tblCellMar>
        </w:tblPrEx>
        <w:trPr>
          <w:jc w:val="center"/>
        </w:trPr>
        <w:tc>
          <w:tcPr>
            <w:tcW w:w="1006"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  Total </w:t>
            </w:r>
          </w:p>
        </w:tc>
        <w:tc>
          <w:tcPr>
            <w:tcW w:w="1123"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1 013 254 </w:t>
            </w:r>
          </w:p>
        </w:tc>
        <w:tc>
          <w:tcPr>
            <w:tcW w:w="1325"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144 163 </w:t>
            </w:r>
          </w:p>
        </w:tc>
        <w:tc>
          <w:tcPr>
            <w:tcW w:w="1196" w:type="dxa"/>
          </w:tcPr>
          <w:p w:rsidR="00000000" w:rsidRDefault="00000000">
            <w:pPr>
              <w:tabs>
                <w:tab w:val="decimal" w:pos="453"/>
              </w:tabs>
              <w:autoSpaceDE w:val="0"/>
              <w:autoSpaceDN w:val="0"/>
              <w:adjustRightInd w:val="0"/>
              <w:spacing w:before="20" w:after="20"/>
              <w:rPr>
                <w:color w:val="000000"/>
                <w:sz w:val="20"/>
                <w:szCs w:val="22"/>
                <w:lang w:val="fr-FR"/>
              </w:rPr>
            </w:pPr>
            <w:r>
              <w:rPr>
                <w:color w:val="000000"/>
                <w:sz w:val="20"/>
                <w:szCs w:val="22"/>
                <w:lang w:val="fr-FR"/>
              </w:rPr>
              <w:t xml:space="preserve">14,23 </w:t>
            </w:r>
          </w:p>
        </w:tc>
        <w:tc>
          <w:tcPr>
            <w:tcW w:w="1307"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764 050 </w:t>
            </w:r>
          </w:p>
        </w:tc>
        <w:tc>
          <w:tcPr>
            <w:tcW w:w="126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90 798 </w:t>
            </w:r>
          </w:p>
        </w:tc>
        <w:tc>
          <w:tcPr>
            <w:tcW w:w="1076"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11,88  </w:t>
            </w:r>
          </w:p>
        </w:tc>
      </w:tr>
      <w:tr w:rsidR="00000000">
        <w:tblPrEx>
          <w:tblCellMar>
            <w:top w:w="0" w:type="dxa"/>
            <w:bottom w:w="0" w:type="dxa"/>
          </w:tblCellMar>
        </w:tblPrEx>
        <w:trPr>
          <w:jc w:val="center"/>
        </w:trPr>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1995/96 </w:t>
            </w: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Hommes </w:t>
            </w:r>
          </w:p>
        </w:tc>
        <w:tc>
          <w:tcPr>
            <w:tcW w:w="1123"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524 840 </w:t>
            </w:r>
          </w:p>
        </w:tc>
        <w:tc>
          <w:tcPr>
            <w:tcW w:w="1325"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72 938 </w:t>
            </w:r>
          </w:p>
        </w:tc>
        <w:tc>
          <w:tcPr>
            <w:tcW w:w="1196" w:type="dxa"/>
          </w:tcPr>
          <w:p w:rsidR="00000000" w:rsidRDefault="00000000">
            <w:pPr>
              <w:tabs>
                <w:tab w:val="decimal" w:pos="453"/>
              </w:tabs>
              <w:autoSpaceDE w:val="0"/>
              <w:autoSpaceDN w:val="0"/>
              <w:adjustRightInd w:val="0"/>
              <w:spacing w:before="20" w:after="20"/>
              <w:rPr>
                <w:color w:val="000000"/>
                <w:sz w:val="20"/>
                <w:szCs w:val="22"/>
                <w:lang w:val="fr-FR"/>
              </w:rPr>
            </w:pPr>
            <w:r>
              <w:rPr>
                <w:color w:val="000000"/>
                <w:sz w:val="20"/>
                <w:szCs w:val="22"/>
                <w:lang w:val="fr-FR"/>
              </w:rPr>
              <w:t xml:space="preserve">13,90 </w:t>
            </w:r>
          </w:p>
        </w:tc>
        <w:tc>
          <w:tcPr>
            <w:tcW w:w="1307"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399 714 </w:t>
            </w:r>
          </w:p>
        </w:tc>
        <w:tc>
          <w:tcPr>
            <w:tcW w:w="126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46 594 </w:t>
            </w:r>
          </w:p>
        </w:tc>
        <w:tc>
          <w:tcPr>
            <w:tcW w:w="1076"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11,66  </w:t>
            </w:r>
          </w:p>
        </w:tc>
      </w:tr>
      <w:tr w:rsidR="00000000">
        <w:tblPrEx>
          <w:tblCellMar>
            <w:top w:w="0" w:type="dxa"/>
            <w:bottom w:w="0" w:type="dxa"/>
          </w:tblCellMar>
        </w:tblPrEx>
        <w:trPr>
          <w:jc w:val="center"/>
        </w:trPr>
        <w:tc>
          <w:tcPr>
            <w:tcW w:w="1006"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Femmes </w:t>
            </w:r>
          </w:p>
        </w:tc>
        <w:tc>
          <w:tcPr>
            <w:tcW w:w="1123"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515 048 </w:t>
            </w:r>
          </w:p>
        </w:tc>
        <w:tc>
          <w:tcPr>
            <w:tcW w:w="1325"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73 347 </w:t>
            </w:r>
          </w:p>
        </w:tc>
        <w:tc>
          <w:tcPr>
            <w:tcW w:w="1196" w:type="dxa"/>
          </w:tcPr>
          <w:p w:rsidR="00000000" w:rsidRDefault="00000000">
            <w:pPr>
              <w:tabs>
                <w:tab w:val="decimal" w:pos="453"/>
              </w:tabs>
              <w:autoSpaceDE w:val="0"/>
              <w:autoSpaceDN w:val="0"/>
              <w:adjustRightInd w:val="0"/>
              <w:spacing w:before="20" w:after="20"/>
              <w:rPr>
                <w:color w:val="000000"/>
                <w:sz w:val="20"/>
                <w:szCs w:val="22"/>
                <w:lang w:val="fr-FR"/>
              </w:rPr>
            </w:pPr>
            <w:r>
              <w:rPr>
                <w:color w:val="000000"/>
                <w:sz w:val="20"/>
                <w:szCs w:val="22"/>
                <w:lang w:val="fr-FR"/>
              </w:rPr>
              <w:t xml:space="preserve">14,24 </w:t>
            </w:r>
          </w:p>
        </w:tc>
        <w:tc>
          <w:tcPr>
            <w:tcW w:w="1307"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372 653 </w:t>
            </w:r>
          </w:p>
        </w:tc>
        <w:tc>
          <w:tcPr>
            <w:tcW w:w="126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44 067 </w:t>
            </w:r>
          </w:p>
        </w:tc>
        <w:tc>
          <w:tcPr>
            <w:tcW w:w="1076"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11,83  </w:t>
            </w:r>
          </w:p>
        </w:tc>
      </w:tr>
      <w:tr w:rsidR="00000000">
        <w:tblPrEx>
          <w:tblCellMar>
            <w:top w:w="0" w:type="dxa"/>
            <w:bottom w:w="0" w:type="dxa"/>
          </w:tblCellMar>
        </w:tblPrEx>
        <w:trPr>
          <w:jc w:val="center"/>
        </w:trPr>
        <w:tc>
          <w:tcPr>
            <w:tcW w:w="1006"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  Total </w:t>
            </w:r>
          </w:p>
        </w:tc>
        <w:tc>
          <w:tcPr>
            <w:tcW w:w="1123"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1 039 888 </w:t>
            </w:r>
          </w:p>
        </w:tc>
        <w:tc>
          <w:tcPr>
            <w:tcW w:w="1325"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146 258 </w:t>
            </w:r>
          </w:p>
        </w:tc>
        <w:tc>
          <w:tcPr>
            <w:tcW w:w="1196" w:type="dxa"/>
          </w:tcPr>
          <w:p w:rsidR="00000000" w:rsidRDefault="00000000">
            <w:pPr>
              <w:tabs>
                <w:tab w:val="decimal" w:pos="453"/>
              </w:tabs>
              <w:autoSpaceDE w:val="0"/>
              <w:autoSpaceDN w:val="0"/>
              <w:adjustRightInd w:val="0"/>
              <w:spacing w:before="20" w:after="20"/>
              <w:rPr>
                <w:color w:val="000000"/>
                <w:sz w:val="20"/>
                <w:szCs w:val="22"/>
                <w:lang w:val="fr-FR"/>
              </w:rPr>
            </w:pPr>
            <w:r>
              <w:rPr>
                <w:color w:val="000000"/>
                <w:sz w:val="20"/>
                <w:szCs w:val="22"/>
                <w:lang w:val="fr-FR"/>
              </w:rPr>
              <w:t xml:space="preserve">14,07 </w:t>
            </w:r>
          </w:p>
        </w:tc>
        <w:tc>
          <w:tcPr>
            <w:tcW w:w="1307"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772 367 </w:t>
            </w:r>
          </w:p>
        </w:tc>
        <w:tc>
          <w:tcPr>
            <w:tcW w:w="126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90 661 </w:t>
            </w:r>
          </w:p>
        </w:tc>
        <w:tc>
          <w:tcPr>
            <w:tcW w:w="1076"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11,74  </w:t>
            </w:r>
          </w:p>
        </w:tc>
      </w:tr>
      <w:tr w:rsidR="00000000">
        <w:tblPrEx>
          <w:tblCellMar>
            <w:top w:w="0" w:type="dxa"/>
            <w:bottom w:w="0" w:type="dxa"/>
          </w:tblCellMar>
        </w:tblPrEx>
        <w:trPr>
          <w:jc w:val="center"/>
        </w:trPr>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1996/97 </w:t>
            </w: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Hommes </w:t>
            </w:r>
          </w:p>
        </w:tc>
        <w:tc>
          <w:tcPr>
            <w:tcW w:w="1123"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548 810 </w:t>
            </w:r>
          </w:p>
        </w:tc>
        <w:tc>
          <w:tcPr>
            <w:tcW w:w="1325"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76 832 </w:t>
            </w:r>
          </w:p>
        </w:tc>
        <w:tc>
          <w:tcPr>
            <w:tcW w:w="1196" w:type="dxa"/>
          </w:tcPr>
          <w:p w:rsidR="00000000" w:rsidRDefault="00000000">
            <w:pPr>
              <w:tabs>
                <w:tab w:val="decimal" w:pos="453"/>
              </w:tabs>
              <w:autoSpaceDE w:val="0"/>
              <w:autoSpaceDN w:val="0"/>
              <w:adjustRightInd w:val="0"/>
              <w:spacing w:before="20" w:after="20"/>
              <w:rPr>
                <w:color w:val="000000"/>
                <w:sz w:val="20"/>
                <w:szCs w:val="22"/>
                <w:lang w:val="fr-FR"/>
              </w:rPr>
            </w:pPr>
            <w:r>
              <w:rPr>
                <w:color w:val="000000"/>
                <w:sz w:val="20"/>
                <w:szCs w:val="22"/>
                <w:lang w:val="fr-FR"/>
              </w:rPr>
              <w:t xml:space="preserve">14,00 </w:t>
            </w:r>
          </w:p>
        </w:tc>
        <w:tc>
          <w:tcPr>
            <w:tcW w:w="1307"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414 801 </w:t>
            </w:r>
          </w:p>
        </w:tc>
        <w:tc>
          <w:tcPr>
            <w:tcW w:w="126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49 240 </w:t>
            </w:r>
          </w:p>
        </w:tc>
        <w:tc>
          <w:tcPr>
            <w:tcW w:w="1076"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11,87  </w:t>
            </w:r>
          </w:p>
        </w:tc>
      </w:tr>
      <w:tr w:rsidR="00000000">
        <w:tblPrEx>
          <w:tblCellMar>
            <w:top w:w="0" w:type="dxa"/>
            <w:bottom w:w="0" w:type="dxa"/>
          </w:tblCellMar>
        </w:tblPrEx>
        <w:trPr>
          <w:jc w:val="center"/>
        </w:trPr>
        <w:tc>
          <w:tcPr>
            <w:tcW w:w="1006"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Femmes </w:t>
            </w:r>
          </w:p>
        </w:tc>
        <w:tc>
          <w:tcPr>
            <w:tcW w:w="1123"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537 425 </w:t>
            </w:r>
          </w:p>
        </w:tc>
        <w:tc>
          <w:tcPr>
            <w:tcW w:w="1325"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77 149 </w:t>
            </w:r>
          </w:p>
        </w:tc>
        <w:tc>
          <w:tcPr>
            <w:tcW w:w="1196" w:type="dxa"/>
          </w:tcPr>
          <w:p w:rsidR="00000000" w:rsidRDefault="00000000">
            <w:pPr>
              <w:tabs>
                <w:tab w:val="decimal" w:pos="453"/>
              </w:tabs>
              <w:autoSpaceDE w:val="0"/>
              <w:autoSpaceDN w:val="0"/>
              <w:adjustRightInd w:val="0"/>
              <w:spacing w:before="20" w:after="20"/>
              <w:rPr>
                <w:color w:val="000000"/>
                <w:sz w:val="20"/>
                <w:szCs w:val="22"/>
                <w:lang w:val="fr-FR"/>
              </w:rPr>
            </w:pPr>
            <w:r>
              <w:rPr>
                <w:color w:val="000000"/>
                <w:sz w:val="20"/>
                <w:szCs w:val="22"/>
                <w:lang w:val="fr-FR"/>
              </w:rPr>
              <w:t xml:space="preserve">14,36 </w:t>
            </w:r>
          </w:p>
        </w:tc>
        <w:tc>
          <w:tcPr>
            <w:tcW w:w="1307"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387 136 </w:t>
            </w:r>
          </w:p>
        </w:tc>
        <w:tc>
          <w:tcPr>
            <w:tcW w:w="126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46 047 </w:t>
            </w:r>
          </w:p>
        </w:tc>
        <w:tc>
          <w:tcPr>
            <w:tcW w:w="1076"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11,89  </w:t>
            </w:r>
          </w:p>
        </w:tc>
      </w:tr>
      <w:tr w:rsidR="00000000">
        <w:tblPrEx>
          <w:tblCellMar>
            <w:top w:w="0" w:type="dxa"/>
            <w:bottom w:w="0" w:type="dxa"/>
          </w:tblCellMar>
        </w:tblPrEx>
        <w:trPr>
          <w:jc w:val="center"/>
        </w:trPr>
        <w:tc>
          <w:tcPr>
            <w:tcW w:w="1006"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  Total </w:t>
            </w:r>
          </w:p>
        </w:tc>
        <w:tc>
          <w:tcPr>
            <w:tcW w:w="1123"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1 086 235 </w:t>
            </w:r>
          </w:p>
        </w:tc>
        <w:tc>
          <w:tcPr>
            <w:tcW w:w="1325"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153 981 </w:t>
            </w:r>
          </w:p>
        </w:tc>
        <w:tc>
          <w:tcPr>
            <w:tcW w:w="1196" w:type="dxa"/>
          </w:tcPr>
          <w:p w:rsidR="00000000" w:rsidRDefault="00000000">
            <w:pPr>
              <w:tabs>
                <w:tab w:val="decimal" w:pos="453"/>
              </w:tabs>
              <w:autoSpaceDE w:val="0"/>
              <w:autoSpaceDN w:val="0"/>
              <w:adjustRightInd w:val="0"/>
              <w:spacing w:before="20" w:after="20"/>
              <w:rPr>
                <w:color w:val="000000"/>
                <w:sz w:val="20"/>
                <w:szCs w:val="22"/>
                <w:lang w:val="fr-FR"/>
              </w:rPr>
            </w:pPr>
            <w:r>
              <w:rPr>
                <w:color w:val="000000"/>
                <w:sz w:val="20"/>
                <w:szCs w:val="22"/>
                <w:lang w:val="fr-FR"/>
              </w:rPr>
              <w:t xml:space="preserve">14,18 </w:t>
            </w:r>
          </w:p>
        </w:tc>
        <w:tc>
          <w:tcPr>
            <w:tcW w:w="1307"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801 937 </w:t>
            </w:r>
          </w:p>
        </w:tc>
        <w:tc>
          <w:tcPr>
            <w:tcW w:w="126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95 287 </w:t>
            </w:r>
          </w:p>
        </w:tc>
        <w:tc>
          <w:tcPr>
            <w:tcW w:w="1076"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11,88  </w:t>
            </w:r>
          </w:p>
        </w:tc>
      </w:tr>
      <w:tr w:rsidR="00000000">
        <w:tblPrEx>
          <w:tblCellMar>
            <w:top w:w="0" w:type="dxa"/>
            <w:bottom w:w="0" w:type="dxa"/>
          </w:tblCellMar>
        </w:tblPrEx>
        <w:trPr>
          <w:jc w:val="center"/>
        </w:trPr>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1997/98 </w:t>
            </w: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Hommes </w:t>
            </w:r>
          </w:p>
        </w:tc>
        <w:tc>
          <w:tcPr>
            <w:tcW w:w="1123"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553 101 </w:t>
            </w:r>
          </w:p>
        </w:tc>
        <w:tc>
          <w:tcPr>
            <w:tcW w:w="1325"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77 703 </w:t>
            </w:r>
          </w:p>
        </w:tc>
        <w:tc>
          <w:tcPr>
            <w:tcW w:w="1196" w:type="dxa"/>
          </w:tcPr>
          <w:p w:rsidR="00000000" w:rsidRDefault="00000000">
            <w:pPr>
              <w:tabs>
                <w:tab w:val="decimal" w:pos="453"/>
              </w:tabs>
              <w:autoSpaceDE w:val="0"/>
              <w:autoSpaceDN w:val="0"/>
              <w:adjustRightInd w:val="0"/>
              <w:spacing w:before="20" w:after="20"/>
              <w:rPr>
                <w:color w:val="000000"/>
                <w:sz w:val="20"/>
                <w:szCs w:val="22"/>
                <w:lang w:val="fr-FR"/>
              </w:rPr>
            </w:pPr>
            <w:r>
              <w:rPr>
                <w:color w:val="000000"/>
                <w:sz w:val="20"/>
                <w:szCs w:val="22"/>
                <w:lang w:val="fr-FR"/>
              </w:rPr>
              <w:t xml:space="preserve">14,05 </w:t>
            </w:r>
          </w:p>
        </w:tc>
        <w:tc>
          <w:tcPr>
            <w:tcW w:w="1307"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406 000 </w:t>
            </w:r>
          </w:p>
        </w:tc>
        <w:tc>
          <w:tcPr>
            <w:tcW w:w="126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48 973 </w:t>
            </w:r>
          </w:p>
        </w:tc>
        <w:tc>
          <w:tcPr>
            <w:tcW w:w="1076"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12,06  </w:t>
            </w:r>
          </w:p>
        </w:tc>
      </w:tr>
      <w:tr w:rsidR="00000000">
        <w:tblPrEx>
          <w:tblCellMar>
            <w:top w:w="0" w:type="dxa"/>
            <w:bottom w:w="0" w:type="dxa"/>
          </w:tblCellMar>
        </w:tblPrEx>
        <w:trPr>
          <w:jc w:val="center"/>
        </w:trPr>
        <w:tc>
          <w:tcPr>
            <w:tcW w:w="1006"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Femmes </w:t>
            </w:r>
          </w:p>
        </w:tc>
        <w:tc>
          <w:tcPr>
            <w:tcW w:w="1123"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544 943 </w:t>
            </w:r>
          </w:p>
        </w:tc>
        <w:tc>
          <w:tcPr>
            <w:tcW w:w="1325"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79 208 </w:t>
            </w:r>
          </w:p>
        </w:tc>
        <w:tc>
          <w:tcPr>
            <w:tcW w:w="1196" w:type="dxa"/>
          </w:tcPr>
          <w:p w:rsidR="00000000" w:rsidRDefault="00000000">
            <w:pPr>
              <w:tabs>
                <w:tab w:val="decimal" w:pos="453"/>
              </w:tabs>
              <w:autoSpaceDE w:val="0"/>
              <w:autoSpaceDN w:val="0"/>
              <w:adjustRightInd w:val="0"/>
              <w:spacing w:before="20" w:after="20"/>
              <w:rPr>
                <w:color w:val="000000"/>
                <w:sz w:val="20"/>
                <w:szCs w:val="22"/>
                <w:lang w:val="fr-FR"/>
              </w:rPr>
            </w:pPr>
            <w:r>
              <w:rPr>
                <w:color w:val="000000"/>
                <w:sz w:val="20"/>
                <w:szCs w:val="22"/>
                <w:lang w:val="fr-FR"/>
              </w:rPr>
              <w:t xml:space="preserve">14,54 </w:t>
            </w:r>
          </w:p>
        </w:tc>
        <w:tc>
          <w:tcPr>
            <w:tcW w:w="1307"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378 901 </w:t>
            </w:r>
          </w:p>
        </w:tc>
        <w:tc>
          <w:tcPr>
            <w:tcW w:w="126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46 495 </w:t>
            </w:r>
          </w:p>
        </w:tc>
        <w:tc>
          <w:tcPr>
            <w:tcW w:w="1076"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12,27  </w:t>
            </w:r>
          </w:p>
        </w:tc>
      </w:tr>
      <w:tr w:rsidR="00000000">
        <w:tblPrEx>
          <w:tblCellMar>
            <w:top w:w="0" w:type="dxa"/>
            <w:bottom w:w="0" w:type="dxa"/>
          </w:tblCellMar>
        </w:tblPrEx>
        <w:trPr>
          <w:jc w:val="center"/>
        </w:trPr>
        <w:tc>
          <w:tcPr>
            <w:tcW w:w="1006" w:type="dxa"/>
          </w:tcPr>
          <w:p w:rsidR="00000000" w:rsidRDefault="00000000">
            <w:pPr>
              <w:autoSpaceDE w:val="0"/>
              <w:autoSpaceDN w:val="0"/>
              <w:adjustRightInd w:val="0"/>
              <w:spacing w:before="20" w:after="20"/>
              <w:rPr>
                <w:color w:val="000000"/>
                <w:sz w:val="20"/>
                <w:szCs w:val="22"/>
                <w:lang w:val="fr-FR"/>
              </w:rPr>
            </w:pPr>
          </w:p>
        </w:tc>
        <w:tc>
          <w:tcPr>
            <w:tcW w:w="1006" w:type="dxa"/>
          </w:tcPr>
          <w:p w:rsidR="00000000" w:rsidRDefault="00000000">
            <w:pPr>
              <w:autoSpaceDE w:val="0"/>
              <w:autoSpaceDN w:val="0"/>
              <w:adjustRightInd w:val="0"/>
              <w:spacing w:before="20" w:after="20"/>
              <w:rPr>
                <w:color w:val="000000"/>
                <w:sz w:val="20"/>
                <w:szCs w:val="22"/>
                <w:lang w:val="fr-FR"/>
              </w:rPr>
            </w:pPr>
            <w:r>
              <w:rPr>
                <w:color w:val="000000"/>
                <w:sz w:val="20"/>
                <w:szCs w:val="22"/>
                <w:lang w:val="fr-FR"/>
              </w:rPr>
              <w:t xml:space="preserve">  Total </w:t>
            </w:r>
          </w:p>
        </w:tc>
        <w:tc>
          <w:tcPr>
            <w:tcW w:w="1123"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1 098 044 </w:t>
            </w:r>
          </w:p>
        </w:tc>
        <w:tc>
          <w:tcPr>
            <w:tcW w:w="1325" w:type="dxa"/>
          </w:tcPr>
          <w:p w:rsidR="00000000" w:rsidRDefault="00000000">
            <w:pPr>
              <w:autoSpaceDE w:val="0"/>
              <w:autoSpaceDN w:val="0"/>
              <w:adjustRightInd w:val="0"/>
              <w:spacing w:before="20" w:after="20"/>
              <w:ind w:right="163"/>
              <w:jc w:val="right"/>
              <w:rPr>
                <w:color w:val="000000"/>
                <w:sz w:val="20"/>
                <w:szCs w:val="22"/>
                <w:lang w:val="fr-FR"/>
              </w:rPr>
            </w:pPr>
            <w:r>
              <w:rPr>
                <w:color w:val="000000"/>
                <w:sz w:val="20"/>
                <w:szCs w:val="22"/>
                <w:lang w:val="fr-FR"/>
              </w:rPr>
              <w:t xml:space="preserve">156 911 </w:t>
            </w:r>
          </w:p>
        </w:tc>
        <w:tc>
          <w:tcPr>
            <w:tcW w:w="1196" w:type="dxa"/>
          </w:tcPr>
          <w:p w:rsidR="00000000" w:rsidRDefault="00000000">
            <w:pPr>
              <w:tabs>
                <w:tab w:val="decimal" w:pos="453"/>
              </w:tabs>
              <w:autoSpaceDE w:val="0"/>
              <w:autoSpaceDN w:val="0"/>
              <w:adjustRightInd w:val="0"/>
              <w:spacing w:before="20" w:after="20"/>
              <w:rPr>
                <w:color w:val="000000"/>
                <w:sz w:val="20"/>
                <w:szCs w:val="22"/>
                <w:lang w:val="fr-FR"/>
              </w:rPr>
            </w:pPr>
            <w:r>
              <w:rPr>
                <w:color w:val="000000"/>
                <w:sz w:val="20"/>
                <w:szCs w:val="22"/>
                <w:lang w:val="fr-FR"/>
              </w:rPr>
              <w:t xml:space="preserve">14,29 </w:t>
            </w:r>
          </w:p>
        </w:tc>
        <w:tc>
          <w:tcPr>
            <w:tcW w:w="1307"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784 901 </w:t>
            </w:r>
          </w:p>
        </w:tc>
        <w:tc>
          <w:tcPr>
            <w:tcW w:w="1260" w:type="dxa"/>
          </w:tcPr>
          <w:p w:rsidR="00000000" w:rsidRDefault="00000000">
            <w:pPr>
              <w:autoSpaceDE w:val="0"/>
              <w:autoSpaceDN w:val="0"/>
              <w:adjustRightInd w:val="0"/>
              <w:spacing w:before="20" w:after="20"/>
              <w:ind w:right="290"/>
              <w:jc w:val="right"/>
              <w:rPr>
                <w:color w:val="000000"/>
                <w:sz w:val="20"/>
                <w:szCs w:val="22"/>
                <w:lang w:val="fr-FR"/>
              </w:rPr>
            </w:pPr>
            <w:r>
              <w:rPr>
                <w:color w:val="000000"/>
                <w:sz w:val="20"/>
                <w:szCs w:val="22"/>
                <w:lang w:val="fr-FR"/>
              </w:rPr>
              <w:t xml:space="preserve">95 468 </w:t>
            </w:r>
          </w:p>
        </w:tc>
        <w:tc>
          <w:tcPr>
            <w:tcW w:w="1076" w:type="dxa"/>
          </w:tcPr>
          <w:p w:rsidR="00000000" w:rsidRDefault="00000000">
            <w:pPr>
              <w:tabs>
                <w:tab w:val="decimal" w:pos="470"/>
              </w:tabs>
              <w:autoSpaceDE w:val="0"/>
              <w:autoSpaceDN w:val="0"/>
              <w:adjustRightInd w:val="0"/>
              <w:spacing w:before="20" w:after="20"/>
              <w:rPr>
                <w:color w:val="000000"/>
                <w:sz w:val="20"/>
                <w:szCs w:val="22"/>
                <w:lang w:val="fr-FR"/>
              </w:rPr>
            </w:pPr>
            <w:r>
              <w:rPr>
                <w:color w:val="000000"/>
                <w:sz w:val="20"/>
                <w:szCs w:val="22"/>
                <w:lang w:val="fr-FR"/>
              </w:rPr>
              <w:t xml:space="preserve">12,16  </w:t>
            </w:r>
          </w:p>
        </w:tc>
      </w:tr>
    </w:tbl>
    <w:p w:rsidR="00000000" w:rsidRDefault="00000000">
      <w:pPr>
        <w:autoSpaceDE w:val="0"/>
        <w:autoSpaceDN w:val="0"/>
        <w:adjustRightInd w:val="0"/>
        <w:spacing w:before="40"/>
        <w:ind w:left="567"/>
        <w:rPr>
          <w:color w:val="000000"/>
          <w:sz w:val="18"/>
          <w:szCs w:val="22"/>
          <w:lang w:val="fr-FR"/>
        </w:rPr>
      </w:pPr>
      <w:r>
        <w:rPr>
          <w:i/>
          <w:iCs/>
          <w:color w:val="000000"/>
          <w:sz w:val="18"/>
          <w:szCs w:val="22"/>
          <w:lang w:val="fr-FR"/>
        </w:rPr>
        <w:t>Source :</w:t>
      </w:r>
      <w:r>
        <w:rPr>
          <w:color w:val="000000"/>
          <w:sz w:val="18"/>
          <w:szCs w:val="22"/>
          <w:lang w:val="fr-FR"/>
        </w:rPr>
        <w:t xml:space="preserve"> Système national de statistiques éducatives de l'Équateur (SINEC ).  </w:t>
      </w:r>
    </w:p>
    <w:p w:rsidR="00000000" w:rsidRDefault="00000000">
      <w:pPr>
        <w:autoSpaceDE w:val="0"/>
        <w:autoSpaceDN w:val="0"/>
        <w:adjustRightInd w:val="0"/>
        <w:spacing w:after="20"/>
        <w:ind w:left="567"/>
        <w:rPr>
          <w:color w:val="000000"/>
          <w:sz w:val="18"/>
          <w:szCs w:val="22"/>
          <w:lang w:val="fr-FR"/>
        </w:rPr>
      </w:pPr>
      <w:r>
        <w:rPr>
          <w:i/>
          <w:iCs/>
          <w:color w:val="000000"/>
          <w:sz w:val="18"/>
          <w:szCs w:val="22"/>
          <w:lang w:val="fr-FR"/>
        </w:rPr>
        <w:t>Note :</w:t>
      </w:r>
      <w:r>
        <w:rPr>
          <w:color w:val="000000"/>
          <w:sz w:val="18"/>
          <w:szCs w:val="22"/>
          <w:lang w:val="fr-FR"/>
        </w:rPr>
        <w:t xml:space="preserve"> Élaboration : Équipe statistique du Ministère l'éducation et de la culture.  </w:t>
      </w:r>
    </w:p>
    <w:p w:rsidR="00000000" w:rsidRDefault="00000000">
      <w:pPr>
        <w:autoSpaceDE w:val="0"/>
        <w:autoSpaceDN w:val="0"/>
        <w:adjustRightInd w:val="0"/>
        <w:spacing w:after="20"/>
        <w:ind w:left="567"/>
        <w:rPr>
          <w:color w:val="000000"/>
          <w:sz w:val="18"/>
          <w:szCs w:val="22"/>
          <w:lang w:val="fr-FR"/>
        </w:rPr>
      </w:pPr>
      <w:r>
        <w:rPr>
          <w:color w:val="000000"/>
          <w:sz w:val="18"/>
          <w:szCs w:val="22"/>
          <w:lang w:val="fr-FR"/>
        </w:rPr>
        <w:t xml:space="preserve">* Élèves promus de la sixième classe.  </w:t>
      </w:r>
    </w:p>
    <w:p w:rsidR="00000000" w:rsidRDefault="00000000">
      <w:pPr>
        <w:autoSpaceDE w:val="0"/>
        <w:autoSpaceDN w:val="0"/>
        <w:adjustRightInd w:val="0"/>
        <w:spacing w:after="120"/>
        <w:jc w:val="center"/>
        <w:rPr>
          <w:b/>
          <w:bCs/>
          <w:color w:val="000000"/>
          <w:sz w:val="20"/>
          <w:szCs w:val="22"/>
          <w:lang w:val="fr-FR"/>
        </w:rPr>
      </w:pPr>
      <w:r>
        <w:rPr>
          <w:b/>
          <w:bCs/>
          <w:color w:val="000000"/>
          <w:sz w:val="20"/>
          <w:szCs w:val="22"/>
          <w:lang w:val="fr-FR"/>
        </w:rPr>
        <w:t xml:space="preserve">Élèves promus des trois niveaux de l'enseignement régulier, par secteur, selon l’année scolaire et le sexe  </w:t>
      </w:r>
    </w:p>
    <w:tbl>
      <w:tblPr>
        <w:tblW w:w="9299" w:type="dxa"/>
        <w:jc w:val="center"/>
        <w:tblInd w:w="70" w:type="dxa"/>
        <w:tblBorders>
          <w:top w:val="single" w:sz="6" w:space="0" w:color="auto"/>
          <w:bottom w:val="single" w:sz="6" w:space="0" w:color="auto"/>
        </w:tblBorders>
        <w:tblLayout w:type="fixed"/>
        <w:tblCellMar>
          <w:left w:w="70" w:type="dxa"/>
          <w:right w:w="70" w:type="dxa"/>
        </w:tblCellMar>
        <w:tblLook w:val="0000" w:firstRow="0" w:lastRow="0" w:firstColumn="0" w:lastColumn="0" w:noHBand="0" w:noVBand="0"/>
      </w:tblPr>
      <w:tblGrid>
        <w:gridCol w:w="1007"/>
        <w:gridCol w:w="1006"/>
        <w:gridCol w:w="1350"/>
        <w:gridCol w:w="1097"/>
        <w:gridCol w:w="1196"/>
        <w:gridCol w:w="1307"/>
        <w:gridCol w:w="1140"/>
        <w:gridCol w:w="1196"/>
      </w:tblGrid>
      <w:tr w:rsidR="00000000">
        <w:tblPrEx>
          <w:tblCellMar>
            <w:top w:w="0" w:type="dxa"/>
            <w:bottom w:w="0" w:type="dxa"/>
          </w:tblCellMar>
        </w:tblPrEx>
        <w:trPr>
          <w:cantSplit/>
          <w:jc w:val="center"/>
        </w:trPr>
        <w:tc>
          <w:tcPr>
            <w:tcW w:w="1007" w:type="dxa"/>
            <w:vMerge w:val="restart"/>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Année scolaire</w:t>
            </w:r>
          </w:p>
        </w:tc>
        <w:tc>
          <w:tcPr>
            <w:tcW w:w="8292" w:type="dxa"/>
            <w:gridSpan w:val="7"/>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Cycle de base</w:t>
            </w:r>
          </w:p>
        </w:tc>
      </w:tr>
      <w:tr w:rsidR="00000000">
        <w:tblPrEx>
          <w:tblCellMar>
            <w:top w:w="0" w:type="dxa"/>
            <w:bottom w:w="0" w:type="dxa"/>
          </w:tblCellMar>
        </w:tblPrEx>
        <w:trPr>
          <w:cantSplit/>
          <w:jc w:val="center"/>
        </w:trPr>
        <w:tc>
          <w:tcPr>
            <w:tcW w:w="1007" w:type="dxa"/>
            <w:vMerge/>
            <w:vAlign w:val="center"/>
          </w:tcPr>
          <w:p w:rsidR="00000000" w:rsidRDefault="00000000">
            <w:pPr>
              <w:autoSpaceDE w:val="0"/>
              <w:autoSpaceDN w:val="0"/>
              <w:adjustRightInd w:val="0"/>
              <w:spacing w:before="60" w:after="60"/>
              <w:jc w:val="center"/>
              <w:rPr>
                <w:b/>
                <w:bCs/>
                <w:i/>
                <w:iCs/>
                <w:color w:val="000000"/>
                <w:sz w:val="20"/>
                <w:szCs w:val="22"/>
                <w:lang w:val="fr-FR"/>
              </w:rPr>
            </w:pPr>
          </w:p>
        </w:tc>
        <w:tc>
          <w:tcPr>
            <w:tcW w:w="1006"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Sexe</w:t>
            </w:r>
          </w:p>
        </w:tc>
        <w:tc>
          <w:tcPr>
            <w:tcW w:w="1350"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Immatricula-tions nettes – secteur urbain</w:t>
            </w:r>
          </w:p>
        </w:tc>
        <w:tc>
          <w:tcPr>
            <w:tcW w:w="1097"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Diplômés -  secteur urbain*</w:t>
            </w:r>
          </w:p>
        </w:tc>
        <w:tc>
          <w:tcPr>
            <w:tcW w:w="1196"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Pourcentage</w:t>
            </w:r>
          </w:p>
        </w:tc>
        <w:tc>
          <w:tcPr>
            <w:tcW w:w="1307"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Immatricula-tions nettes – secteur rural</w:t>
            </w:r>
          </w:p>
        </w:tc>
        <w:tc>
          <w:tcPr>
            <w:tcW w:w="1140"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Diplômés -  secteur rural</w:t>
            </w:r>
          </w:p>
        </w:tc>
        <w:tc>
          <w:tcPr>
            <w:tcW w:w="1196"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Pourcentage</w:t>
            </w:r>
          </w:p>
        </w:tc>
      </w:tr>
      <w:tr w:rsidR="00000000">
        <w:tblPrEx>
          <w:tblCellMar>
            <w:top w:w="0" w:type="dxa"/>
            <w:bottom w:w="0" w:type="dxa"/>
          </w:tblCellMar>
        </w:tblPrEx>
        <w:trPr>
          <w:jc w:val="center"/>
        </w:trPr>
        <w:tc>
          <w:tcPr>
            <w:tcW w:w="1007"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1993/94 </w:t>
            </w:r>
          </w:p>
        </w:tc>
        <w:tc>
          <w:tcPr>
            <w:tcW w:w="1006" w:type="dxa"/>
            <w:tcBorders>
              <w:top w:val="single" w:sz="6" w:space="0" w:color="auto"/>
            </w:tcBorders>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Hommes </w:t>
            </w:r>
          </w:p>
        </w:tc>
        <w:tc>
          <w:tcPr>
            <w:tcW w:w="1350" w:type="dxa"/>
            <w:tcBorders>
              <w:top w:val="single" w:sz="6" w:space="0" w:color="auto"/>
            </w:tcBorders>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187 190 </w:t>
            </w:r>
          </w:p>
        </w:tc>
        <w:tc>
          <w:tcPr>
            <w:tcW w:w="1097" w:type="dxa"/>
            <w:tcBorders>
              <w:top w:val="single" w:sz="6" w:space="0" w:color="auto"/>
            </w:tcBorders>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43 291 </w:t>
            </w:r>
          </w:p>
        </w:tc>
        <w:tc>
          <w:tcPr>
            <w:tcW w:w="1196" w:type="dxa"/>
            <w:tcBorders>
              <w:top w:val="single" w:sz="6" w:space="0" w:color="auto"/>
            </w:tcBorders>
          </w:tcPr>
          <w:p w:rsidR="00000000" w:rsidRDefault="00000000">
            <w:pPr>
              <w:tabs>
                <w:tab w:val="decimal" w:pos="453"/>
              </w:tabs>
              <w:autoSpaceDE w:val="0"/>
              <w:autoSpaceDN w:val="0"/>
              <w:adjustRightInd w:val="0"/>
              <w:spacing w:before="40" w:after="20"/>
              <w:rPr>
                <w:color w:val="000000"/>
                <w:sz w:val="20"/>
                <w:szCs w:val="22"/>
                <w:lang w:val="fr-FR"/>
              </w:rPr>
            </w:pPr>
            <w:r>
              <w:rPr>
                <w:color w:val="000000"/>
                <w:sz w:val="20"/>
                <w:szCs w:val="22"/>
                <w:lang w:val="fr-FR"/>
              </w:rPr>
              <w:t xml:space="preserve">23,13 </w:t>
            </w:r>
          </w:p>
        </w:tc>
        <w:tc>
          <w:tcPr>
            <w:tcW w:w="1307" w:type="dxa"/>
            <w:tcBorders>
              <w:top w:val="single" w:sz="6" w:space="0" w:color="auto"/>
            </w:tcBorders>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36 075 </w:t>
            </w:r>
          </w:p>
        </w:tc>
        <w:tc>
          <w:tcPr>
            <w:tcW w:w="1140" w:type="dxa"/>
            <w:tcBorders>
              <w:top w:val="single" w:sz="6" w:space="0" w:color="auto"/>
            </w:tcBorders>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8 033 </w:t>
            </w:r>
          </w:p>
        </w:tc>
        <w:tc>
          <w:tcPr>
            <w:tcW w:w="1196" w:type="dxa"/>
            <w:tcBorders>
              <w:top w:val="single" w:sz="6" w:space="0" w:color="auto"/>
            </w:tcBorders>
          </w:tcPr>
          <w:p w:rsidR="00000000" w:rsidRDefault="00000000">
            <w:pPr>
              <w:tabs>
                <w:tab w:val="decimal" w:pos="410"/>
              </w:tabs>
              <w:autoSpaceDE w:val="0"/>
              <w:autoSpaceDN w:val="0"/>
              <w:adjustRightInd w:val="0"/>
              <w:spacing w:before="40" w:after="20"/>
              <w:rPr>
                <w:color w:val="000000"/>
                <w:sz w:val="20"/>
                <w:szCs w:val="22"/>
                <w:lang w:val="fr-FR"/>
              </w:rPr>
            </w:pPr>
            <w:r>
              <w:rPr>
                <w:color w:val="000000"/>
                <w:sz w:val="20"/>
                <w:szCs w:val="22"/>
                <w:lang w:val="fr-FR"/>
              </w:rPr>
              <w:t xml:space="preserve">22,27  </w:t>
            </w:r>
          </w:p>
        </w:tc>
      </w:tr>
      <w:tr w:rsidR="00000000">
        <w:tblPrEx>
          <w:tblCellMar>
            <w:top w:w="0" w:type="dxa"/>
            <w:bottom w:w="0" w:type="dxa"/>
          </w:tblCellMar>
        </w:tblPrEx>
        <w:trPr>
          <w:jc w:val="center"/>
        </w:trPr>
        <w:tc>
          <w:tcPr>
            <w:tcW w:w="1007" w:type="dxa"/>
          </w:tcPr>
          <w:p w:rsidR="00000000" w:rsidRDefault="00000000">
            <w:pPr>
              <w:autoSpaceDE w:val="0"/>
              <w:autoSpaceDN w:val="0"/>
              <w:adjustRightInd w:val="0"/>
              <w:spacing w:before="40" w:after="20"/>
              <w:rPr>
                <w:color w:val="000000"/>
                <w:sz w:val="20"/>
                <w:szCs w:val="22"/>
                <w:lang w:val="fr-FR"/>
              </w:rPr>
            </w:pPr>
          </w:p>
        </w:tc>
        <w:tc>
          <w:tcPr>
            <w:tcW w:w="1006"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Femmes </w:t>
            </w:r>
          </w:p>
        </w:tc>
        <w:tc>
          <w:tcPr>
            <w:tcW w:w="135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181 105 </w:t>
            </w:r>
          </w:p>
        </w:tc>
        <w:tc>
          <w:tcPr>
            <w:tcW w:w="109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47 201 </w:t>
            </w:r>
          </w:p>
        </w:tc>
        <w:tc>
          <w:tcPr>
            <w:tcW w:w="1196" w:type="dxa"/>
          </w:tcPr>
          <w:p w:rsidR="00000000" w:rsidRDefault="00000000">
            <w:pPr>
              <w:tabs>
                <w:tab w:val="decimal" w:pos="453"/>
              </w:tabs>
              <w:autoSpaceDE w:val="0"/>
              <w:autoSpaceDN w:val="0"/>
              <w:adjustRightInd w:val="0"/>
              <w:spacing w:before="40" w:after="20"/>
              <w:rPr>
                <w:color w:val="000000"/>
                <w:sz w:val="20"/>
                <w:szCs w:val="22"/>
                <w:lang w:val="fr-FR"/>
              </w:rPr>
            </w:pPr>
            <w:r>
              <w:rPr>
                <w:color w:val="000000"/>
                <w:sz w:val="20"/>
                <w:szCs w:val="22"/>
                <w:lang w:val="fr-FR"/>
              </w:rPr>
              <w:t xml:space="preserve">26,06 </w:t>
            </w:r>
          </w:p>
        </w:tc>
        <w:tc>
          <w:tcPr>
            <w:tcW w:w="130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26 288 </w:t>
            </w:r>
          </w:p>
        </w:tc>
        <w:tc>
          <w:tcPr>
            <w:tcW w:w="114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6 411 </w:t>
            </w:r>
          </w:p>
        </w:tc>
        <w:tc>
          <w:tcPr>
            <w:tcW w:w="1196" w:type="dxa"/>
          </w:tcPr>
          <w:p w:rsidR="00000000" w:rsidRDefault="00000000">
            <w:pPr>
              <w:tabs>
                <w:tab w:val="decimal" w:pos="410"/>
              </w:tabs>
              <w:autoSpaceDE w:val="0"/>
              <w:autoSpaceDN w:val="0"/>
              <w:adjustRightInd w:val="0"/>
              <w:spacing w:before="40" w:after="20"/>
              <w:rPr>
                <w:color w:val="000000"/>
                <w:sz w:val="20"/>
                <w:szCs w:val="22"/>
                <w:lang w:val="fr-FR"/>
              </w:rPr>
            </w:pPr>
            <w:r>
              <w:rPr>
                <w:color w:val="000000"/>
                <w:sz w:val="20"/>
                <w:szCs w:val="22"/>
                <w:lang w:val="fr-FR"/>
              </w:rPr>
              <w:t xml:space="preserve">24,39  </w:t>
            </w:r>
          </w:p>
        </w:tc>
      </w:tr>
      <w:tr w:rsidR="00000000">
        <w:tblPrEx>
          <w:tblCellMar>
            <w:top w:w="0" w:type="dxa"/>
            <w:bottom w:w="0" w:type="dxa"/>
          </w:tblCellMar>
        </w:tblPrEx>
        <w:trPr>
          <w:jc w:val="center"/>
        </w:trPr>
        <w:tc>
          <w:tcPr>
            <w:tcW w:w="1007" w:type="dxa"/>
          </w:tcPr>
          <w:p w:rsidR="00000000" w:rsidRDefault="00000000">
            <w:pPr>
              <w:autoSpaceDE w:val="0"/>
              <w:autoSpaceDN w:val="0"/>
              <w:adjustRightInd w:val="0"/>
              <w:spacing w:before="40" w:after="20"/>
              <w:rPr>
                <w:color w:val="000000"/>
                <w:sz w:val="20"/>
                <w:szCs w:val="22"/>
                <w:lang w:val="fr-FR"/>
              </w:rPr>
            </w:pPr>
          </w:p>
        </w:tc>
        <w:tc>
          <w:tcPr>
            <w:tcW w:w="1006"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  Total </w:t>
            </w:r>
          </w:p>
        </w:tc>
        <w:tc>
          <w:tcPr>
            <w:tcW w:w="135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368 295 </w:t>
            </w:r>
          </w:p>
        </w:tc>
        <w:tc>
          <w:tcPr>
            <w:tcW w:w="109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90 492 </w:t>
            </w:r>
          </w:p>
        </w:tc>
        <w:tc>
          <w:tcPr>
            <w:tcW w:w="1196" w:type="dxa"/>
          </w:tcPr>
          <w:p w:rsidR="00000000" w:rsidRDefault="00000000">
            <w:pPr>
              <w:tabs>
                <w:tab w:val="decimal" w:pos="453"/>
              </w:tabs>
              <w:autoSpaceDE w:val="0"/>
              <w:autoSpaceDN w:val="0"/>
              <w:adjustRightInd w:val="0"/>
              <w:spacing w:before="40" w:after="20"/>
              <w:rPr>
                <w:color w:val="000000"/>
                <w:sz w:val="20"/>
                <w:szCs w:val="22"/>
                <w:lang w:val="fr-FR"/>
              </w:rPr>
            </w:pPr>
            <w:r>
              <w:rPr>
                <w:color w:val="000000"/>
                <w:sz w:val="20"/>
                <w:szCs w:val="22"/>
                <w:lang w:val="fr-FR"/>
              </w:rPr>
              <w:t xml:space="preserve">24,57 </w:t>
            </w:r>
          </w:p>
        </w:tc>
        <w:tc>
          <w:tcPr>
            <w:tcW w:w="130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62 363 </w:t>
            </w:r>
          </w:p>
        </w:tc>
        <w:tc>
          <w:tcPr>
            <w:tcW w:w="114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14 444 </w:t>
            </w:r>
          </w:p>
        </w:tc>
        <w:tc>
          <w:tcPr>
            <w:tcW w:w="1196" w:type="dxa"/>
          </w:tcPr>
          <w:p w:rsidR="00000000" w:rsidRDefault="00000000">
            <w:pPr>
              <w:tabs>
                <w:tab w:val="decimal" w:pos="410"/>
              </w:tabs>
              <w:autoSpaceDE w:val="0"/>
              <w:autoSpaceDN w:val="0"/>
              <w:adjustRightInd w:val="0"/>
              <w:spacing w:before="40" w:after="20"/>
              <w:rPr>
                <w:color w:val="000000"/>
                <w:sz w:val="20"/>
                <w:szCs w:val="22"/>
                <w:lang w:val="fr-FR"/>
              </w:rPr>
            </w:pPr>
            <w:r>
              <w:rPr>
                <w:color w:val="000000"/>
                <w:sz w:val="20"/>
                <w:szCs w:val="22"/>
                <w:lang w:val="fr-FR"/>
              </w:rPr>
              <w:t xml:space="preserve">23,16  </w:t>
            </w:r>
          </w:p>
        </w:tc>
      </w:tr>
      <w:tr w:rsidR="00000000">
        <w:tblPrEx>
          <w:tblCellMar>
            <w:top w:w="0" w:type="dxa"/>
            <w:bottom w:w="0" w:type="dxa"/>
          </w:tblCellMar>
        </w:tblPrEx>
        <w:trPr>
          <w:jc w:val="center"/>
        </w:trPr>
        <w:tc>
          <w:tcPr>
            <w:tcW w:w="1007"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1994/95 </w:t>
            </w:r>
          </w:p>
        </w:tc>
        <w:tc>
          <w:tcPr>
            <w:tcW w:w="1006"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Hommes </w:t>
            </w:r>
          </w:p>
        </w:tc>
        <w:tc>
          <w:tcPr>
            <w:tcW w:w="135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197 938 </w:t>
            </w:r>
          </w:p>
        </w:tc>
        <w:tc>
          <w:tcPr>
            <w:tcW w:w="109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45 997 </w:t>
            </w:r>
          </w:p>
        </w:tc>
        <w:tc>
          <w:tcPr>
            <w:tcW w:w="1196" w:type="dxa"/>
          </w:tcPr>
          <w:p w:rsidR="00000000" w:rsidRDefault="00000000">
            <w:pPr>
              <w:tabs>
                <w:tab w:val="decimal" w:pos="453"/>
              </w:tabs>
              <w:autoSpaceDE w:val="0"/>
              <w:autoSpaceDN w:val="0"/>
              <w:adjustRightInd w:val="0"/>
              <w:spacing w:before="40" w:after="20"/>
              <w:rPr>
                <w:color w:val="000000"/>
                <w:sz w:val="20"/>
                <w:szCs w:val="22"/>
                <w:lang w:val="fr-FR"/>
              </w:rPr>
            </w:pPr>
            <w:r>
              <w:rPr>
                <w:color w:val="000000"/>
                <w:sz w:val="20"/>
                <w:szCs w:val="22"/>
                <w:lang w:val="fr-FR"/>
              </w:rPr>
              <w:t xml:space="preserve">23,24 </w:t>
            </w:r>
          </w:p>
        </w:tc>
        <w:tc>
          <w:tcPr>
            <w:tcW w:w="130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38 028 </w:t>
            </w:r>
          </w:p>
        </w:tc>
        <w:tc>
          <w:tcPr>
            <w:tcW w:w="114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8 647 </w:t>
            </w:r>
          </w:p>
        </w:tc>
        <w:tc>
          <w:tcPr>
            <w:tcW w:w="1196" w:type="dxa"/>
          </w:tcPr>
          <w:p w:rsidR="00000000" w:rsidRDefault="00000000">
            <w:pPr>
              <w:tabs>
                <w:tab w:val="decimal" w:pos="410"/>
              </w:tabs>
              <w:autoSpaceDE w:val="0"/>
              <w:autoSpaceDN w:val="0"/>
              <w:adjustRightInd w:val="0"/>
              <w:spacing w:before="40" w:after="20"/>
              <w:rPr>
                <w:color w:val="000000"/>
                <w:sz w:val="20"/>
                <w:szCs w:val="22"/>
                <w:lang w:val="fr-FR"/>
              </w:rPr>
            </w:pPr>
            <w:r>
              <w:rPr>
                <w:color w:val="000000"/>
                <w:sz w:val="20"/>
                <w:szCs w:val="22"/>
                <w:lang w:val="fr-FR"/>
              </w:rPr>
              <w:t xml:space="preserve">22,74  </w:t>
            </w:r>
          </w:p>
        </w:tc>
      </w:tr>
      <w:tr w:rsidR="00000000">
        <w:tblPrEx>
          <w:tblCellMar>
            <w:top w:w="0" w:type="dxa"/>
            <w:bottom w:w="0" w:type="dxa"/>
          </w:tblCellMar>
        </w:tblPrEx>
        <w:trPr>
          <w:jc w:val="center"/>
        </w:trPr>
        <w:tc>
          <w:tcPr>
            <w:tcW w:w="1007" w:type="dxa"/>
          </w:tcPr>
          <w:p w:rsidR="00000000" w:rsidRDefault="00000000">
            <w:pPr>
              <w:autoSpaceDE w:val="0"/>
              <w:autoSpaceDN w:val="0"/>
              <w:adjustRightInd w:val="0"/>
              <w:spacing w:before="40" w:after="20"/>
              <w:rPr>
                <w:color w:val="000000"/>
                <w:sz w:val="20"/>
                <w:szCs w:val="22"/>
                <w:lang w:val="fr-FR"/>
              </w:rPr>
            </w:pPr>
          </w:p>
        </w:tc>
        <w:tc>
          <w:tcPr>
            <w:tcW w:w="1006"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Femmes </w:t>
            </w:r>
          </w:p>
        </w:tc>
        <w:tc>
          <w:tcPr>
            <w:tcW w:w="135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188 973 </w:t>
            </w:r>
          </w:p>
        </w:tc>
        <w:tc>
          <w:tcPr>
            <w:tcW w:w="109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49 644 </w:t>
            </w:r>
          </w:p>
        </w:tc>
        <w:tc>
          <w:tcPr>
            <w:tcW w:w="1196" w:type="dxa"/>
          </w:tcPr>
          <w:p w:rsidR="00000000" w:rsidRDefault="00000000">
            <w:pPr>
              <w:tabs>
                <w:tab w:val="decimal" w:pos="453"/>
              </w:tabs>
              <w:autoSpaceDE w:val="0"/>
              <w:autoSpaceDN w:val="0"/>
              <w:adjustRightInd w:val="0"/>
              <w:spacing w:before="40" w:after="20"/>
              <w:rPr>
                <w:color w:val="000000"/>
                <w:sz w:val="20"/>
                <w:szCs w:val="22"/>
                <w:lang w:val="fr-FR"/>
              </w:rPr>
            </w:pPr>
            <w:r>
              <w:rPr>
                <w:color w:val="000000"/>
                <w:sz w:val="20"/>
                <w:szCs w:val="22"/>
                <w:lang w:val="fr-FR"/>
              </w:rPr>
              <w:t xml:space="preserve">26,27 </w:t>
            </w:r>
          </w:p>
        </w:tc>
        <w:tc>
          <w:tcPr>
            <w:tcW w:w="130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27 306 </w:t>
            </w:r>
          </w:p>
        </w:tc>
        <w:tc>
          <w:tcPr>
            <w:tcW w:w="114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6 678 </w:t>
            </w:r>
          </w:p>
        </w:tc>
        <w:tc>
          <w:tcPr>
            <w:tcW w:w="1196" w:type="dxa"/>
          </w:tcPr>
          <w:p w:rsidR="00000000" w:rsidRDefault="00000000">
            <w:pPr>
              <w:tabs>
                <w:tab w:val="decimal" w:pos="410"/>
              </w:tabs>
              <w:autoSpaceDE w:val="0"/>
              <w:autoSpaceDN w:val="0"/>
              <w:adjustRightInd w:val="0"/>
              <w:spacing w:before="40" w:after="20"/>
              <w:rPr>
                <w:color w:val="000000"/>
                <w:sz w:val="20"/>
                <w:szCs w:val="22"/>
                <w:lang w:val="fr-FR"/>
              </w:rPr>
            </w:pPr>
            <w:r>
              <w:rPr>
                <w:color w:val="000000"/>
                <w:sz w:val="20"/>
                <w:szCs w:val="22"/>
                <w:lang w:val="fr-FR"/>
              </w:rPr>
              <w:t xml:space="preserve">24,46  </w:t>
            </w:r>
          </w:p>
        </w:tc>
      </w:tr>
      <w:tr w:rsidR="00000000">
        <w:tblPrEx>
          <w:tblCellMar>
            <w:top w:w="0" w:type="dxa"/>
            <w:bottom w:w="0" w:type="dxa"/>
          </w:tblCellMar>
        </w:tblPrEx>
        <w:trPr>
          <w:jc w:val="center"/>
        </w:trPr>
        <w:tc>
          <w:tcPr>
            <w:tcW w:w="1007" w:type="dxa"/>
          </w:tcPr>
          <w:p w:rsidR="00000000" w:rsidRDefault="00000000">
            <w:pPr>
              <w:autoSpaceDE w:val="0"/>
              <w:autoSpaceDN w:val="0"/>
              <w:adjustRightInd w:val="0"/>
              <w:spacing w:before="40" w:after="20"/>
              <w:rPr>
                <w:color w:val="000000"/>
                <w:sz w:val="20"/>
                <w:szCs w:val="22"/>
                <w:lang w:val="fr-FR"/>
              </w:rPr>
            </w:pPr>
          </w:p>
        </w:tc>
        <w:tc>
          <w:tcPr>
            <w:tcW w:w="1006"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  Total </w:t>
            </w:r>
          </w:p>
        </w:tc>
        <w:tc>
          <w:tcPr>
            <w:tcW w:w="135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386 911 </w:t>
            </w:r>
          </w:p>
        </w:tc>
        <w:tc>
          <w:tcPr>
            <w:tcW w:w="109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95 641 </w:t>
            </w:r>
          </w:p>
        </w:tc>
        <w:tc>
          <w:tcPr>
            <w:tcW w:w="1196" w:type="dxa"/>
          </w:tcPr>
          <w:p w:rsidR="00000000" w:rsidRDefault="00000000">
            <w:pPr>
              <w:tabs>
                <w:tab w:val="decimal" w:pos="453"/>
              </w:tabs>
              <w:autoSpaceDE w:val="0"/>
              <w:autoSpaceDN w:val="0"/>
              <w:adjustRightInd w:val="0"/>
              <w:spacing w:before="40" w:after="20"/>
              <w:rPr>
                <w:color w:val="000000"/>
                <w:sz w:val="20"/>
                <w:szCs w:val="22"/>
                <w:lang w:val="fr-FR"/>
              </w:rPr>
            </w:pPr>
            <w:r>
              <w:rPr>
                <w:color w:val="000000"/>
                <w:sz w:val="20"/>
                <w:szCs w:val="22"/>
                <w:lang w:val="fr-FR"/>
              </w:rPr>
              <w:t xml:space="preserve">24,72 </w:t>
            </w:r>
          </w:p>
        </w:tc>
        <w:tc>
          <w:tcPr>
            <w:tcW w:w="130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65 334 </w:t>
            </w:r>
          </w:p>
        </w:tc>
        <w:tc>
          <w:tcPr>
            <w:tcW w:w="114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15 325 </w:t>
            </w:r>
          </w:p>
        </w:tc>
        <w:tc>
          <w:tcPr>
            <w:tcW w:w="1196" w:type="dxa"/>
          </w:tcPr>
          <w:p w:rsidR="00000000" w:rsidRDefault="00000000">
            <w:pPr>
              <w:tabs>
                <w:tab w:val="decimal" w:pos="410"/>
              </w:tabs>
              <w:autoSpaceDE w:val="0"/>
              <w:autoSpaceDN w:val="0"/>
              <w:adjustRightInd w:val="0"/>
              <w:spacing w:before="40" w:after="20"/>
              <w:rPr>
                <w:color w:val="000000"/>
                <w:sz w:val="20"/>
                <w:szCs w:val="22"/>
                <w:lang w:val="fr-FR"/>
              </w:rPr>
            </w:pPr>
            <w:r>
              <w:rPr>
                <w:color w:val="000000"/>
                <w:sz w:val="20"/>
                <w:szCs w:val="22"/>
                <w:lang w:val="fr-FR"/>
              </w:rPr>
              <w:t xml:space="preserve">23,46  </w:t>
            </w:r>
          </w:p>
        </w:tc>
      </w:tr>
      <w:tr w:rsidR="00000000">
        <w:tblPrEx>
          <w:tblCellMar>
            <w:top w:w="0" w:type="dxa"/>
            <w:bottom w:w="0" w:type="dxa"/>
          </w:tblCellMar>
        </w:tblPrEx>
        <w:trPr>
          <w:jc w:val="center"/>
        </w:trPr>
        <w:tc>
          <w:tcPr>
            <w:tcW w:w="1007"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1995/96 </w:t>
            </w:r>
          </w:p>
        </w:tc>
        <w:tc>
          <w:tcPr>
            <w:tcW w:w="1006"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Hommes </w:t>
            </w:r>
          </w:p>
        </w:tc>
        <w:tc>
          <w:tcPr>
            <w:tcW w:w="135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194 060 </w:t>
            </w:r>
          </w:p>
        </w:tc>
        <w:tc>
          <w:tcPr>
            <w:tcW w:w="109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47 232 </w:t>
            </w:r>
          </w:p>
        </w:tc>
        <w:tc>
          <w:tcPr>
            <w:tcW w:w="1196" w:type="dxa"/>
          </w:tcPr>
          <w:p w:rsidR="00000000" w:rsidRDefault="00000000">
            <w:pPr>
              <w:tabs>
                <w:tab w:val="decimal" w:pos="453"/>
              </w:tabs>
              <w:autoSpaceDE w:val="0"/>
              <w:autoSpaceDN w:val="0"/>
              <w:adjustRightInd w:val="0"/>
              <w:spacing w:before="40" w:after="20"/>
              <w:rPr>
                <w:color w:val="000000"/>
                <w:sz w:val="20"/>
                <w:szCs w:val="22"/>
                <w:lang w:val="fr-FR"/>
              </w:rPr>
            </w:pPr>
            <w:r>
              <w:rPr>
                <w:color w:val="000000"/>
                <w:sz w:val="20"/>
                <w:szCs w:val="22"/>
                <w:lang w:val="fr-FR"/>
              </w:rPr>
              <w:t xml:space="preserve">24,34 </w:t>
            </w:r>
          </w:p>
        </w:tc>
        <w:tc>
          <w:tcPr>
            <w:tcW w:w="130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41 231 </w:t>
            </w:r>
          </w:p>
        </w:tc>
        <w:tc>
          <w:tcPr>
            <w:tcW w:w="114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9 217 </w:t>
            </w:r>
          </w:p>
        </w:tc>
        <w:tc>
          <w:tcPr>
            <w:tcW w:w="1196" w:type="dxa"/>
          </w:tcPr>
          <w:p w:rsidR="00000000" w:rsidRDefault="00000000">
            <w:pPr>
              <w:tabs>
                <w:tab w:val="decimal" w:pos="410"/>
              </w:tabs>
              <w:autoSpaceDE w:val="0"/>
              <w:autoSpaceDN w:val="0"/>
              <w:adjustRightInd w:val="0"/>
              <w:spacing w:before="40" w:after="20"/>
              <w:rPr>
                <w:color w:val="000000"/>
                <w:sz w:val="20"/>
                <w:szCs w:val="22"/>
                <w:lang w:val="fr-FR"/>
              </w:rPr>
            </w:pPr>
            <w:r>
              <w:rPr>
                <w:color w:val="000000"/>
                <w:sz w:val="20"/>
                <w:szCs w:val="22"/>
                <w:lang w:val="fr-FR"/>
              </w:rPr>
              <w:t xml:space="preserve">22,35  </w:t>
            </w:r>
          </w:p>
        </w:tc>
      </w:tr>
      <w:tr w:rsidR="00000000">
        <w:tblPrEx>
          <w:tblCellMar>
            <w:top w:w="0" w:type="dxa"/>
            <w:bottom w:w="0" w:type="dxa"/>
          </w:tblCellMar>
        </w:tblPrEx>
        <w:trPr>
          <w:jc w:val="center"/>
        </w:trPr>
        <w:tc>
          <w:tcPr>
            <w:tcW w:w="1007" w:type="dxa"/>
          </w:tcPr>
          <w:p w:rsidR="00000000" w:rsidRDefault="00000000">
            <w:pPr>
              <w:autoSpaceDE w:val="0"/>
              <w:autoSpaceDN w:val="0"/>
              <w:adjustRightInd w:val="0"/>
              <w:spacing w:before="40" w:after="20"/>
              <w:rPr>
                <w:color w:val="000000"/>
                <w:sz w:val="20"/>
                <w:szCs w:val="22"/>
                <w:lang w:val="fr-FR"/>
              </w:rPr>
            </w:pPr>
          </w:p>
        </w:tc>
        <w:tc>
          <w:tcPr>
            <w:tcW w:w="1006"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Femmes </w:t>
            </w:r>
          </w:p>
        </w:tc>
        <w:tc>
          <w:tcPr>
            <w:tcW w:w="135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192 392 </w:t>
            </w:r>
          </w:p>
        </w:tc>
        <w:tc>
          <w:tcPr>
            <w:tcW w:w="109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51 711 </w:t>
            </w:r>
          </w:p>
        </w:tc>
        <w:tc>
          <w:tcPr>
            <w:tcW w:w="1196" w:type="dxa"/>
          </w:tcPr>
          <w:p w:rsidR="00000000" w:rsidRDefault="00000000">
            <w:pPr>
              <w:tabs>
                <w:tab w:val="decimal" w:pos="453"/>
              </w:tabs>
              <w:autoSpaceDE w:val="0"/>
              <w:autoSpaceDN w:val="0"/>
              <w:adjustRightInd w:val="0"/>
              <w:spacing w:before="40" w:after="20"/>
              <w:rPr>
                <w:color w:val="000000"/>
                <w:sz w:val="20"/>
                <w:szCs w:val="22"/>
                <w:lang w:val="fr-FR"/>
              </w:rPr>
            </w:pPr>
            <w:r>
              <w:rPr>
                <w:color w:val="000000"/>
                <w:sz w:val="20"/>
                <w:szCs w:val="22"/>
                <w:lang w:val="fr-FR"/>
              </w:rPr>
              <w:t xml:space="preserve">26 88 </w:t>
            </w:r>
          </w:p>
        </w:tc>
        <w:tc>
          <w:tcPr>
            <w:tcW w:w="130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29 832 </w:t>
            </w:r>
          </w:p>
        </w:tc>
        <w:tc>
          <w:tcPr>
            <w:tcW w:w="114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7 311 </w:t>
            </w:r>
          </w:p>
        </w:tc>
        <w:tc>
          <w:tcPr>
            <w:tcW w:w="1196" w:type="dxa"/>
          </w:tcPr>
          <w:p w:rsidR="00000000" w:rsidRDefault="00000000">
            <w:pPr>
              <w:tabs>
                <w:tab w:val="decimal" w:pos="410"/>
              </w:tabs>
              <w:autoSpaceDE w:val="0"/>
              <w:autoSpaceDN w:val="0"/>
              <w:adjustRightInd w:val="0"/>
              <w:spacing w:before="40" w:after="20"/>
              <w:rPr>
                <w:color w:val="000000"/>
                <w:sz w:val="20"/>
                <w:szCs w:val="22"/>
                <w:lang w:val="fr-FR"/>
              </w:rPr>
            </w:pPr>
            <w:r>
              <w:rPr>
                <w:color w:val="000000"/>
                <w:sz w:val="20"/>
                <w:szCs w:val="22"/>
                <w:lang w:val="fr-FR"/>
              </w:rPr>
              <w:t xml:space="preserve">24,51  </w:t>
            </w:r>
          </w:p>
        </w:tc>
      </w:tr>
      <w:tr w:rsidR="00000000">
        <w:tblPrEx>
          <w:tblCellMar>
            <w:top w:w="0" w:type="dxa"/>
            <w:bottom w:w="0" w:type="dxa"/>
          </w:tblCellMar>
        </w:tblPrEx>
        <w:trPr>
          <w:jc w:val="center"/>
        </w:trPr>
        <w:tc>
          <w:tcPr>
            <w:tcW w:w="1007" w:type="dxa"/>
          </w:tcPr>
          <w:p w:rsidR="00000000" w:rsidRDefault="00000000">
            <w:pPr>
              <w:autoSpaceDE w:val="0"/>
              <w:autoSpaceDN w:val="0"/>
              <w:adjustRightInd w:val="0"/>
              <w:spacing w:before="40" w:after="20"/>
              <w:rPr>
                <w:color w:val="000000"/>
                <w:sz w:val="20"/>
                <w:szCs w:val="22"/>
                <w:lang w:val="fr-FR"/>
              </w:rPr>
            </w:pPr>
          </w:p>
        </w:tc>
        <w:tc>
          <w:tcPr>
            <w:tcW w:w="1006"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  Total </w:t>
            </w:r>
          </w:p>
        </w:tc>
        <w:tc>
          <w:tcPr>
            <w:tcW w:w="135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386 452 </w:t>
            </w:r>
          </w:p>
        </w:tc>
        <w:tc>
          <w:tcPr>
            <w:tcW w:w="109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98 943 </w:t>
            </w:r>
          </w:p>
        </w:tc>
        <w:tc>
          <w:tcPr>
            <w:tcW w:w="1196" w:type="dxa"/>
          </w:tcPr>
          <w:p w:rsidR="00000000" w:rsidRDefault="00000000">
            <w:pPr>
              <w:tabs>
                <w:tab w:val="decimal" w:pos="453"/>
              </w:tabs>
              <w:autoSpaceDE w:val="0"/>
              <w:autoSpaceDN w:val="0"/>
              <w:adjustRightInd w:val="0"/>
              <w:spacing w:before="40" w:after="20"/>
              <w:rPr>
                <w:color w:val="000000"/>
                <w:sz w:val="20"/>
                <w:szCs w:val="22"/>
                <w:lang w:val="fr-FR"/>
              </w:rPr>
            </w:pPr>
            <w:r>
              <w:rPr>
                <w:color w:val="000000"/>
                <w:sz w:val="20"/>
                <w:szCs w:val="22"/>
                <w:lang w:val="fr-FR"/>
              </w:rPr>
              <w:t xml:space="preserve">25,60 </w:t>
            </w:r>
          </w:p>
        </w:tc>
        <w:tc>
          <w:tcPr>
            <w:tcW w:w="130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71 063 </w:t>
            </w:r>
          </w:p>
        </w:tc>
        <w:tc>
          <w:tcPr>
            <w:tcW w:w="114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16 528 </w:t>
            </w:r>
          </w:p>
        </w:tc>
        <w:tc>
          <w:tcPr>
            <w:tcW w:w="1196" w:type="dxa"/>
          </w:tcPr>
          <w:p w:rsidR="00000000" w:rsidRDefault="00000000">
            <w:pPr>
              <w:tabs>
                <w:tab w:val="decimal" w:pos="410"/>
              </w:tabs>
              <w:autoSpaceDE w:val="0"/>
              <w:autoSpaceDN w:val="0"/>
              <w:adjustRightInd w:val="0"/>
              <w:spacing w:before="40" w:after="20"/>
              <w:rPr>
                <w:color w:val="000000"/>
                <w:sz w:val="20"/>
                <w:szCs w:val="22"/>
                <w:lang w:val="fr-FR"/>
              </w:rPr>
            </w:pPr>
            <w:r>
              <w:rPr>
                <w:color w:val="000000"/>
                <w:sz w:val="20"/>
                <w:szCs w:val="22"/>
                <w:lang w:val="fr-FR"/>
              </w:rPr>
              <w:t xml:space="preserve">23,26  </w:t>
            </w:r>
          </w:p>
        </w:tc>
      </w:tr>
      <w:tr w:rsidR="00000000">
        <w:tblPrEx>
          <w:tblCellMar>
            <w:top w:w="0" w:type="dxa"/>
            <w:bottom w:w="0" w:type="dxa"/>
          </w:tblCellMar>
        </w:tblPrEx>
        <w:trPr>
          <w:jc w:val="center"/>
        </w:trPr>
        <w:tc>
          <w:tcPr>
            <w:tcW w:w="1007"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1996/97 </w:t>
            </w:r>
          </w:p>
        </w:tc>
        <w:tc>
          <w:tcPr>
            <w:tcW w:w="1006"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Hommes </w:t>
            </w:r>
          </w:p>
        </w:tc>
        <w:tc>
          <w:tcPr>
            <w:tcW w:w="135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211 472 </w:t>
            </w:r>
          </w:p>
        </w:tc>
        <w:tc>
          <w:tcPr>
            <w:tcW w:w="109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52 502 </w:t>
            </w:r>
          </w:p>
        </w:tc>
        <w:tc>
          <w:tcPr>
            <w:tcW w:w="1196" w:type="dxa"/>
          </w:tcPr>
          <w:p w:rsidR="00000000" w:rsidRDefault="00000000">
            <w:pPr>
              <w:tabs>
                <w:tab w:val="decimal" w:pos="453"/>
              </w:tabs>
              <w:autoSpaceDE w:val="0"/>
              <w:autoSpaceDN w:val="0"/>
              <w:adjustRightInd w:val="0"/>
              <w:spacing w:before="40" w:after="20"/>
              <w:rPr>
                <w:color w:val="000000"/>
                <w:sz w:val="20"/>
                <w:szCs w:val="22"/>
                <w:lang w:val="fr-FR"/>
              </w:rPr>
            </w:pPr>
            <w:r>
              <w:rPr>
                <w:color w:val="000000"/>
                <w:sz w:val="20"/>
                <w:szCs w:val="22"/>
                <w:lang w:val="fr-FR"/>
              </w:rPr>
              <w:t xml:space="preserve">24,83 </w:t>
            </w:r>
          </w:p>
        </w:tc>
        <w:tc>
          <w:tcPr>
            <w:tcW w:w="130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44 608 </w:t>
            </w:r>
          </w:p>
        </w:tc>
        <w:tc>
          <w:tcPr>
            <w:tcW w:w="114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10 293 </w:t>
            </w:r>
          </w:p>
        </w:tc>
        <w:tc>
          <w:tcPr>
            <w:tcW w:w="1196" w:type="dxa"/>
          </w:tcPr>
          <w:p w:rsidR="00000000" w:rsidRDefault="00000000">
            <w:pPr>
              <w:tabs>
                <w:tab w:val="decimal" w:pos="410"/>
              </w:tabs>
              <w:autoSpaceDE w:val="0"/>
              <w:autoSpaceDN w:val="0"/>
              <w:adjustRightInd w:val="0"/>
              <w:spacing w:before="40" w:after="20"/>
              <w:rPr>
                <w:color w:val="000000"/>
                <w:sz w:val="20"/>
                <w:szCs w:val="22"/>
                <w:lang w:val="fr-FR"/>
              </w:rPr>
            </w:pPr>
            <w:r>
              <w:rPr>
                <w:color w:val="000000"/>
                <w:sz w:val="20"/>
                <w:szCs w:val="22"/>
                <w:lang w:val="fr-FR"/>
              </w:rPr>
              <w:t xml:space="preserve">23,07  </w:t>
            </w:r>
          </w:p>
        </w:tc>
      </w:tr>
      <w:tr w:rsidR="00000000">
        <w:tblPrEx>
          <w:tblCellMar>
            <w:top w:w="0" w:type="dxa"/>
            <w:bottom w:w="0" w:type="dxa"/>
          </w:tblCellMar>
        </w:tblPrEx>
        <w:trPr>
          <w:jc w:val="center"/>
        </w:trPr>
        <w:tc>
          <w:tcPr>
            <w:tcW w:w="1007" w:type="dxa"/>
          </w:tcPr>
          <w:p w:rsidR="00000000" w:rsidRDefault="00000000">
            <w:pPr>
              <w:autoSpaceDE w:val="0"/>
              <w:autoSpaceDN w:val="0"/>
              <w:adjustRightInd w:val="0"/>
              <w:spacing w:before="40" w:after="20"/>
              <w:rPr>
                <w:color w:val="000000"/>
                <w:sz w:val="20"/>
                <w:szCs w:val="22"/>
                <w:lang w:val="fr-FR"/>
              </w:rPr>
            </w:pPr>
          </w:p>
        </w:tc>
        <w:tc>
          <w:tcPr>
            <w:tcW w:w="1006"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Femmes </w:t>
            </w:r>
          </w:p>
        </w:tc>
        <w:tc>
          <w:tcPr>
            <w:tcW w:w="135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211 151 </w:t>
            </w:r>
          </w:p>
        </w:tc>
        <w:tc>
          <w:tcPr>
            <w:tcW w:w="109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58 034 </w:t>
            </w:r>
          </w:p>
        </w:tc>
        <w:tc>
          <w:tcPr>
            <w:tcW w:w="1196" w:type="dxa"/>
          </w:tcPr>
          <w:p w:rsidR="00000000" w:rsidRDefault="00000000">
            <w:pPr>
              <w:tabs>
                <w:tab w:val="decimal" w:pos="453"/>
              </w:tabs>
              <w:autoSpaceDE w:val="0"/>
              <w:autoSpaceDN w:val="0"/>
              <w:adjustRightInd w:val="0"/>
              <w:spacing w:before="40" w:after="20"/>
              <w:rPr>
                <w:color w:val="000000"/>
                <w:sz w:val="20"/>
                <w:szCs w:val="22"/>
                <w:lang w:val="fr-FR"/>
              </w:rPr>
            </w:pPr>
            <w:r>
              <w:rPr>
                <w:color w:val="000000"/>
                <w:sz w:val="20"/>
                <w:szCs w:val="22"/>
                <w:lang w:val="fr-FR"/>
              </w:rPr>
              <w:t xml:space="preserve">27,48 </w:t>
            </w:r>
          </w:p>
        </w:tc>
        <w:tc>
          <w:tcPr>
            <w:tcW w:w="130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32 071 </w:t>
            </w:r>
          </w:p>
        </w:tc>
        <w:tc>
          <w:tcPr>
            <w:tcW w:w="114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7 949 </w:t>
            </w:r>
          </w:p>
        </w:tc>
        <w:tc>
          <w:tcPr>
            <w:tcW w:w="1196" w:type="dxa"/>
          </w:tcPr>
          <w:p w:rsidR="00000000" w:rsidRDefault="00000000">
            <w:pPr>
              <w:tabs>
                <w:tab w:val="decimal" w:pos="410"/>
              </w:tabs>
              <w:autoSpaceDE w:val="0"/>
              <w:autoSpaceDN w:val="0"/>
              <w:adjustRightInd w:val="0"/>
              <w:spacing w:before="40" w:after="20"/>
              <w:rPr>
                <w:color w:val="000000"/>
                <w:sz w:val="20"/>
                <w:szCs w:val="22"/>
                <w:lang w:val="fr-FR"/>
              </w:rPr>
            </w:pPr>
            <w:r>
              <w:rPr>
                <w:color w:val="000000"/>
                <w:sz w:val="20"/>
                <w:szCs w:val="22"/>
                <w:lang w:val="fr-FR"/>
              </w:rPr>
              <w:t xml:space="preserve">24,79  </w:t>
            </w:r>
          </w:p>
        </w:tc>
      </w:tr>
      <w:tr w:rsidR="00000000">
        <w:tblPrEx>
          <w:tblCellMar>
            <w:top w:w="0" w:type="dxa"/>
            <w:bottom w:w="0" w:type="dxa"/>
          </w:tblCellMar>
        </w:tblPrEx>
        <w:trPr>
          <w:jc w:val="center"/>
        </w:trPr>
        <w:tc>
          <w:tcPr>
            <w:tcW w:w="1007" w:type="dxa"/>
          </w:tcPr>
          <w:p w:rsidR="00000000" w:rsidRDefault="00000000">
            <w:pPr>
              <w:autoSpaceDE w:val="0"/>
              <w:autoSpaceDN w:val="0"/>
              <w:adjustRightInd w:val="0"/>
              <w:spacing w:before="40" w:after="20"/>
              <w:rPr>
                <w:color w:val="000000"/>
                <w:sz w:val="20"/>
                <w:szCs w:val="22"/>
                <w:lang w:val="fr-FR"/>
              </w:rPr>
            </w:pPr>
          </w:p>
        </w:tc>
        <w:tc>
          <w:tcPr>
            <w:tcW w:w="1006"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  Total </w:t>
            </w:r>
          </w:p>
        </w:tc>
        <w:tc>
          <w:tcPr>
            <w:tcW w:w="135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422 623 </w:t>
            </w:r>
          </w:p>
        </w:tc>
        <w:tc>
          <w:tcPr>
            <w:tcW w:w="109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110 536 </w:t>
            </w:r>
          </w:p>
        </w:tc>
        <w:tc>
          <w:tcPr>
            <w:tcW w:w="1196" w:type="dxa"/>
          </w:tcPr>
          <w:p w:rsidR="00000000" w:rsidRDefault="00000000">
            <w:pPr>
              <w:tabs>
                <w:tab w:val="decimal" w:pos="453"/>
              </w:tabs>
              <w:autoSpaceDE w:val="0"/>
              <w:autoSpaceDN w:val="0"/>
              <w:adjustRightInd w:val="0"/>
              <w:spacing w:before="40" w:after="20"/>
              <w:rPr>
                <w:color w:val="000000"/>
                <w:sz w:val="20"/>
                <w:szCs w:val="22"/>
                <w:lang w:val="fr-FR"/>
              </w:rPr>
            </w:pPr>
            <w:r>
              <w:rPr>
                <w:color w:val="000000"/>
                <w:sz w:val="20"/>
                <w:szCs w:val="22"/>
                <w:lang w:val="fr-FR"/>
              </w:rPr>
              <w:t xml:space="preserve">26,15 </w:t>
            </w:r>
          </w:p>
        </w:tc>
        <w:tc>
          <w:tcPr>
            <w:tcW w:w="130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76 679 </w:t>
            </w:r>
          </w:p>
        </w:tc>
        <w:tc>
          <w:tcPr>
            <w:tcW w:w="114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18 242 </w:t>
            </w:r>
          </w:p>
        </w:tc>
        <w:tc>
          <w:tcPr>
            <w:tcW w:w="1196" w:type="dxa"/>
          </w:tcPr>
          <w:p w:rsidR="00000000" w:rsidRDefault="00000000">
            <w:pPr>
              <w:tabs>
                <w:tab w:val="decimal" w:pos="410"/>
              </w:tabs>
              <w:autoSpaceDE w:val="0"/>
              <w:autoSpaceDN w:val="0"/>
              <w:adjustRightInd w:val="0"/>
              <w:spacing w:before="40" w:after="20"/>
              <w:rPr>
                <w:color w:val="000000"/>
                <w:sz w:val="20"/>
                <w:szCs w:val="22"/>
                <w:lang w:val="fr-FR"/>
              </w:rPr>
            </w:pPr>
            <w:r>
              <w:rPr>
                <w:color w:val="000000"/>
                <w:sz w:val="20"/>
                <w:szCs w:val="22"/>
                <w:lang w:val="fr-FR"/>
              </w:rPr>
              <w:t xml:space="preserve">23,79  </w:t>
            </w:r>
          </w:p>
        </w:tc>
      </w:tr>
      <w:tr w:rsidR="00000000">
        <w:tblPrEx>
          <w:tblCellMar>
            <w:top w:w="0" w:type="dxa"/>
            <w:bottom w:w="0" w:type="dxa"/>
          </w:tblCellMar>
        </w:tblPrEx>
        <w:trPr>
          <w:jc w:val="center"/>
        </w:trPr>
        <w:tc>
          <w:tcPr>
            <w:tcW w:w="1007"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1997/98 </w:t>
            </w:r>
          </w:p>
        </w:tc>
        <w:tc>
          <w:tcPr>
            <w:tcW w:w="1006"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Hommes </w:t>
            </w:r>
          </w:p>
        </w:tc>
        <w:tc>
          <w:tcPr>
            <w:tcW w:w="135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208 797 </w:t>
            </w:r>
          </w:p>
        </w:tc>
        <w:tc>
          <w:tcPr>
            <w:tcW w:w="1097" w:type="dxa"/>
          </w:tcPr>
          <w:p w:rsidR="00000000" w:rsidRDefault="00000000">
            <w:pPr>
              <w:autoSpaceDE w:val="0"/>
              <w:autoSpaceDN w:val="0"/>
              <w:adjustRightInd w:val="0"/>
              <w:spacing w:before="40" w:after="20"/>
              <w:ind w:right="290"/>
              <w:jc w:val="right"/>
              <w:rPr>
                <w:color w:val="000000"/>
                <w:sz w:val="20"/>
                <w:szCs w:val="22"/>
                <w:lang w:val="fr-FR"/>
              </w:rPr>
            </w:pPr>
          </w:p>
        </w:tc>
        <w:tc>
          <w:tcPr>
            <w:tcW w:w="1196" w:type="dxa"/>
          </w:tcPr>
          <w:p w:rsidR="00000000" w:rsidRDefault="00000000">
            <w:pPr>
              <w:tabs>
                <w:tab w:val="decimal" w:pos="453"/>
              </w:tabs>
              <w:autoSpaceDE w:val="0"/>
              <w:autoSpaceDN w:val="0"/>
              <w:adjustRightInd w:val="0"/>
              <w:spacing w:before="40" w:after="20"/>
              <w:rPr>
                <w:color w:val="000000"/>
                <w:sz w:val="20"/>
                <w:szCs w:val="22"/>
                <w:lang w:val="fr-FR"/>
              </w:rPr>
            </w:pPr>
            <w:r>
              <w:rPr>
                <w:color w:val="000000"/>
                <w:sz w:val="20"/>
                <w:szCs w:val="22"/>
                <w:lang w:val="fr-FR"/>
              </w:rPr>
              <w:t xml:space="preserve">0,00 </w:t>
            </w:r>
          </w:p>
        </w:tc>
        <w:tc>
          <w:tcPr>
            <w:tcW w:w="130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46 696 </w:t>
            </w:r>
          </w:p>
        </w:tc>
        <w:tc>
          <w:tcPr>
            <w:tcW w:w="1140" w:type="dxa"/>
          </w:tcPr>
          <w:p w:rsidR="00000000" w:rsidRDefault="00000000">
            <w:pPr>
              <w:autoSpaceDE w:val="0"/>
              <w:autoSpaceDN w:val="0"/>
              <w:adjustRightInd w:val="0"/>
              <w:spacing w:before="40" w:after="20"/>
              <w:ind w:right="290"/>
              <w:jc w:val="right"/>
              <w:rPr>
                <w:color w:val="000000"/>
                <w:sz w:val="20"/>
                <w:szCs w:val="22"/>
                <w:lang w:val="fr-FR"/>
              </w:rPr>
            </w:pPr>
          </w:p>
        </w:tc>
        <w:tc>
          <w:tcPr>
            <w:tcW w:w="1196" w:type="dxa"/>
          </w:tcPr>
          <w:p w:rsidR="00000000" w:rsidRDefault="00000000">
            <w:pPr>
              <w:tabs>
                <w:tab w:val="decimal" w:pos="410"/>
              </w:tabs>
              <w:autoSpaceDE w:val="0"/>
              <w:autoSpaceDN w:val="0"/>
              <w:adjustRightInd w:val="0"/>
              <w:spacing w:before="40" w:after="20"/>
              <w:rPr>
                <w:color w:val="000000"/>
                <w:sz w:val="20"/>
                <w:szCs w:val="22"/>
                <w:lang w:val="fr-FR"/>
              </w:rPr>
            </w:pPr>
            <w:r>
              <w:rPr>
                <w:color w:val="000000"/>
                <w:sz w:val="20"/>
                <w:szCs w:val="22"/>
                <w:lang w:val="fr-FR"/>
              </w:rPr>
              <w:t xml:space="preserve">0,00  </w:t>
            </w:r>
          </w:p>
        </w:tc>
      </w:tr>
      <w:tr w:rsidR="00000000">
        <w:tblPrEx>
          <w:tblCellMar>
            <w:top w:w="0" w:type="dxa"/>
            <w:bottom w:w="0" w:type="dxa"/>
          </w:tblCellMar>
        </w:tblPrEx>
        <w:trPr>
          <w:jc w:val="center"/>
        </w:trPr>
        <w:tc>
          <w:tcPr>
            <w:tcW w:w="1007" w:type="dxa"/>
          </w:tcPr>
          <w:p w:rsidR="00000000" w:rsidRDefault="00000000">
            <w:pPr>
              <w:autoSpaceDE w:val="0"/>
              <w:autoSpaceDN w:val="0"/>
              <w:adjustRightInd w:val="0"/>
              <w:spacing w:before="40" w:after="20"/>
              <w:rPr>
                <w:color w:val="000000"/>
                <w:sz w:val="20"/>
                <w:szCs w:val="22"/>
                <w:lang w:val="fr-FR"/>
              </w:rPr>
            </w:pPr>
          </w:p>
        </w:tc>
        <w:tc>
          <w:tcPr>
            <w:tcW w:w="1006"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Femmes </w:t>
            </w:r>
          </w:p>
        </w:tc>
        <w:tc>
          <w:tcPr>
            <w:tcW w:w="135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209 329 </w:t>
            </w:r>
          </w:p>
        </w:tc>
        <w:tc>
          <w:tcPr>
            <w:tcW w:w="1097" w:type="dxa"/>
          </w:tcPr>
          <w:p w:rsidR="00000000" w:rsidRDefault="00000000">
            <w:pPr>
              <w:autoSpaceDE w:val="0"/>
              <w:autoSpaceDN w:val="0"/>
              <w:adjustRightInd w:val="0"/>
              <w:spacing w:before="40" w:after="20"/>
              <w:ind w:right="290"/>
              <w:jc w:val="right"/>
              <w:rPr>
                <w:color w:val="000000"/>
                <w:sz w:val="20"/>
                <w:szCs w:val="22"/>
                <w:lang w:val="fr-FR"/>
              </w:rPr>
            </w:pPr>
          </w:p>
        </w:tc>
        <w:tc>
          <w:tcPr>
            <w:tcW w:w="1196" w:type="dxa"/>
          </w:tcPr>
          <w:p w:rsidR="00000000" w:rsidRDefault="00000000">
            <w:pPr>
              <w:tabs>
                <w:tab w:val="decimal" w:pos="453"/>
              </w:tabs>
              <w:autoSpaceDE w:val="0"/>
              <w:autoSpaceDN w:val="0"/>
              <w:adjustRightInd w:val="0"/>
              <w:spacing w:before="40" w:after="20"/>
              <w:rPr>
                <w:color w:val="000000"/>
                <w:sz w:val="20"/>
                <w:szCs w:val="22"/>
                <w:lang w:val="fr-FR"/>
              </w:rPr>
            </w:pPr>
            <w:r>
              <w:rPr>
                <w:color w:val="000000"/>
                <w:sz w:val="20"/>
                <w:szCs w:val="22"/>
                <w:lang w:val="fr-FR"/>
              </w:rPr>
              <w:t xml:space="preserve">0,00 </w:t>
            </w:r>
          </w:p>
        </w:tc>
        <w:tc>
          <w:tcPr>
            <w:tcW w:w="130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34 020 </w:t>
            </w:r>
          </w:p>
        </w:tc>
        <w:tc>
          <w:tcPr>
            <w:tcW w:w="1140" w:type="dxa"/>
          </w:tcPr>
          <w:p w:rsidR="00000000" w:rsidRDefault="00000000">
            <w:pPr>
              <w:autoSpaceDE w:val="0"/>
              <w:autoSpaceDN w:val="0"/>
              <w:adjustRightInd w:val="0"/>
              <w:spacing w:before="40" w:after="20"/>
              <w:ind w:right="290"/>
              <w:jc w:val="right"/>
              <w:rPr>
                <w:color w:val="000000"/>
                <w:sz w:val="20"/>
                <w:szCs w:val="22"/>
                <w:lang w:val="fr-FR"/>
              </w:rPr>
            </w:pPr>
          </w:p>
        </w:tc>
        <w:tc>
          <w:tcPr>
            <w:tcW w:w="1196" w:type="dxa"/>
          </w:tcPr>
          <w:p w:rsidR="00000000" w:rsidRDefault="00000000">
            <w:pPr>
              <w:tabs>
                <w:tab w:val="decimal" w:pos="410"/>
              </w:tabs>
              <w:autoSpaceDE w:val="0"/>
              <w:autoSpaceDN w:val="0"/>
              <w:adjustRightInd w:val="0"/>
              <w:spacing w:before="40" w:after="20"/>
              <w:rPr>
                <w:color w:val="000000"/>
                <w:sz w:val="20"/>
                <w:szCs w:val="22"/>
                <w:lang w:val="fr-FR"/>
              </w:rPr>
            </w:pPr>
            <w:r>
              <w:rPr>
                <w:color w:val="000000"/>
                <w:sz w:val="20"/>
                <w:szCs w:val="22"/>
                <w:lang w:val="fr-FR"/>
              </w:rPr>
              <w:t xml:space="preserve">0,00  </w:t>
            </w:r>
          </w:p>
        </w:tc>
      </w:tr>
      <w:tr w:rsidR="00000000">
        <w:tblPrEx>
          <w:tblCellMar>
            <w:top w:w="0" w:type="dxa"/>
            <w:bottom w:w="0" w:type="dxa"/>
          </w:tblCellMar>
        </w:tblPrEx>
        <w:trPr>
          <w:jc w:val="center"/>
        </w:trPr>
        <w:tc>
          <w:tcPr>
            <w:tcW w:w="1007" w:type="dxa"/>
          </w:tcPr>
          <w:p w:rsidR="00000000" w:rsidRDefault="00000000">
            <w:pPr>
              <w:autoSpaceDE w:val="0"/>
              <w:autoSpaceDN w:val="0"/>
              <w:adjustRightInd w:val="0"/>
              <w:spacing w:before="40" w:after="20"/>
              <w:rPr>
                <w:color w:val="000000"/>
                <w:sz w:val="20"/>
                <w:szCs w:val="22"/>
                <w:lang w:val="fr-FR"/>
              </w:rPr>
            </w:pPr>
          </w:p>
        </w:tc>
        <w:tc>
          <w:tcPr>
            <w:tcW w:w="1006"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  Total </w:t>
            </w:r>
          </w:p>
        </w:tc>
        <w:tc>
          <w:tcPr>
            <w:tcW w:w="1350"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418 126 </w:t>
            </w:r>
          </w:p>
        </w:tc>
        <w:tc>
          <w:tcPr>
            <w:tcW w:w="1097" w:type="dxa"/>
          </w:tcPr>
          <w:p w:rsidR="00000000" w:rsidRDefault="00000000">
            <w:pPr>
              <w:autoSpaceDE w:val="0"/>
              <w:autoSpaceDN w:val="0"/>
              <w:adjustRightInd w:val="0"/>
              <w:spacing w:before="40" w:after="20"/>
              <w:jc w:val="right"/>
              <w:rPr>
                <w:color w:val="000000"/>
                <w:sz w:val="20"/>
                <w:szCs w:val="22"/>
                <w:lang w:val="fr-FR"/>
              </w:rPr>
            </w:pPr>
          </w:p>
        </w:tc>
        <w:tc>
          <w:tcPr>
            <w:tcW w:w="1196" w:type="dxa"/>
          </w:tcPr>
          <w:p w:rsidR="00000000" w:rsidRDefault="00000000">
            <w:pPr>
              <w:tabs>
                <w:tab w:val="decimal" w:pos="453"/>
              </w:tabs>
              <w:autoSpaceDE w:val="0"/>
              <w:autoSpaceDN w:val="0"/>
              <w:adjustRightInd w:val="0"/>
              <w:spacing w:before="40" w:after="20"/>
              <w:rPr>
                <w:color w:val="000000"/>
                <w:sz w:val="20"/>
                <w:szCs w:val="22"/>
                <w:lang w:val="fr-FR"/>
              </w:rPr>
            </w:pPr>
            <w:r>
              <w:rPr>
                <w:color w:val="000000"/>
                <w:sz w:val="20"/>
                <w:szCs w:val="22"/>
                <w:lang w:val="fr-FR"/>
              </w:rPr>
              <w:t xml:space="preserve">0,00 </w:t>
            </w:r>
          </w:p>
        </w:tc>
        <w:tc>
          <w:tcPr>
            <w:tcW w:w="1307" w:type="dxa"/>
          </w:tcPr>
          <w:p w:rsidR="00000000" w:rsidRDefault="00000000">
            <w:pPr>
              <w:autoSpaceDE w:val="0"/>
              <w:autoSpaceDN w:val="0"/>
              <w:adjustRightInd w:val="0"/>
              <w:spacing w:before="40" w:after="20"/>
              <w:ind w:right="290"/>
              <w:jc w:val="right"/>
              <w:rPr>
                <w:color w:val="000000"/>
                <w:sz w:val="20"/>
                <w:szCs w:val="22"/>
                <w:lang w:val="fr-FR"/>
              </w:rPr>
            </w:pPr>
            <w:r>
              <w:rPr>
                <w:color w:val="000000"/>
                <w:sz w:val="20"/>
                <w:szCs w:val="22"/>
                <w:lang w:val="fr-FR"/>
              </w:rPr>
              <w:t xml:space="preserve">80 716 </w:t>
            </w:r>
          </w:p>
        </w:tc>
        <w:tc>
          <w:tcPr>
            <w:tcW w:w="1140" w:type="dxa"/>
          </w:tcPr>
          <w:p w:rsidR="00000000" w:rsidRDefault="00000000">
            <w:pPr>
              <w:autoSpaceDE w:val="0"/>
              <w:autoSpaceDN w:val="0"/>
              <w:adjustRightInd w:val="0"/>
              <w:spacing w:before="40" w:after="20"/>
              <w:jc w:val="right"/>
              <w:rPr>
                <w:color w:val="000000"/>
                <w:sz w:val="20"/>
                <w:szCs w:val="22"/>
                <w:lang w:val="fr-FR"/>
              </w:rPr>
            </w:pPr>
          </w:p>
        </w:tc>
        <w:tc>
          <w:tcPr>
            <w:tcW w:w="1196" w:type="dxa"/>
          </w:tcPr>
          <w:p w:rsidR="00000000" w:rsidRDefault="00000000">
            <w:pPr>
              <w:tabs>
                <w:tab w:val="decimal" w:pos="410"/>
              </w:tabs>
              <w:autoSpaceDE w:val="0"/>
              <w:autoSpaceDN w:val="0"/>
              <w:adjustRightInd w:val="0"/>
              <w:spacing w:before="40" w:after="20"/>
              <w:rPr>
                <w:color w:val="000000"/>
                <w:sz w:val="20"/>
                <w:szCs w:val="22"/>
                <w:lang w:val="fr-FR"/>
              </w:rPr>
            </w:pPr>
            <w:r>
              <w:rPr>
                <w:color w:val="000000"/>
                <w:sz w:val="20"/>
                <w:szCs w:val="22"/>
                <w:lang w:val="fr-FR"/>
              </w:rPr>
              <w:t xml:space="preserve">0,00  </w:t>
            </w:r>
          </w:p>
        </w:tc>
      </w:tr>
    </w:tbl>
    <w:p w:rsidR="00000000" w:rsidRDefault="00000000">
      <w:pPr>
        <w:autoSpaceDE w:val="0"/>
        <w:autoSpaceDN w:val="0"/>
        <w:adjustRightInd w:val="0"/>
        <w:spacing w:before="80" w:after="20"/>
        <w:ind w:left="540"/>
        <w:rPr>
          <w:color w:val="000000"/>
          <w:sz w:val="20"/>
          <w:szCs w:val="22"/>
          <w:lang w:val="fr-FR"/>
        </w:rPr>
      </w:pPr>
      <w:r>
        <w:rPr>
          <w:i/>
          <w:iCs/>
          <w:color w:val="000000"/>
          <w:sz w:val="20"/>
          <w:szCs w:val="22"/>
          <w:lang w:val="fr-FR"/>
        </w:rPr>
        <w:t>Source :</w:t>
      </w:r>
      <w:r>
        <w:rPr>
          <w:color w:val="000000"/>
          <w:sz w:val="20"/>
          <w:szCs w:val="22"/>
          <w:lang w:val="fr-FR"/>
        </w:rPr>
        <w:t xml:space="preserve"> Système national de statistiques éducatives de l'Équateur (SINEC ).  </w:t>
      </w:r>
    </w:p>
    <w:p w:rsidR="00000000" w:rsidRDefault="00000000">
      <w:pPr>
        <w:autoSpaceDE w:val="0"/>
        <w:autoSpaceDN w:val="0"/>
        <w:adjustRightInd w:val="0"/>
        <w:spacing w:after="20"/>
        <w:ind w:left="540"/>
        <w:rPr>
          <w:color w:val="000000"/>
          <w:sz w:val="20"/>
          <w:szCs w:val="22"/>
          <w:lang w:val="fr-FR"/>
        </w:rPr>
      </w:pPr>
      <w:r>
        <w:rPr>
          <w:i/>
          <w:iCs/>
          <w:color w:val="000000"/>
          <w:sz w:val="20"/>
          <w:szCs w:val="22"/>
          <w:lang w:val="fr-FR"/>
        </w:rPr>
        <w:t>Note :</w:t>
      </w:r>
      <w:r>
        <w:rPr>
          <w:color w:val="000000"/>
          <w:sz w:val="20"/>
          <w:szCs w:val="22"/>
          <w:lang w:val="fr-FR"/>
        </w:rPr>
        <w:t xml:space="preserve"> Élaboration : Équipe statistique du Ministère l'éducation et de la culture.  </w:t>
      </w:r>
    </w:p>
    <w:p w:rsidR="00000000" w:rsidRDefault="00000000">
      <w:pPr>
        <w:autoSpaceDE w:val="0"/>
        <w:autoSpaceDN w:val="0"/>
        <w:adjustRightInd w:val="0"/>
        <w:spacing w:after="360"/>
        <w:ind w:left="540"/>
        <w:rPr>
          <w:color w:val="000000"/>
          <w:sz w:val="20"/>
          <w:szCs w:val="22"/>
          <w:lang w:val="fr-FR"/>
        </w:rPr>
      </w:pPr>
      <w:r>
        <w:rPr>
          <w:color w:val="000000"/>
          <w:sz w:val="20"/>
          <w:szCs w:val="22"/>
          <w:lang w:val="fr-FR"/>
        </w:rPr>
        <w:t xml:space="preserve">* Élèves promus de la troisième classe du cycle de base.  </w:t>
      </w:r>
    </w:p>
    <w:p w:rsidR="00000000" w:rsidRDefault="00000000">
      <w:pPr>
        <w:autoSpaceDE w:val="0"/>
        <w:autoSpaceDN w:val="0"/>
        <w:adjustRightInd w:val="0"/>
        <w:jc w:val="center"/>
        <w:rPr>
          <w:b/>
          <w:bCs/>
          <w:color w:val="000000"/>
          <w:sz w:val="20"/>
          <w:szCs w:val="18"/>
          <w:lang w:val="fr-FR"/>
        </w:rPr>
      </w:pPr>
      <w:r>
        <w:rPr>
          <w:b/>
          <w:bCs/>
          <w:color w:val="000000"/>
          <w:sz w:val="20"/>
          <w:szCs w:val="18"/>
          <w:lang w:val="fr-FR"/>
        </w:rPr>
        <w:t xml:space="preserve">Dépenses effectives consacrées au secteur de l’éducation, 1990-1998 </w:t>
      </w:r>
    </w:p>
    <w:p w:rsidR="00000000" w:rsidRDefault="00000000">
      <w:pPr>
        <w:autoSpaceDE w:val="0"/>
        <w:autoSpaceDN w:val="0"/>
        <w:adjustRightInd w:val="0"/>
        <w:spacing w:after="80"/>
        <w:jc w:val="center"/>
        <w:rPr>
          <w:i/>
          <w:iCs/>
          <w:color w:val="000000"/>
          <w:sz w:val="20"/>
          <w:szCs w:val="18"/>
          <w:lang w:val="fr-FR"/>
        </w:rPr>
      </w:pPr>
      <w:r>
        <w:rPr>
          <w:i/>
          <w:iCs/>
          <w:color w:val="000000"/>
          <w:sz w:val="20"/>
          <w:szCs w:val="18"/>
          <w:lang w:val="fr-FR"/>
        </w:rPr>
        <w:t xml:space="preserve">(milliards de sucres, millions de dollars des États-Unis, </w:t>
      </w:r>
      <w:r>
        <w:rPr>
          <w:i/>
          <w:iCs/>
          <w:color w:val="000000"/>
          <w:sz w:val="20"/>
          <w:szCs w:val="18"/>
          <w:highlight w:val="white"/>
          <w:lang w:val="fr-FR"/>
        </w:rPr>
        <w:t xml:space="preserve">pourcentage du PIB)  </w:t>
      </w:r>
    </w:p>
    <w:tbl>
      <w:tblPr>
        <w:tblW w:w="8505" w:type="dxa"/>
        <w:jc w:val="center"/>
        <w:tblInd w:w="70" w:type="dxa"/>
        <w:tblBorders>
          <w:top w:val="single" w:sz="6" w:space="0" w:color="auto"/>
          <w:bottom w:val="single" w:sz="6" w:space="0" w:color="auto"/>
        </w:tblBorders>
        <w:tblLayout w:type="fixed"/>
        <w:tblCellMar>
          <w:left w:w="70" w:type="dxa"/>
          <w:right w:w="70" w:type="dxa"/>
        </w:tblCellMar>
        <w:tblLook w:val="0000" w:firstRow="0" w:lastRow="0" w:firstColumn="0" w:lastColumn="0" w:noHBand="0" w:noVBand="0"/>
      </w:tblPr>
      <w:tblGrid>
        <w:gridCol w:w="1657"/>
        <w:gridCol w:w="739"/>
        <w:gridCol w:w="738"/>
        <w:gridCol w:w="738"/>
        <w:gridCol w:w="729"/>
        <w:gridCol w:w="801"/>
        <w:gridCol w:w="765"/>
        <w:gridCol w:w="738"/>
        <w:gridCol w:w="818"/>
        <w:gridCol w:w="782"/>
      </w:tblGrid>
      <w:tr w:rsidR="00000000">
        <w:tblPrEx>
          <w:tblCellMar>
            <w:top w:w="0" w:type="dxa"/>
            <w:bottom w:w="0" w:type="dxa"/>
          </w:tblCellMar>
        </w:tblPrEx>
        <w:trPr>
          <w:jc w:val="center"/>
        </w:trPr>
        <w:tc>
          <w:tcPr>
            <w:tcW w:w="1841" w:type="dxa"/>
            <w:tcBorders>
              <w:top w:val="single" w:sz="6" w:space="0" w:color="auto"/>
              <w:bottom w:val="single" w:sz="6" w:space="0" w:color="auto"/>
            </w:tcBorders>
            <w:vAlign w:val="center"/>
          </w:tcPr>
          <w:p w:rsidR="00000000" w:rsidRDefault="00000000">
            <w:pPr>
              <w:autoSpaceDE w:val="0"/>
              <w:autoSpaceDN w:val="0"/>
              <w:adjustRightInd w:val="0"/>
              <w:spacing w:before="40" w:after="20"/>
              <w:jc w:val="center"/>
              <w:rPr>
                <w:b/>
                <w:bCs/>
                <w:i/>
                <w:iCs/>
                <w:color w:val="000000"/>
                <w:sz w:val="20"/>
                <w:szCs w:val="18"/>
                <w:lang w:val="fr-FR"/>
              </w:rPr>
            </w:pPr>
            <w:r>
              <w:rPr>
                <w:b/>
                <w:bCs/>
                <w:i/>
                <w:iCs/>
                <w:color w:val="000000"/>
                <w:sz w:val="20"/>
                <w:szCs w:val="18"/>
                <w:lang w:val="fr-FR"/>
              </w:rPr>
              <w:t>Secteur de l’éducation</w:t>
            </w:r>
          </w:p>
        </w:tc>
        <w:tc>
          <w:tcPr>
            <w:tcW w:w="810" w:type="dxa"/>
            <w:tcBorders>
              <w:top w:val="single" w:sz="6" w:space="0" w:color="auto"/>
              <w:bottom w:val="single" w:sz="6" w:space="0" w:color="auto"/>
            </w:tcBorders>
            <w:vAlign w:val="center"/>
          </w:tcPr>
          <w:p w:rsidR="00000000" w:rsidRDefault="00000000">
            <w:pPr>
              <w:autoSpaceDE w:val="0"/>
              <w:autoSpaceDN w:val="0"/>
              <w:adjustRightInd w:val="0"/>
              <w:spacing w:before="40" w:after="20"/>
              <w:jc w:val="center"/>
              <w:rPr>
                <w:b/>
                <w:bCs/>
                <w:i/>
                <w:iCs/>
                <w:color w:val="000000"/>
                <w:sz w:val="20"/>
                <w:szCs w:val="18"/>
                <w:lang w:val="fr-FR"/>
              </w:rPr>
            </w:pPr>
            <w:r>
              <w:rPr>
                <w:b/>
                <w:bCs/>
                <w:i/>
                <w:iCs/>
                <w:color w:val="000000"/>
                <w:sz w:val="20"/>
                <w:szCs w:val="18"/>
                <w:lang w:val="fr-FR"/>
              </w:rPr>
              <w:t>1990</w:t>
            </w:r>
          </w:p>
        </w:tc>
        <w:tc>
          <w:tcPr>
            <w:tcW w:w="810" w:type="dxa"/>
            <w:tcBorders>
              <w:top w:val="single" w:sz="6" w:space="0" w:color="auto"/>
              <w:bottom w:val="single" w:sz="6" w:space="0" w:color="auto"/>
            </w:tcBorders>
            <w:vAlign w:val="center"/>
          </w:tcPr>
          <w:p w:rsidR="00000000" w:rsidRDefault="00000000">
            <w:pPr>
              <w:autoSpaceDE w:val="0"/>
              <w:autoSpaceDN w:val="0"/>
              <w:adjustRightInd w:val="0"/>
              <w:spacing w:before="40" w:after="20"/>
              <w:jc w:val="center"/>
              <w:rPr>
                <w:b/>
                <w:bCs/>
                <w:i/>
                <w:iCs/>
                <w:color w:val="000000"/>
                <w:sz w:val="20"/>
                <w:szCs w:val="18"/>
                <w:lang w:val="fr-FR"/>
              </w:rPr>
            </w:pPr>
            <w:r>
              <w:rPr>
                <w:b/>
                <w:bCs/>
                <w:i/>
                <w:iCs/>
                <w:color w:val="000000"/>
                <w:sz w:val="20"/>
                <w:szCs w:val="18"/>
                <w:lang w:val="fr-FR"/>
              </w:rPr>
              <w:t>1991</w:t>
            </w:r>
          </w:p>
        </w:tc>
        <w:tc>
          <w:tcPr>
            <w:tcW w:w="810" w:type="dxa"/>
            <w:tcBorders>
              <w:top w:val="single" w:sz="6" w:space="0" w:color="auto"/>
              <w:bottom w:val="single" w:sz="6" w:space="0" w:color="auto"/>
            </w:tcBorders>
            <w:vAlign w:val="center"/>
          </w:tcPr>
          <w:p w:rsidR="00000000" w:rsidRDefault="00000000">
            <w:pPr>
              <w:autoSpaceDE w:val="0"/>
              <w:autoSpaceDN w:val="0"/>
              <w:adjustRightInd w:val="0"/>
              <w:spacing w:before="40" w:after="20"/>
              <w:jc w:val="center"/>
              <w:rPr>
                <w:b/>
                <w:bCs/>
                <w:i/>
                <w:iCs/>
                <w:color w:val="000000"/>
                <w:sz w:val="20"/>
                <w:szCs w:val="18"/>
                <w:lang w:val="fr-FR"/>
              </w:rPr>
            </w:pPr>
            <w:r>
              <w:rPr>
                <w:b/>
                <w:bCs/>
                <w:i/>
                <w:iCs/>
                <w:color w:val="000000"/>
                <w:sz w:val="20"/>
                <w:szCs w:val="18"/>
                <w:lang w:val="fr-FR"/>
              </w:rPr>
              <w:t>1992</w:t>
            </w:r>
          </w:p>
        </w:tc>
        <w:tc>
          <w:tcPr>
            <w:tcW w:w="800" w:type="dxa"/>
            <w:tcBorders>
              <w:top w:val="single" w:sz="6" w:space="0" w:color="auto"/>
              <w:bottom w:val="single" w:sz="6" w:space="0" w:color="auto"/>
            </w:tcBorders>
            <w:vAlign w:val="center"/>
          </w:tcPr>
          <w:p w:rsidR="00000000" w:rsidRDefault="00000000">
            <w:pPr>
              <w:autoSpaceDE w:val="0"/>
              <w:autoSpaceDN w:val="0"/>
              <w:adjustRightInd w:val="0"/>
              <w:spacing w:before="40" w:after="20"/>
              <w:jc w:val="center"/>
              <w:rPr>
                <w:b/>
                <w:bCs/>
                <w:i/>
                <w:iCs/>
                <w:color w:val="000000"/>
                <w:sz w:val="20"/>
                <w:szCs w:val="18"/>
                <w:lang w:val="fr-FR"/>
              </w:rPr>
            </w:pPr>
            <w:r>
              <w:rPr>
                <w:b/>
                <w:bCs/>
                <w:i/>
                <w:iCs/>
                <w:color w:val="000000"/>
                <w:sz w:val="20"/>
                <w:szCs w:val="18"/>
                <w:lang w:val="fr-FR"/>
              </w:rPr>
              <w:t>1993</w:t>
            </w:r>
          </w:p>
        </w:tc>
        <w:tc>
          <w:tcPr>
            <w:tcW w:w="880" w:type="dxa"/>
            <w:tcBorders>
              <w:top w:val="single" w:sz="6" w:space="0" w:color="auto"/>
              <w:bottom w:val="single" w:sz="6" w:space="0" w:color="auto"/>
            </w:tcBorders>
            <w:vAlign w:val="center"/>
          </w:tcPr>
          <w:p w:rsidR="00000000" w:rsidRDefault="00000000">
            <w:pPr>
              <w:autoSpaceDE w:val="0"/>
              <w:autoSpaceDN w:val="0"/>
              <w:adjustRightInd w:val="0"/>
              <w:spacing w:before="40" w:after="20"/>
              <w:jc w:val="center"/>
              <w:rPr>
                <w:b/>
                <w:bCs/>
                <w:i/>
                <w:iCs/>
                <w:color w:val="000000"/>
                <w:sz w:val="20"/>
                <w:szCs w:val="18"/>
                <w:lang w:val="fr-FR"/>
              </w:rPr>
            </w:pPr>
            <w:r>
              <w:rPr>
                <w:b/>
                <w:bCs/>
                <w:i/>
                <w:iCs/>
                <w:color w:val="000000"/>
                <w:sz w:val="20"/>
                <w:szCs w:val="18"/>
                <w:lang w:val="fr-FR"/>
              </w:rPr>
              <w:t>1994</w:t>
            </w:r>
          </w:p>
        </w:tc>
        <w:tc>
          <w:tcPr>
            <w:tcW w:w="840" w:type="dxa"/>
            <w:tcBorders>
              <w:top w:val="single" w:sz="6" w:space="0" w:color="auto"/>
              <w:bottom w:val="single" w:sz="6" w:space="0" w:color="auto"/>
            </w:tcBorders>
            <w:vAlign w:val="center"/>
          </w:tcPr>
          <w:p w:rsidR="00000000" w:rsidRDefault="00000000">
            <w:pPr>
              <w:autoSpaceDE w:val="0"/>
              <w:autoSpaceDN w:val="0"/>
              <w:adjustRightInd w:val="0"/>
              <w:spacing w:before="40" w:after="20"/>
              <w:jc w:val="center"/>
              <w:rPr>
                <w:b/>
                <w:bCs/>
                <w:i/>
                <w:iCs/>
                <w:color w:val="000000"/>
                <w:sz w:val="20"/>
                <w:szCs w:val="18"/>
                <w:lang w:val="fr-FR"/>
              </w:rPr>
            </w:pPr>
            <w:r>
              <w:rPr>
                <w:b/>
                <w:bCs/>
                <w:i/>
                <w:iCs/>
                <w:color w:val="000000"/>
                <w:sz w:val="20"/>
                <w:szCs w:val="18"/>
                <w:lang w:val="fr-FR"/>
              </w:rPr>
              <w:t>1995</w:t>
            </w:r>
          </w:p>
        </w:tc>
        <w:tc>
          <w:tcPr>
            <w:tcW w:w="810" w:type="dxa"/>
            <w:tcBorders>
              <w:top w:val="single" w:sz="6" w:space="0" w:color="auto"/>
              <w:bottom w:val="single" w:sz="6" w:space="0" w:color="auto"/>
            </w:tcBorders>
            <w:vAlign w:val="center"/>
          </w:tcPr>
          <w:p w:rsidR="00000000" w:rsidRDefault="00000000">
            <w:pPr>
              <w:autoSpaceDE w:val="0"/>
              <w:autoSpaceDN w:val="0"/>
              <w:adjustRightInd w:val="0"/>
              <w:spacing w:before="40" w:after="20"/>
              <w:jc w:val="center"/>
              <w:rPr>
                <w:b/>
                <w:bCs/>
                <w:i/>
                <w:iCs/>
                <w:color w:val="000000"/>
                <w:sz w:val="20"/>
                <w:szCs w:val="18"/>
                <w:lang w:val="fr-FR"/>
              </w:rPr>
            </w:pPr>
            <w:r>
              <w:rPr>
                <w:b/>
                <w:bCs/>
                <w:i/>
                <w:iCs/>
                <w:color w:val="000000"/>
                <w:sz w:val="20"/>
                <w:szCs w:val="18"/>
                <w:lang w:val="fr-FR"/>
              </w:rPr>
              <w:t>1996 *</w:t>
            </w:r>
          </w:p>
        </w:tc>
        <w:tc>
          <w:tcPr>
            <w:tcW w:w="900" w:type="dxa"/>
            <w:tcBorders>
              <w:top w:val="single" w:sz="6" w:space="0" w:color="auto"/>
              <w:bottom w:val="single" w:sz="6" w:space="0" w:color="auto"/>
            </w:tcBorders>
            <w:vAlign w:val="center"/>
          </w:tcPr>
          <w:p w:rsidR="00000000" w:rsidRDefault="00000000">
            <w:pPr>
              <w:autoSpaceDE w:val="0"/>
              <w:autoSpaceDN w:val="0"/>
              <w:adjustRightInd w:val="0"/>
              <w:spacing w:before="40" w:after="20"/>
              <w:jc w:val="center"/>
              <w:rPr>
                <w:b/>
                <w:bCs/>
                <w:i/>
                <w:iCs/>
                <w:color w:val="000000"/>
                <w:sz w:val="20"/>
                <w:szCs w:val="18"/>
                <w:lang w:val="fr-FR"/>
              </w:rPr>
            </w:pPr>
            <w:r>
              <w:rPr>
                <w:b/>
                <w:bCs/>
                <w:i/>
                <w:iCs/>
                <w:color w:val="000000"/>
                <w:sz w:val="20"/>
                <w:szCs w:val="18"/>
                <w:lang w:val="fr-FR"/>
              </w:rPr>
              <w:t>1997 *</w:t>
            </w:r>
          </w:p>
        </w:tc>
        <w:tc>
          <w:tcPr>
            <w:tcW w:w="859" w:type="dxa"/>
            <w:tcBorders>
              <w:top w:val="single" w:sz="6" w:space="0" w:color="auto"/>
              <w:bottom w:val="single" w:sz="6" w:space="0" w:color="auto"/>
            </w:tcBorders>
            <w:vAlign w:val="center"/>
          </w:tcPr>
          <w:p w:rsidR="00000000" w:rsidRDefault="00000000">
            <w:pPr>
              <w:autoSpaceDE w:val="0"/>
              <w:autoSpaceDN w:val="0"/>
              <w:adjustRightInd w:val="0"/>
              <w:spacing w:before="40" w:after="20"/>
              <w:jc w:val="center"/>
              <w:rPr>
                <w:b/>
                <w:bCs/>
                <w:i/>
                <w:iCs/>
                <w:color w:val="000000"/>
                <w:sz w:val="20"/>
                <w:szCs w:val="18"/>
                <w:lang w:val="fr-FR"/>
              </w:rPr>
            </w:pPr>
            <w:r>
              <w:rPr>
                <w:b/>
                <w:bCs/>
                <w:i/>
                <w:iCs/>
                <w:color w:val="000000"/>
                <w:sz w:val="20"/>
                <w:szCs w:val="18"/>
                <w:lang w:val="fr-FR"/>
              </w:rPr>
              <w:t>1998 *</w:t>
            </w:r>
          </w:p>
        </w:tc>
      </w:tr>
      <w:tr w:rsidR="00000000">
        <w:tblPrEx>
          <w:tblCellMar>
            <w:top w:w="0" w:type="dxa"/>
            <w:bottom w:w="0" w:type="dxa"/>
          </w:tblCellMar>
        </w:tblPrEx>
        <w:trPr>
          <w:jc w:val="center"/>
        </w:trPr>
        <w:tc>
          <w:tcPr>
            <w:tcW w:w="1841" w:type="dxa"/>
            <w:tcBorders>
              <w:top w:val="single" w:sz="6" w:space="0" w:color="auto"/>
            </w:tcBorders>
          </w:tcPr>
          <w:p w:rsidR="00000000" w:rsidRDefault="00000000">
            <w:pPr>
              <w:autoSpaceDE w:val="0"/>
              <w:autoSpaceDN w:val="0"/>
              <w:adjustRightInd w:val="0"/>
              <w:spacing w:before="40" w:after="20"/>
              <w:rPr>
                <w:color w:val="000000"/>
                <w:sz w:val="19"/>
                <w:szCs w:val="18"/>
                <w:lang w:val="fr-FR"/>
              </w:rPr>
            </w:pPr>
            <w:r>
              <w:rPr>
                <w:color w:val="000000"/>
                <w:sz w:val="19"/>
                <w:szCs w:val="18"/>
                <w:lang w:val="fr-FR"/>
              </w:rPr>
              <w:t xml:space="preserve">Sucres </w:t>
            </w:r>
          </w:p>
        </w:tc>
        <w:tc>
          <w:tcPr>
            <w:tcW w:w="810" w:type="dxa"/>
            <w:tcBorders>
              <w:top w:val="single" w:sz="6" w:space="0" w:color="auto"/>
            </w:tcBorders>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223,6 </w:t>
            </w:r>
          </w:p>
        </w:tc>
        <w:tc>
          <w:tcPr>
            <w:tcW w:w="810" w:type="dxa"/>
            <w:tcBorders>
              <w:top w:val="single" w:sz="6" w:space="0" w:color="auto"/>
            </w:tcBorders>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357,2 </w:t>
            </w:r>
          </w:p>
        </w:tc>
        <w:tc>
          <w:tcPr>
            <w:tcW w:w="810" w:type="dxa"/>
            <w:tcBorders>
              <w:top w:val="single" w:sz="6" w:space="0" w:color="auto"/>
            </w:tcBorders>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605,1 </w:t>
            </w:r>
          </w:p>
        </w:tc>
        <w:tc>
          <w:tcPr>
            <w:tcW w:w="800" w:type="dxa"/>
            <w:tcBorders>
              <w:top w:val="single" w:sz="6" w:space="0" w:color="auto"/>
            </w:tcBorders>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797,2 </w:t>
            </w:r>
          </w:p>
        </w:tc>
        <w:tc>
          <w:tcPr>
            <w:tcW w:w="880" w:type="dxa"/>
            <w:tcBorders>
              <w:top w:val="single" w:sz="6" w:space="0" w:color="auto"/>
            </w:tcBorders>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1 018,6 </w:t>
            </w:r>
          </w:p>
        </w:tc>
        <w:tc>
          <w:tcPr>
            <w:tcW w:w="840" w:type="dxa"/>
            <w:tcBorders>
              <w:top w:val="single" w:sz="6" w:space="0" w:color="auto"/>
            </w:tcBorders>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1 434,5 </w:t>
            </w:r>
          </w:p>
        </w:tc>
        <w:tc>
          <w:tcPr>
            <w:tcW w:w="810" w:type="dxa"/>
            <w:tcBorders>
              <w:top w:val="single" w:sz="6" w:space="0" w:color="auto"/>
            </w:tcBorders>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1 933,9 </w:t>
            </w:r>
          </w:p>
        </w:tc>
        <w:tc>
          <w:tcPr>
            <w:tcW w:w="900" w:type="dxa"/>
            <w:tcBorders>
              <w:top w:val="single" w:sz="6" w:space="0" w:color="auto"/>
            </w:tcBorders>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2 256,6 </w:t>
            </w:r>
          </w:p>
        </w:tc>
        <w:tc>
          <w:tcPr>
            <w:tcW w:w="859" w:type="dxa"/>
            <w:tcBorders>
              <w:top w:val="single" w:sz="6" w:space="0" w:color="auto"/>
            </w:tcBorders>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3 369,3  </w:t>
            </w:r>
          </w:p>
        </w:tc>
      </w:tr>
      <w:tr w:rsidR="00000000">
        <w:tblPrEx>
          <w:tblCellMar>
            <w:top w:w="0" w:type="dxa"/>
            <w:bottom w:w="0" w:type="dxa"/>
          </w:tblCellMar>
        </w:tblPrEx>
        <w:trPr>
          <w:jc w:val="center"/>
        </w:trPr>
        <w:tc>
          <w:tcPr>
            <w:tcW w:w="1841" w:type="dxa"/>
          </w:tcPr>
          <w:p w:rsidR="00000000" w:rsidRDefault="00000000">
            <w:pPr>
              <w:autoSpaceDE w:val="0"/>
              <w:autoSpaceDN w:val="0"/>
              <w:adjustRightInd w:val="0"/>
              <w:spacing w:before="40" w:after="20"/>
              <w:rPr>
                <w:color w:val="000000"/>
                <w:sz w:val="19"/>
                <w:szCs w:val="18"/>
                <w:lang w:val="fr-FR"/>
              </w:rPr>
            </w:pPr>
            <w:r>
              <w:rPr>
                <w:color w:val="000000"/>
                <w:sz w:val="19"/>
                <w:szCs w:val="18"/>
                <w:lang w:val="fr-FR"/>
              </w:rPr>
              <w:t xml:space="preserve">Dollars </w:t>
            </w:r>
          </w:p>
        </w:tc>
        <w:tc>
          <w:tcPr>
            <w:tcW w:w="810" w:type="dxa"/>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269,9 </w:t>
            </w:r>
          </w:p>
        </w:tc>
        <w:tc>
          <w:tcPr>
            <w:tcW w:w="810" w:type="dxa"/>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322,8 </w:t>
            </w:r>
          </w:p>
        </w:tc>
        <w:tc>
          <w:tcPr>
            <w:tcW w:w="810" w:type="dxa"/>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378,6 </w:t>
            </w:r>
          </w:p>
        </w:tc>
        <w:tc>
          <w:tcPr>
            <w:tcW w:w="800" w:type="dxa"/>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415,3 </w:t>
            </w:r>
          </w:p>
        </w:tc>
        <w:tc>
          <w:tcPr>
            <w:tcW w:w="880" w:type="dxa"/>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463,6 </w:t>
            </w:r>
          </w:p>
        </w:tc>
        <w:tc>
          <w:tcPr>
            <w:tcW w:w="840" w:type="dxa"/>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559,2 </w:t>
            </w:r>
          </w:p>
        </w:tc>
        <w:tc>
          <w:tcPr>
            <w:tcW w:w="810" w:type="dxa"/>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606,2 </w:t>
            </w:r>
          </w:p>
        </w:tc>
        <w:tc>
          <w:tcPr>
            <w:tcW w:w="900" w:type="dxa"/>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564,3 </w:t>
            </w:r>
          </w:p>
        </w:tc>
        <w:tc>
          <w:tcPr>
            <w:tcW w:w="859" w:type="dxa"/>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618,6  </w:t>
            </w:r>
          </w:p>
        </w:tc>
      </w:tr>
      <w:tr w:rsidR="00000000">
        <w:tblPrEx>
          <w:tblCellMar>
            <w:top w:w="0" w:type="dxa"/>
            <w:bottom w:w="0" w:type="dxa"/>
          </w:tblCellMar>
        </w:tblPrEx>
        <w:trPr>
          <w:jc w:val="center"/>
        </w:trPr>
        <w:tc>
          <w:tcPr>
            <w:tcW w:w="1841" w:type="dxa"/>
          </w:tcPr>
          <w:p w:rsidR="00000000" w:rsidRDefault="00000000">
            <w:pPr>
              <w:autoSpaceDE w:val="0"/>
              <w:autoSpaceDN w:val="0"/>
              <w:adjustRightInd w:val="0"/>
              <w:spacing w:before="40" w:after="20"/>
              <w:rPr>
                <w:color w:val="000000"/>
                <w:sz w:val="19"/>
                <w:szCs w:val="18"/>
                <w:lang w:val="fr-FR"/>
              </w:rPr>
            </w:pPr>
            <w:r>
              <w:rPr>
                <w:color w:val="000000"/>
                <w:sz w:val="19"/>
                <w:szCs w:val="18"/>
                <w:lang w:val="fr-FR"/>
              </w:rPr>
              <w:t>Pourcentage du PIB</w:t>
            </w:r>
          </w:p>
        </w:tc>
        <w:tc>
          <w:tcPr>
            <w:tcW w:w="810"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2,73 </w:t>
            </w:r>
          </w:p>
        </w:tc>
        <w:tc>
          <w:tcPr>
            <w:tcW w:w="810"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2,91 </w:t>
            </w:r>
          </w:p>
        </w:tc>
        <w:tc>
          <w:tcPr>
            <w:tcW w:w="810"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3,12 </w:t>
            </w:r>
          </w:p>
        </w:tc>
        <w:tc>
          <w:tcPr>
            <w:tcW w:w="800"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2,90 </w:t>
            </w:r>
          </w:p>
        </w:tc>
        <w:tc>
          <w:tcPr>
            <w:tcW w:w="880"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2,79 </w:t>
            </w:r>
          </w:p>
        </w:tc>
        <w:tc>
          <w:tcPr>
            <w:tcW w:w="840"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3,12 </w:t>
            </w:r>
          </w:p>
        </w:tc>
        <w:tc>
          <w:tcPr>
            <w:tcW w:w="810"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3,18 </w:t>
            </w:r>
          </w:p>
        </w:tc>
        <w:tc>
          <w:tcPr>
            <w:tcW w:w="900"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2,85 </w:t>
            </w:r>
          </w:p>
        </w:tc>
        <w:tc>
          <w:tcPr>
            <w:tcW w:w="859"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3,14  </w:t>
            </w:r>
          </w:p>
        </w:tc>
      </w:tr>
      <w:tr w:rsidR="00000000">
        <w:tblPrEx>
          <w:tblCellMar>
            <w:top w:w="0" w:type="dxa"/>
            <w:bottom w:w="0" w:type="dxa"/>
          </w:tblCellMar>
        </w:tblPrEx>
        <w:trPr>
          <w:jc w:val="center"/>
        </w:trPr>
        <w:tc>
          <w:tcPr>
            <w:tcW w:w="1841" w:type="dxa"/>
          </w:tcPr>
          <w:p w:rsidR="00000000" w:rsidRDefault="00000000">
            <w:pPr>
              <w:autoSpaceDE w:val="0"/>
              <w:autoSpaceDN w:val="0"/>
              <w:adjustRightInd w:val="0"/>
              <w:spacing w:before="40" w:after="20"/>
              <w:rPr>
                <w:color w:val="000000"/>
                <w:sz w:val="19"/>
                <w:szCs w:val="18"/>
                <w:lang w:val="fr-FR"/>
              </w:rPr>
            </w:pPr>
            <w:r>
              <w:rPr>
                <w:color w:val="000000"/>
                <w:sz w:val="19"/>
                <w:szCs w:val="18"/>
                <w:lang w:val="fr-FR"/>
              </w:rPr>
              <w:t>Pourcentage des dépenses totales</w:t>
            </w:r>
          </w:p>
        </w:tc>
        <w:tc>
          <w:tcPr>
            <w:tcW w:w="810"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18,52 </w:t>
            </w:r>
          </w:p>
        </w:tc>
        <w:tc>
          <w:tcPr>
            <w:tcW w:w="810"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21,74 </w:t>
            </w:r>
          </w:p>
        </w:tc>
        <w:tc>
          <w:tcPr>
            <w:tcW w:w="810"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23,75 </w:t>
            </w:r>
          </w:p>
        </w:tc>
        <w:tc>
          <w:tcPr>
            <w:tcW w:w="800"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21,18 </w:t>
            </w:r>
          </w:p>
        </w:tc>
        <w:tc>
          <w:tcPr>
            <w:tcW w:w="880"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18,41 </w:t>
            </w:r>
          </w:p>
        </w:tc>
        <w:tc>
          <w:tcPr>
            <w:tcW w:w="840"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16,97 </w:t>
            </w:r>
          </w:p>
        </w:tc>
        <w:tc>
          <w:tcPr>
            <w:tcW w:w="810"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23,47 </w:t>
            </w:r>
          </w:p>
        </w:tc>
        <w:tc>
          <w:tcPr>
            <w:tcW w:w="900"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22,84 </w:t>
            </w:r>
          </w:p>
        </w:tc>
        <w:tc>
          <w:tcPr>
            <w:tcW w:w="859" w:type="dxa"/>
            <w:vAlign w:val="center"/>
          </w:tcPr>
          <w:p w:rsidR="00000000" w:rsidRDefault="00000000">
            <w:pPr>
              <w:tabs>
                <w:tab w:val="decimal" w:pos="339"/>
              </w:tabs>
              <w:autoSpaceDE w:val="0"/>
              <w:autoSpaceDN w:val="0"/>
              <w:adjustRightInd w:val="0"/>
              <w:spacing w:before="40" w:after="20"/>
              <w:rPr>
                <w:color w:val="000000"/>
                <w:sz w:val="19"/>
                <w:szCs w:val="18"/>
                <w:lang w:val="fr-FR"/>
              </w:rPr>
            </w:pPr>
            <w:r>
              <w:rPr>
                <w:color w:val="000000"/>
                <w:sz w:val="19"/>
                <w:szCs w:val="18"/>
                <w:lang w:val="fr-FR"/>
              </w:rPr>
              <w:t xml:space="preserve">16,33  </w:t>
            </w:r>
          </w:p>
        </w:tc>
      </w:tr>
    </w:tbl>
    <w:p w:rsidR="00000000" w:rsidRDefault="00000000">
      <w:pPr>
        <w:autoSpaceDE w:val="0"/>
        <w:autoSpaceDN w:val="0"/>
        <w:adjustRightInd w:val="0"/>
        <w:spacing w:before="80" w:after="20"/>
        <w:ind w:left="567"/>
        <w:rPr>
          <w:color w:val="000000"/>
          <w:sz w:val="20"/>
          <w:szCs w:val="18"/>
          <w:lang w:val="fr-FR"/>
        </w:rPr>
      </w:pPr>
      <w:r>
        <w:rPr>
          <w:i/>
          <w:iCs/>
          <w:color w:val="000000"/>
          <w:sz w:val="20"/>
          <w:szCs w:val="18"/>
          <w:lang w:val="fr-FR"/>
        </w:rPr>
        <w:t>Source :</w:t>
      </w:r>
      <w:r>
        <w:rPr>
          <w:color w:val="000000"/>
          <w:sz w:val="20"/>
          <w:szCs w:val="18"/>
          <w:lang w:val="fr-FR"/>
        </w:rPr>
        <w:t xml:space="preserve"> Ministère les finances et du crédit public - Élaboration : Sous-secrétariat technique.</w:t>
      </w:r>
    </w:p>
    <w:p w:rsidR="00000000" w:rsidRDefault="00000000">
      <w:pPr>
        <w:spacing w:after="240"/>
        <w:ind w:left="567"/>
        <w:rPr>
          <w:color w:val="000000"/>
          <w:sz w:val="20"/>
          <w:szCs w:val="18"/>
          <w:lang w:val="fr-FR"/>
        </w:rPr>
      </w:pPr>
      <w:r>
        <w:rPr>
          <w:color w:val="000000"/>
          <w:sz w:val="20"/>
          <w:szCs w:val="18"/>
          <w:lang w:val="fr-FR"/>
        </w:rPr>
        <w:t>* Données provisoires.</w:t>
      </w:r>
    </w:p>
    <w:p w:rsidR="00000000" w:rsidRDefault="00000000">
      <w:pPr>
        <w:spacing w:after="240"/>
        <w:rPr>
          <w:bCs/>
          <w:lang w:val="fr-FR"/>
        </w:rPr>
      </w:pPr>
      <w:r>
        <w:rPr>
          <w:bCs/>
          <w:lang w:val="fr-FR"/>
        </w:rPr>
        <w:t>504.</w:t>
      </w:r>
      <w:r>
        <w:rPr>
          <w:bCs/>
          <w:lang w:val="fr-FR"/>
        </w:rPr>
        <w:tab/>
        <w:t>Lorsqu'on examine l’affectation des ressources du Gouvernement central au cours de la décennie écoulée, on constate que le pourcentage des crédits alloués au secteur de l'éducation en pourcentage du PIB comme du budget général de l’État est resté stable, ce qui témoigne de la priorité relative accordée à ces dépenses au cours de la période.  Par ailleurs, en 1998, ces dépenses ont enregistré, en valeur absolue, un accroissement de 54,3 millions de dollars par rapport à l'année antérieure.</w:t>
      </w:r>
    </w:p>
    <w:p w:rsidR="00000000" w:rsidRDefault="00000000">
      <w:pPr>
        <w:spacing w:after="240"/>
        <w:rPr>
          <w:bCs/>
          <w:lang w:val="fr-FR"/>
        </w:rPr>
      </w:pPr>
      <w:r>
        <w:rPr>
          <w:bCs/>
          <w:lang w:val="fr-FR"/>
        </w:rPr>
        <w:t>505.</w:t>
      </w:r>
      <w:r>
        <w:rPr>
          <w:bCs/>
          <w:lang w:val="fr-FR"/>
        </w:rPr>
        <w:tab/>
        <w:t>Dans le budget de l'éducation, 95 % des ressources sont destinées aux salaires et moins de 5 % à l'investissement.  En ce qui concerne les immatriculations dans l'enseignement général, 78 % sont concentrées dans le secteur public.  Avant la réforme des programmes, l'investissement par élève était moindre dans le niveau primaire que dans les autres niveaux</w:t>
      </w:r>
      <w:r>
        <w:rPr>
          <w:rStyle w:val="FootnoteReference"/>
          <w:b/>
          <w:bCs/>
          <w:lang w:val="fr-FR"/>
        </w:rPr>
        <w:footnoteReference w:id="71"/>
      </w:r>
      <w:r>
        <w:rPr>
          <w:bCs/>
          <w:lang w:val="fr-FR"/>
        </w:rPr>
        <w:t>.</w:t>
      </w:r>
    </w:p>
    <w:p w:rsidR="00000000" w:rsidRDefault="00000000">
      <w:pPr>
        <w:spacing w:after="240"/>
        <w:rPr>
          <w:bCs/>
          <w:lang w:val="fr-FR"/>
        </w:rPr>
      </w:pPr>
      <w:r>
        <w:rPr>
          <w:bCs/>
          <w:lang w:val="fr-FR"/>
        </w:rPr>
        <w:t>506.</w:t>
      </w:r>
      <w:r>
        <w:rPr>
          <w:bCs/>
          <w:lang w:val="fr-FR"/>
        </w:rPr>
        <w:tab/>
        <w:t>Lorsqu'on examine en détail les secteurs où le niveau des dépenses publiques a diminué au cours des deux dernières années, on voit que les dépenses sociales constituent le secteur le plus sensible, malgré la réduction notable du niveau d'alphabétisation, qui se situait à 8,2 % en 2001</w:t>
      </w:r>
      <w:r>
        <w:rPr>
          <w:rStyle w:val="FootnoteReference"/>
          <w:b/>
          <w:bCs/>
          <w:lang w:val="fr-FR"/>
        </w:rPr>
        <w:footnoteReference w:id="72"/>
      </w:r>
      <w:r>
        <w:rPr>
          <w:bCs/>
          <w:lang w:val="fr-FR"/>
        </w:rPr>
        <w:t>.</w:t>
      </w:r>
    </w:p>
    <w:p w:rsidR="00000000" w:rsidRDefault="00000000">
      <w:pPr>
        <w:spacing w:after="240"/>
        <w:rPr>
          <w:bCs/>
          <w:sz w:val="20"/>
          <w:lang w:val="fr-FR"/>
        </w:rPr>
      </w:pPr>
      <w:r>
        <w:rPr>
          <w:bCs/>
          <w:lang w:val="fr-FR"/>
        </w:rPr>
        <w:t>507.</w:t>
      </w:r>
      <w:r>
        <w:rPr>
          <w:bCs/>
          <w:lang w:val="fr-FR"/>
        </w:rPr>
        <w:tab/>
        <w:t>Les niveaux d'alphabétisation sont les mêmes pour les hommes et pour les femmes, même si, pour des raisons socio-économiques et culturelles, ces dernières tendent à se marginaliser par rapport à l'éducation; c'est ce qui explique que les indices d'analphabétisme des femmes soient plus élevés que ceux des hommes, et que cette tendance soit encore plus accentuée dans les zones rurales.</w:t>
      </w:r>
    </w:p>
    <w:p w:rsidR="00000000" w:rsidRDefault="00000000">
      <w:pPr>
        <w:autoSpaceDE w:val="0"/>
        <w:autoSpaceDN w:val="0"/>
        <w:adjustRightInd w:val="0"/>
        <w:jc w:val="center"/>
        <w:rPr>
          <w:b/>
          <w:bCs/>
          <w:color w:val="000000"/>
          <w:sz w:val="20"/>
          <w:szCs w:val="22"/>
          <w:lang w:val="fr-FR"/>
        </w:rPr>
      </w:pPr>
      <w:r>
        <w:rPr>
          <w:b/>
          <w:bCs/>
          <w:color w:val="000000"/>
          <w:sz w:val="20"/>
          <w:szCs w:val="22"/>
          <w:lang w:val="fr-FR"/>
        </w:rPr>
        <w:t xml:space="preserve">Taux d'analphabétisme par groupe d’âge et par secteur </w:t>
      </w:r>
    </w:p>
    <w:p w:rsidR="00000000" w:rsidRDefault="00000000">
      <w:pPr>
        <w:autoSpaceDE w:val="0"/>
        <w:autoSpaceDN w:val="0"/>
        <w:adjustRightInd w:val="0"/>
        <w:spacing w:after="120"/>
        <w:jc w:val="center"/>
        <w:rPr>
          <w:i/>
          <w:iCs/>
          <w:color w:val="000000"/>
          <w:sz w:val="20"/>
          <w:szCs w:val="22"/>
          <w:lang w:val="fr-FR"/>
        </w:rPr>
      </w:pPr>
      <w:r>
        <w:rPr>
          <w:i/>
          <w:iCs/>
          <w:color w:val="000000"/>
          <w:sz w:val="20"/>
          <w:szCs w:val="22"/>
          <w:lang w:val="fr-FR"/>
        </w:rPr>
        <w:t xml:space="preserve">(En pourcentage)  </w:t>
      </w:r>
    </w:p>
    <w:tbl>
      <w:tblPr>
        <w:tblW w:w="8505" w:type="dxa"/>
        <w:jc w:val="center"/>
        <w:tblBorders>
          <w:top w:val="single" w:sz="6" w:space="0" w:color="auto"/>
          <w:bottom w:val="single" w:sz="6" w:space="0" w:color="auto"/>
        </w:tblBorders>
        <w:tblLayout w:type="fixed"/>
        <w:tblCellMar>
          <w:left w:w="70" w:type="dxa"/>
          <w:right w:w="70" w:type="dxa"/>
        </w:tblCellMar>
        <w:tblLook w:val="00AF" w:firstRow="1" w:lastRow="0" w:firstColumn="1" w:lastColumn="0" w:noHBand="0" w:noVBand="0"/>
      </w:tblPr>
      <w:tblGrid>
        <w:gridCol w:w="1827"/>
        <w:gridCol w:w="1130"/>
        <w:gridCol w:w="1130"/>
        <w:gridCol w:w="1130"/>
        <w:gridCol w:w="1130"/>
        <w:gridCol w:w="971"/>
        <w:gridCol w:w="1187"/>
      </w:tblGrid>
      <w:tr w:rsidR="00000000">
        <w:tblPrEx>
          <w:tblCellMar>
            <w:top w:w="0" w:type="dxa"/>
            <w:bottom w:w="0" w:type="dxa"/>
          </w:tblCellMar>
        </w:tblPrEx>
        <w:trPr>
          <w:cantSplit/>
          <w:jc w:val="center"/>
        </w:trPr>
        <w:tc>
          <w:tcPr>
            <w:tcW w:w="1827" w:type="dxa"/>
            <w:vMerge w:val="restart"/>
            <w:tcBorders>
              <w:top w:val="single" w:sz="6" w:space="0" w:color="auto"/>
            </w:tcBorders>
            <w:vAlign w:val="center"/>
          </w:tcPr>
          <w:p w:rsidR="00000000" w:rsidRDefault="00000000">
            <w:pPr>
              <w:autoSpaceDE w:val="0"/>
              <w:autoSpaceDN w:val="0"/>
              <w:adjustRightInd w:val="0"/>
              <w:spacing w:before="60" w:after="60"/>
              <w:jc w:val="center"/>
              <w:rPr>
                <w:b/>
                <w:bCs/>
                <w:i/>
                <w:iCs/>
                <w:sz w:val="20"/>
                <w:szCs w:val="22"/>
                <w:lang w:val="fr-FR"/>
              </w:rPr>
            </w:pPr>
            <w:r>
              <w:rPr>
                <w:b/>
                <w:bCs/>
                <w:i/>
                <w:iCs/>
                <w:sz w:val="20"/>
                <w:szCs w:val="22"/>
                <w:lang w:val="fr-FR"/>
              </w:rPr>
              <w:t>Groupe d'âge</w:t>
            </w:r>
          </w:p>
        </w:tc>
        <w:tc>
          <w:tcPr>
            <w:tcW w:w="2260" w:type="dxa"/>
            <w:gridSpan w:val="2"/>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sz w:val="20"/>
                <w:szCs w:val="22"/>
                <w:lang w:val="fr-FR"/>
              </w:rPr>
            </w:pPr>
            <w:r>
              <w:rPr>
                <w:b/>
                <w:bCs/>
                <w:i/>
                <w:iCs/>
                <w:sz w:val="20"/>
                <w:szCs w:val="22"/>
                <w:lang w:val="fr-FR"/>
              </w:rPr>
              <w:t>Secteur urbain</w:t>
            </w:r>
          </w:p>
        </w:tc>
        <w:tc>
          <w:tcPr>
            <w:tcW w:w="2260" w:type="dxa"/>
            <w:gridSpan w:val="2"/>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sz w:val="20"/>
                <w:szCs w:val="22"/>
                <w:lang w:val="fr-FR"/>
              </w:rPr>
            </w:pPr>
            <w:r>
              <w:rPr>
                <w:b/>
                <w:bCs/>
                <w:i/>
                <w:iCs/>
                <w:sz w:val="20"/>
                <w:szCs w:val="22"/>
                <w:lang w:val="fr-FR"/>
              </w:rPr>
              <w:t>Secteur rural</w:t>
            </w:r>
          </w:p>
        </w:tc>
        <w:tc>
          <w:tcPr>
            <w:tcW w:w="2158" w:type="dxa"/>
            <w:gridSpan w:val="2"/>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sz w:val="20"/>
                <w:szCs w:val="22"/>
                <w:lang w:val="fr-FR"/>
              </w:rPr>
            </w:pPr>
            <w:r>
              <w:rPr>
                <w:b/>
                <w:bCs/>
                <w:i/>
                <w:iCs/>
                <w:sz w:val="20"/>
                <w:szCs w:val="22"/>
                <w:lang w:val="fr-FR"/>
              </w:rPr>
              <w:t>Total national</w:t>
            </w:r>
          </w:p>
        </w:tc>
      </w:tr>
      <w:tr w:rsidR="00000000">
        <w:tblPrEx>
          <w:tblCellMar>
            <w:top w:w="0" w:type="dxa"/>
            <w:bottom w:w="0" w:type="dxa"/>
          </w:tblCellMar>
        </w:tblPrEx>
        <w:trPr>
          <w:cantSplit/>
          <w:jc w:val="center"/>
        </w:trPr>
        <w:tc>
          <w:tcPr>
            <w:tcW w:w="1827" w:type="dxa"/>
            <w:vMerge/>
            <w:tcBorders>
              <w:bottom w:val="single" w:sz="6" w:space="0" w:color="auto"/>
            </w:tcBorders>
            <w:vAlign w:val="center"/>
          </w:tcPr>
          <w:p w:rsidR="00000000" w:rsidRDefault="00000000">
            <w:pPr>
              <w:autoSpaceDE w:val="0"/>
              <w:autoSpaceDN w:val="0"/>
              <w:adjustRightInd w:val="0"/>
              <w:spacing w:before="60" w:after="60"/>
              <w:jc w:val="center"/>
              <w:rPr>
                <w:b/>
                <w:bCs/>
                <w:i/>
                <w:iCs/>
                <w:sz w:val="20"/>
                <w:szCs w:val="22"/>
                <w:lang w:val="fr-FR"/>
              </w:rPr>
            </w:pPr>
          </w:p>
        </w:tc>
        <w:tc>
          <w:tcPr>
            <w:tcW w:w="1130"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sz w:val="20"/>
                <w:szCs w:val="22"/>
                <w:lang w:val="fr-FR"/>
              </w:rPr>
            </w:pPr>
            <w:r>
              <w:rPr>
                <w:b/>
                <w:bCs/>
                <w:i/>
                <w:iCs/>
                <w:sz w:val="20"/>
                <w:szCs w:val="22"/>
                <w:lang w:val="fr-FR"/>
              </w:rPr>
              <w:t>Femmes</w:t>
            </w:r>
          </w:p>
        </w:tc>
        <w:tc>
          <w:tcPr>
            <w:tcW w:w="1130"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sz w:val="20"/>
                <w:szCs w:val="22"/>
                <w:lang w:val="fr-FR"/>
              </w:rPr>
            </w:pPr>
            <w:r>
              <w:rPr>
                <w:b/>
                <w:bCs/>
                <w:i/>
                <w:iCs/>
                <w:sz w:val="20"/>
                <w:szCs w:val="22"/>
                <w:lang w:val="fr-FR"/>
              </w:rPr>
              <w:t>Hommes</w:t>
            </w:r>
          </w:p>
        </w:tc>
        <w:tc>
          <w:tcPr>
            <w:tcW w:w="1130"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sz w:val="20"/>
                <w:szCs w:val="22"/>
                <w:lang w:val="fr-FR"/>
              </w:rPr>
            </w:pPr>
            <w:r>
              <w:rPr>
                <w:b/>
                <w:bCs/>
                <w:i/>
                <w:iCs/>
                <w:sz w:val="20"/>
                <w:szCs w:val="22"/>
                <w:lang w:val="fr-FR"/>
              </w:rPr>
              <w:t>Femmes</w:t>
            </w:r>
          </w:p>
        </w:tc>
        <w:tc>
          <w:tcPr>
            <w:tcW w:w="1130"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sz w:val="20"/>
                <w:szCs w:val="22"/>
                <w:lang w:val="fr-FR"/>
              </w:rPr>
            </w:pPr>
            <w:r>
              <w:rPr>
                <w:b/>
                <w:bCs/>
                <w:i/>
                <w:iCs/>
                <w:sz w:val="20"/>
                <w:szCs w:val="22"/>
                <w:lang w:val="fr-FR"/>
              </w:rPr>
              <w:t>Hommes</w:t>
            </w:r>
          </w:p>
        </w:tc>
        <w:tc>
          <w:tcPr>
            <w:tcW w:w="971"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sz w:val="20"/>
                <w:szCs w:val="22"/>
                <w:lang w:val="fr-FR"/>
              </w:rPr>
            </w:pPr>
            <w:r>
              <w:rPr>
                <w:b/>
                <w:bCs/>
                <w:i/>
                <w:iCs/>
                <w:sz w:val="20"/>
                <w:szCs w:val="22"/>
                <w:lang w:val="fr-FR"/>
              </w:rPr>
              <w:t>Femmes</w:t>
            </w:r>
          </w:p>
        </w:tc>
        <w:tc>
          <w:tcPr>
            <w:tcW w:w="1187"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sz w:val="20"/>
                <w:szCs w:val="22"/>
                <w:lang w:val="fr-FR"/>
              </w:rPr>
            </w:pPr>
            <w:r>
              <w:rPr>
                <w:b/>
                <w:bCs/>
                <w:i/>
                <w:iCs/>
                <w:sz w:val="20"/>
                <w:szCs w:val="22"/>
                <w:lang w:val="fr-FR"/>
              </w:rPr>
              <w:t>Hommes</w:t>
            </w:r>
          </w:p>
        </w:tc>
      </w:tr>
      <w:tr w:rsidR="00000000">
        <w:tblPrEx>
          <w:tblCellMar>
            <w:top w:w="0" w:type="dxa"/>
            <w:bottom w:w="0" w:type="dxa"/>
          </w:tblCellMar>
        </w:tblPrEx>
        <w:trPr>
          <w:jc w:val="center"/>
        </w:trPr>
        <w:tc>
          <w:tcPr>
            <w:tcW w:w="1827" w:type="dxa"/>
            <w:tcBorders>
              <w:top w:val="single" w:sz="6" w:space="0" w:color="auto"/>
            </w:tcBorders>
          </w:tcPr>
          <w:p w:rsidR="00000000" w:rsidRDefault="00000000">
            <w:pPr>
              <w:autoSpaceDE w:val="0"/>
              <w:autoSpaceDN w:val="0"/>
              <w:adjustRightInd w:val="0"/>
              <w:spacing w:before="40" w:after="20"/>
              <w:rPr>
                <w:sz w:val="20"/>
                <w:szCs w:val="22"/>
                <w:lang w:val="fr-FR"/>
              </w:rPr>
            </w:pPr>
            <w:r>
              <w:rPr>
                <w:sz w:val="20"/>
                <w:szCs w:val="22"/>
                <w:lang w:val="fr-FR"/>
              </w:rPr>
              <w:t>15-24 ans</w:t>
            </w:r>
          </w:p>
        </w:tc>
        <w:tc>
          <w:tcPr>
            <w:tcW w:w="1130" w:type="dxa"/>
            <w:tcBorders>
              <w:top w:val="single" w:sz="6" w:space="0" w:color="auto"/>
            </w:tcBorders>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1,9 </w:t>
            </w:r>
          </w:p>
        </w:tc>
        <w:tc>
          <w:tcPr>
            <w:tcW w:w="1130" w:type="dxa"/>
            <w:tcBorders>
              <w:top w:val="single" w:sz="6" w:space="0" w:color="auto"/>
            </w:tcBorders>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1,5 </w:t>
            </w:r>
          </w:p>
        </w:tc>
        <w:tc>
          <w:tcPr>
            <w:tcW w:w="1130" w:type="dxa"/>
            <w:tcBorders>
              <w:top w:val="single" w:sz="6" w:space="0" w:color="auto"/>
            </w:tcBorders>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4,7 </w:t>
            </w:r>
          </w:p>
        </w:tc>
        <w:tc>
          <w:tcPr>
            <w:tcW w:w="1130" w:type="dxa"/>
            <w:tcBorders>
              <w:top w:val="single" w:sz="6" w:space="0" w:color="auto"/>
            </w:tcBorders>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4,5 </w:t>
            </w:r>
          </w:p>
        </w:tc>
        <w:tc>
          <w:tcPr>
            <w:tcW w:w="971" w:type="dxa"/>
            <w:tcBorders>
              <w:top w:val="single" w:sz="6" w:space="0" w:color="auto"/>
            </w:tcBorders>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3,0 </w:t>
            </w:r>
          </w:p>
        </w:tc>
        <w:tc>
          <w:tcPr>
            <w:tcW w:w="1187" w:type="dxa"/>
            <w:tcBorders>
              <w:top w:val="single" w:sz="6" w:space="0" w:color="auto"/>
            </w:tcBorders>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2,7  </w:t>
            </w:r>
          </w:p>
        </w:tc>
      </w:tr>
      <w:tr w:rsidR="00000000">
        <w:tblPrEx>
          <w:tblCellMar>
            <w:top w:w="0" w:type="dxa"/>
            <w:bottom w:w="0" w:type="dxa"/>
          </w:tblCellMar>
        </w:tblPrEx>
        <w:trPr>
          <w:jc w:val="center"/>
        </w:trPr>
        <w:tc>
          <w:tcPr>
            <w:tcW w:w="1827" w:type="dxa"/>
          </w:tcPr>
          <w:p w:rsidR="00000000" w:rsidRDefault="00000000">
            <w:pPr>
              <w:autoSpaceDE w:val="0"/>
              <w:autoSpaceDN w:val="0"/>
              <w:adjustRightInd w:val="0"/>
              <w:spacing w:before="40" w:after="20"/>
              <w:rPr>
                <w:sz w:val="20"/>
                <w:szCs w:val="22"/>
                <w:lang w:val="fr-FR"/>
              </w:rPr>
            </w:pPr>
            <w:r>
              <w:rPr>
                <w:sz w:val="20"/>
                <w:szCs w:val="22"/>
                <w:lang w:val="fr-FR"/>
              </w:rPr>
              <w:t>25-39 ans</w:t>
            </w:r>
          </w:p>
        </w:tc>
        <w:tc>
          <w:tcPr>
            <w:tcW w:w="1130"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2,5 </w:t>
            </w:r>
          </w:p>
        </w:tc>
        <w:tc>
          <w:tcPr>
            <w:tcW w:w="1130"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1,9 </w:t>
            </w:r>
          </w:p>
        </w:tc>
        <w:tc>
          <w:tcPr>
            <w:tcW w:w="1130"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13,3 </w:t>
            </w:r>
          </w:p>
        </w:tc>
        <w:tc>
          <w:tcPr>
            <w:tcW w:w="1130"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6,9 </w:t>
            </w:r>
          </w:p>
        </w:tc>
        <w:tc>
          <w:tcPr>
            <w:tcW w:w="971"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6,2 </w:t>
            </w:r>
          </w:p>
        </w:tc>
        <w:tc>
          <w:tcPr>
            <w:tcW w:w="1187"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3,8  </w:t>
            </w:r>
          </w:p>
        </w:tc>
      </w:tr>
      <w:tr w:rsidR="00000000">
        <w:tblPrEx>
          <w:tblCellMar>
            <w:top w:w="0" w:type="dxa"/>
            <w:bottom w:w="0" w:type="dxa"/>
          </w:tblCellMar>
        </w:tblPrEx>
        <w:trPr>
          <w:jc w:val="center"/>
        </w:trPr>
        <w:tc>
          <w:tcPr>
            <w:tcW w:w="1827" w:type="dxa"/>
          </w:tcPr>
          <w:p w:rsidR="00000000" w:rsidRDefault="00000000">
            <w:pPr>
              <w:autoSpaceDE w:val="0"/>
              <w:autoSpaceDN w:val="0"/>
              <w:adjustRightInd w:val="0"/>
              <w:spacing w:before="40" w:after="20"/>
              <w:rPr>
                <w:sz w:val="20"/>
                <w:szCs w:val="22"/>
                <w:lang w:val="fr-FR"/>
              </w:rPr>
            </w:pPr>
            <w:r>
              <w:rPr>
                <w:sz w:val="20"/>
                <w:szCs w:val="22"/>
                <w:lang w:val="fr-FR"/>
              </w:rPr>
              <w:t>40-64 ans</w:t>
            </w:r>
          </w:p>
        </w:tc>
        <w:tc>
          <w:tcPr>
            <w:tcW w:w="1130"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10,1 </w:t>
            </w:r>
          </w:p>
        </w:tc>
        <w:tc>
          <w:tcPr>
            <w:tcW w:w="1130"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5,0 </w:t>
            </w:r>
          </w:p>
        </w:tc>
        <w:tc>
          <w:tcPr>
            <w:tcW w:w="1130"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32,5 </w:t>
            </w:r>
          </w:p>
        </w:tc>
        <w:tc>
          <w:tcPr>
            <w:tcW w:w="1130"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23,4 </w:t>
            </w:r>
          </w:p>
        </w:tc>
        <w:tc>
          <w:tcPr>
            <w:tcW w:w="971"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19,4 </w:t>
            </w:r>
          </w:p>
        </w:tc>
        <w:tc>
          <w:tcPr>
            <w:tcW w:w="1187"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13,1  </w:t>
            </w:r>
          </w:p>
        </w:tc>
      </w:tr>
      <w:tr w:rsidR="00000000">
        <w:tblPrEx>
          <w:tblCellMar>
            <w:top w:w="0" w:type="dxa"/>
            <w:bottom w:w="0" w:type="dxa"/>
          </w:tblCellMar>
        </w:tblPrEx>
        <w:trPr>
          <w:jc w:val="center"/>
        </w:trPr>
        <w:tc>
          <w:tcPr>
            <w:tcW w:w="1827" w:type="dxa"/>
          </w:tcPr>
          <w:p w:rsidR="00000000" w:rsidRDefault="00000000">
            <w:pPr>
              <w:autoSpaceDE w:val="0"/>
              <w:autoSpaceDN w:val="0"/>
              <w:adjustRightInd w:val="0"/>
              <w:spacing w:before="40" w:after="20"/>
              <w:rPr>
                <w:sz w:val="20"/>
                <w:szCs w:val="22"/>
                <w:lang w:val="fr-FR"/>
              </w:rPr>
            </w:pPr>
            <w:r>
              <w:rPr>
                <w:sz w:val="20"/>
                <w:szCs w:val="22"/>
                <w:lang w:val="fr-FR"/>
              </w:rPr>
              <w:t xml:space="preserve">65 ans et plus </w:t>
            </w:r>
          </w:p>
        </w:tc>
        <w:tc>
          <w:tcPr>
            <w:tcW w:w="1130"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29,7 </w:t>
            </w:r>
          </w:p>
        </w:tc>
        <w:tc>
          <w:tcPr>
            <w:tcW w:w="1130"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16,1 </w:t>
            </w:r>
          </w:p>
        </w:tc>
        <w:tc>
          <w:tcPr>
            <w:tcW w:w="1130"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56,1 </w:t>
            </w:r>
          </w:p>
        </w:tc>
        <w:tc>
          <w:tcPr>
            <w:tcW w:w="1130"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42,0 </w:t>
            </w:r>
          </w:p>
        </w:tc>
        <w:tc>
          <w:tcPr>
            <w:tcW w:w="971"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42,7 </w:t>
            </w:r>
          </w:p>
        </w:tc>
        <w:tc>
          <w:tcPr>
            <w:tcW w:w="1187"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30,3  </w:t>
            </w:r>
          </w:p>
        </w:tc>
      </w:tr>
      <w:tr w:rsidR="00000000">
        <w:tblPrEx>
          <w:tblCellMar>
            <w:top w:w="0" w:type="dxa"/>
            <w:bottom w:w="0" w:type="dxa"/>
          </w:tblCellMar>
        </w:tblPrEx>
        <w:trPr>
          <w:jc w:val="center"/>
        </w:trPr>
        <w:tc>
          <w:tcPr>
            <w:tcW w:w="1827" w:type="dxa"/>
          </w:tcPr>
          <w:p w:rsidR="00000000" w:rsidRDefault="00000000">
            <w:pPr>
              <w:autoSpaceDE w:val="0"/>
              <w:autoSpaceDN w:val="0"/>
              <w:adjustRightInd w:val="0"/>
              <w:spacing w:before="40" w:after="20"/>
              <w:rPr>
                <w:sz w:val="20"/>
                <w:szCs w:val="22"/>
                <w:lang w:val="fr-FR"/>
              </w:rPr>
            </w:pPr>
            <w:r>
              <w:rPr>
                <w:sz w:val="20"/>
                <w:szCs w:val="22"/>
                <w:lang w:val="fr-FR"/>
              </w:rPr>
              <w:t xml:space="preserve">  Total </w:t>
            </w:r>
          </w:p>
        </w:tc>
        <w:tc>
          <w:tcPr>
            <w:tcW w:w="1130"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6,3 </w:t>
            </w:r>
          </w:p>
        </w:tc>
        <w:tc>
          <w:tcPr>
            <w:tcW w:w="1130"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3,6 </w:t>
            </w:r>
          </w:p>
        </w:tc>
        <w:tc>
          <w:tcPr>
            <w:tcW w:w="1130"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21,1 </w:t>
            </w:r>
          </w:p>
        </w:tc>
        <w:tc>
          <w:tcPr>
            <w:tcW w:w="1130"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14,8 </w:t>
            </w:r>
          </w:p>
        </w:tc>
        <w:tc>
          <w:tcPr>
            <w:tcW w:w="971"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12,1 </w:t>
            </w:r>
          </w:p>
        </w:tc>
        <w:tc>
          <w:tcPr>
            <w:tcW w:w="1187" w:type="dxa"/>
          </w:tcPr>
          <w:p w:rsidR="00000000" w:rsidRDefault="00000000">
            <w:pPr>
              <w:tabs>
                <w:tab w:val="decimal" w:pos="529"/>
              </w:tabs>
              <w:autoSpaceDE w:val="0"/>
              <w:autoSpaceDN w:val="0"/>
              <w:adjustRightInd w:val="0"/>
              <w:spacing w:before="40" w:after="20"/>
              <w:rPr>
                <w:sz w:val="20"/>
                <w:szCs w:val="22"/>
                <w:lang w:val="fr-FR"/>
              </w:rPr>
            </w:pPr>
            <w:r>
              <w:rPr>
                <w:sz w:val="20"/>
                <w:szCs w:val="22"/>
                <w:lang w:val="fr-FR"/>
              </w:rPr>
              <w:t xml:space="preserve">8,3  </w:t>
            </w:r>
          </w:p>
        </w:tc>
      </w:tr>
    </w:tbl>
    <w:p w:rsidR="00000000" w:rsidRDefault="00000000">
      <w:pPr>
        <w:autoSpaceDE w:val="0"/>
        <w:autoSpaceDN w:val="0"/>
        <w:adjustRightInd w:val="0"/>
        <w:spacing w:before="80" w:after="360"/>
        <w:ind w:left="567"/>
        <w:rPr>
          <w:color w:val="000000"/>
          <w:sz w:val="20"/>
          <w:szCs w:val="22"/>
          <w:lang w:val="fr-FR"/>
        </w:rPr>
      </w:pPr>
      <w:r>
        <w:rPr>
          <w:i/>
          <w:iCs/>
          <w:color w:val="000000"/>
          <w:sz w:val="20"/>
          <w:szCs w:val="22"/>
          <w:lang w:val="fr-FR"/>
        </w:rPr>
        <w:t>Source :</w:t>
      </w:r>
      <w:r>
        <w:rPr>
          <w:color w:val="000000"/>
          <w:sz w:val="20"/>
          <w:szCs w:val="22"/>
          <w:lang w:val="fr-FR"/>
        </w:rPr>
        <w:t xml:space="preserve">  INEC, Enquête sur les conditions de vie-III, 1998.</w:t>
      </w:r>
    </w:p>
    <w:p w:rsidR="00000000" w:rsidRDefault="00000000">
      <w:pPr>
        <w:autoSpaceDE w:val="0"/>
        <w:autoSpaceDN w:val="0"/>
        <w:adjustRightInd w:val="0"/>
        <w:spacing w:after="240"/>
        <w:rPr>
          <w:color w:val="000000"/>
          <w:szCs w:val="22"/>
          <w:lang w:val="fr-FR"/>
        </w:rPr>
      </w:pPr>
      <w:r>
        <w:rPr>
          <w:color w:val="000000"/>
          <w:szCs w:val="22"/>
          <w:lang w:val="fr-FR"/>
        </w:rPr>
        <w:t>508.</w:t>
      </w:r>
      <w:r>
        <w:rPr>
          <w:color w:val="000000"/>
          <w:szCs w:val="22"/>
          <w:lang w:val="fr-FR"/>
        </w:rPr>
        <w:tab/>
        <w:t xml:space="preserve">En ce qui concerne la proportion d’hommes et de femmes qui bénéficient de cette éducation, les taux d'alphabétisation féminine rejoignent ceux des hommes.  Ainsi, dans le secteur urbain, l'indice est proche de 0.9 %, les taux masculins étant supérieurs dans tous les cas, et plus nettement encore en milieu rural.  </w:t>
      </w:r>
    </w:p>
    <w:p w:rsidR="00000000" w:rsidRDefault="00000000">
      <w:pPr>
        <w:pStyle w:val="Heading2"/>
        <w:keepNext w:val="0"/>
        <w:widowControl/>
        <w:spacing w:after="240"/>
        <w:rPr>
          <w:sz w:val="20"/>
          <w:lang w:val="fr-FR"/>
        </w:rPr>
      </w:pPr>
      <w:r>
        <w:rPr>
          <w:sz w:val="20"/>
          <w:lang w:val="fr-FR"/>
        </w:rPr>
        <w:t xml:space="preserve">Années de scolarité </w:t>
      </w:r>
    </w:p>
    <w:tbl>
      <w:tblPr>
        <w:tblW w:w="6804" w:type="dxa"/>
        <w:jc w:val="center"/>
        <w:tblBorders>
          <w:top w:val="single" w:sz="6" w:space="0" w:color="auto"/>
          <w:bottom w:val="single" w:sz="6" w:space="0" w:color="auto"/>
        </w:tblBorders>
        <w:tblLayout w:type="fixed"/>
        <w:tblCellMar>
          <w:left w:w="70" w:type="dxa"/>
          <w:right w:w="70" w:type="dxa"/>
        </w:tblCellMar>
        <w:tblLook w:val="0000" w:firstRow="0" w:lastRow="0" w:firstColumn="0" w:lastColumn="0" w:noHBand="0" w:noVBand="0"/>
      </w:tblPr>
      <w:tblGrid>
        <w:gridCol w:w="2777"/>
        <w:gridCol w:w="1944"/>
        <w:gridCol w:w="2083"/>
      </w:tblGrid>
      <w:tr w:rsidR="00000000">
        <w:tblPrEx>
          <w:tblCellMar>
            <w:top w:w="0" w:type="dxa"/>
            <w:bottom w:w="0" w:type="dxa"/>
          </w:tblCellMar>
        </w:tblPrEx>
        <w:trPr>
          <w:cantSplit/>
          <w:jc w:val="center"/>
        </w:trPr>
        <w:tc>
          <w:tcPr>
            <w:tcW w:w="1800" w:type="dxa"/>
            <w:vMerge w:val="restart"/>
            <w:tcBorders>
              <w:top w:val="single" w:sz="6" w:space="0" w:color="auto"/>
              <w:bottom w:val="single" w:sz="6" w:space="0" w:color="auto"/>
            </w:tcBorders>
            <w:vAlign w:val="center"/>
          </w:tcPr>
          <w:p w:rsidR="00000000" w:rsidRDefault="00000000">
            <w:pPr>
              <w:autoSpaceDE w:val="0"/>
              <w:autoSpaceDN w:val="0"/>
              <w:adjustRightInd w:val="0"/>
              <w:spacing w:before="40" w:after="20"/>
              <w:jc w:val="center"/>
              <w:rPr>
                <w:b/>
                <w:bCs/>
                <w:i/>
                <w:iCs/>
                <w:color w:val="000000"/>
                <w:sz w:val="20"/>
                <w:szCs w:val="22"/>
                <w:lang w:val="fr-FR"/>
              </w:rPr>
            </w:pPr>
            <w:r>
              <w:rPr>
                <w:b/>
                <w:bCs/>
                <w:i/>
                <w:iCs/>
                <w:color w:val="000000"/>
                <w:sz w:val="20"/>
                <w:szCs w:val="22"/>
                <w:lang w:val="fr-FR"/>
              </w:rPr>
              <w:t>Secteur</w:t>
            </w:r>
          </w:p>
        </w:tc>
        <w:tc>
          <w:tcPr>
            <w:tcW w:w="2610" w:type="dxa"/>
            <w:gridSpan w:val="2"/>
            <w:tcBorders>
              <w:top w:val="single" w:sz="6" w:space="0" w:color="auto"/>
              <w:bottom w:val="single" w:sz="6" w:space="0" w:color="auto"/>
            </w:tcBorders>
            <w:vAlign w:val="center"/>
          </w:tcPr>
          <w:p w:rsidR="00000000" w:rsidRDefault="00000000">
            <w:pPr>
              <w:autoSpaceDE w:val="0"/>
              <w:autoSpaceDN w:val="0"/>
              <w:adjustRightInd w:val="0"/>
              <w:spacing w:before="40" w:after="20"/>
              <w:jc w:val="center"/>
              <w:rPr>
                <w:b/>
                <w:bCs/>
                <w:i/>
                <w:iCs/>
                <w:color w:val="000000"/>
                <w:sz w:val="20"/>
                <w:szCs w:val="22"/>
                <w:lang w:val="fr-FR"/>
              </w:rPr>
            </w:pPr>
            <w:r>
              <w:rPr>
                <w:b/>
                <w:bCs/>
                <w:i/>
                <w:iCs/>
                <w:color w:val="000000"/>
                <w:sz w:val="20"/>
                <w:szCs w:val="22"/>
                <w:lang w:val="fr-FR"/>
              </w:rPr>
              <w:t>Années de scolarité - moyenne</w:t>
            </w:r>
          </w:p>
        </w:tc>
      </w:tr>
      <w:tr w:rsidR="00000000">
        <w:tblPrEx>
          <w:tblCellMar>
            <w:top w:w="0" w:type="dxa"/>
            <w:bottom w:w="0" w:type="dxa"/>
          </w:tblCellMar>
        </w:tblPrEx>
        <w:trPr>
          <w:cantSplit/>
          <w:jc w:val="center"/>
        </w:trPr>
        <w:tc>
          <w:tcPr>
            <w:tcW w:w="1800" w:type="dxa"/>
            <w:vMerge/>
            <w:tcBorders>
              <w:top w:val="nil"/>
              <w:bottom w:val="single" w:sz="6" w:space="0" w:color="auto"/>
            </w:tcBorders>
            <w:vAlign w:val="center"/>
          </w:tcPr>
          <w:p w:rsidR="00000000" w:rsidRDefault="00000000">
            <w:pPr>
              <w:autoSpaceDE w:val="0"/>
              <w:autoSpaceDN w:val="0"/>
              <w:adjustRightInd w:val="0"/>
              <w:spacing w:before="40" w:after="20"/>
              <w:jc w:val="center"/>
              <w:rPr>
                <w:b/>
                <w:bCs/>
                <w:i/>
                <w:iCs/>
                <w:color w:val="000000"/>
                <w:sz w:val="20"/>
                <w:szCs w:val="22"/>
                <w:lang w:val="fr-FR"/>
              </w:rPr>
            </w:pPr>
          </w:p>
        </w:tc>
        <w:tc>
          <w:tcPr>
            <w:tcW w:w="1260" w:type="dxa"/>
            <w:tcBorders>
              <w:top w:val="single" w:sz="6" w:space="0" w:color="auto"/>
              <w:bottom w:val="single" w:sz="6" w:space="0" w:color="auto"/>
            </w:tcBorders>
            <w:vAlign w:val="center"/>
          </w:tcPr>
          <w:p w:rsidR="00000000" w:rsidRDefault="00000000">
            <w:pPr>
              <w:autoSpaceDE w:val="0"/>
              <w:autoSpaceDN w:val="0"/>
              <w:adjustRightInd w:val="0"/>
              <w:spacing w:before="40" w:after="20"/>
              <w:jc w:val="center"/>
              <w:rPr>
                <w:b/>
                <w:bCs/>
                <w:i/>
                <w:iCs/>
                <w:color w:val="000000"/>
                <w:sz w:val="20"/>
                <w:szCs w:val="22"/>
                <w:lang w:val="fr-FR"/>
              </w:rPr>
            </w:pPr>
            <w:r>
              <w:rPr>
                <w:b/>
                <w:bCs/>
                <w:i/>
                <w:iCs/>
                <w:color w:val="000000"/>
                <w:sz w:val="20"/>
                <w:szCs w:val="22"/>
                <w:lang w:val="fr-FR"/>
              </w:rPr>
              <w:t>Femmes</w:t>
            </w:r>
          </w:p>
        </w:tc>
        <w:tc>
          <w:tcPr>
            <w:tcW w:w="1350" w:type="dxa"/>
            <w:tcBorders>
              <w:top w:val="single" w:sz="6" w:space="0" w:color="auto"/>
              <w:bottom w:val="single" w:sz="6" w:space="0" w:color="auto"/>
            </w:tcBorders>
            <w:vAlign w:val="center"/>
          </w:tcPr>
          <w:p w:rsidR="00000000" w:rsidRDefault="00000000">
            <w:pPr>
              <w:autoSpaceDE w:val="0"/>
              <w:autoSpaceDN w:val="0"/>
              <w:adjustRightInd w:val="0"/>
              <w:spacing w:before="40" w:after="20"/>
              <w:jc w:val="center"/>
              <w:rPr>
                <w:b/>
                <w:bCs/>
                <w:i/>
                <w:iCs/>
                <w:color w:val="000000"/>
                <w:sz w:val="20"/>
                <w:szCs w:val="22"/>
                <w:lang w:val="fr-FR"/>
              </w:rPr>
            </w:pPr>
            <w:r>
              <w:rPr>
                <w:b/>
                <w:bCs/>
                <w:i/>
                <w:iCs/>
                <w:color w:val="000000"/>
                <w:sz w:val="20"/>
                <w:szCs w:val="22"/>
                <w:lang w:val="fr-FR"/>
              </w:rPr>
              <w:t>Hommes</w:t>
            </w:r>
          </w:p>
        </w:tc>
      </w:tr>
      <w:tr w:rsidR="00000000">
        <w:tblPrEx>
          <w:tblCellMar>
            <w:top w:w="0" w:type="dxa"/>
            <w:bottom w:w="0" w:type="dxa"/>
          </w:tblCellMar>
        </w:tblPrEx>
        <w:trPr>
          <w:jc w:val="center"/>
        </w:trPr>
        <w:tc>
          <w:tcPr>
            <w:tcW w:w="1800" w:type="dxa"/>
            <w:tcBorders>
              <w:top w:val="single" w:sz="6" w:space="0" w:color="auto"/>
            </w:tcBorders>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Urbain </w:t>
            </w:r>
          </w:p>
        </w:tc>
        <w:tc>
          <w:tcPr>
            <w:tcW w:w="1260" w:type="dxa"/>
            <w:tcBorders>
              <w:top w:val="single" w:sz="6" w:space="0" w:color="auto"/>
            </w:tcBorders>
          </w:tcPr>
          <w:p w:rsidR="00000000" w:rsidRDefault="00000000">
            <w:pPr>
              <w:tabs>
                <w:tab w:val="decimal" w:pos="1045"/>
              </w:tabs>
              <w:autoSpaceDE w:val="0"/>
              <w:autoSpaceDN w:val="0"/>
              <w:adjustRightInd w:val="0"/>
              <w:spacing w:before="40" w:after="20"/>
              <w:rPr>
                <w:color w:val="000000"/>
                <w:sz w:val="20"/>
                <w:szCs w:val="22"/>
                <w:lang w:val="fr-FR"/>
              </w:rPr>
            </w:pPr>
            <w:r>
              <w:rPr>
                <w:color w:val="000000"/>
                <w:sz w:val="20"/>
                <w:szCs w:val="22"/>
                <w:lang w:val="fr-FR"/>
              </w:rPr>
              <w:t xml:space="preserve">8,6 </w:t>
            </w:r>
          </w:p>
        </w:tc>
        <w:tc>
          <w:tcPr>
            <w:tcW w:w="1350" w:type="dxa"/>
            <w:tcBorders>
              <w:top w:val="single" w:sz="6" w:space="0" w:color="auto"/>
            </w:tcBorders>
          </w:tcPr>
          <w:p w:rsidR="00000000" w:rsidRDefault="00000000">
            <w:pPr>
              <w:tabs>
                <w:tab w:val="decimal" w:pos="1045"/>
              </w:tabs>
              <w:autoSpaceDE w:val="0"/>
              <w:autoSpaceDN w:val="0"/>
              <w:adjustRightInd w:val="0"/>
              <w:spacing w:before="40" w:after="20"/>
              <w:rPr>
                <w:color w:val="000000"/>
                <w:sz w:val="20"/>
                <w:szCs w:val="22"/>
                <w:lang w:val="fr-FR"/>
              </w:rPr>
            </w:pPr>
            <w:r>
              <w:rPr>
                <w:color w:val="000000"/>
                <w:sz w:val="20"/>
                <w:szCs w:val="22"/>
                <w:lang w:val="fr-FR"/>
              </w:rPr>
              <w:t xml:space="preserve">9,1  </w:t>
            </w:r>
          </w:p>
        </w:tc>
      </w:tr>
      <w:tr w:rsidR="00000000">
        <w:tblPrEx>
          <w:tblCellMar>
            <w:top w:w="0" w:type="dxa"/>
            <w:bottom w:w="0" w:type="dxa"/>
          </w:tblCellMar>
        </w:tblPrEx>
        <w:trPr>
          <w:jc w:val="center"/>
        </w:trPr>
        <w:tc>
          <w:tcPr>
            <w:tcW w:w="1800"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Rural </w:t>
            </w:r>
          </w:p>
        </w:tc>
        <w:tc>
          <w:tcPr>
            <w:tcW w:w="1260" w:type="dxa"/>
          </w:tcPr>
          <w:p w:rsidR="00000000" w:rsidRDefault="00000000">
            <w:pPr>
              <w:tabs>
                <w:tab w:val="decimal" w:pos="1045"/>
              </w:tabs>
              <w:autoSpaceDE w:val="0"/>
              <w:autoSpaceDN w:val="0"/>
              <w:adjustRightInd w:val="0"/>
              <w:spacing w:before="40" w:after="20"/>
              <w:rPr>
                <w:color w:val="000000"/>
                <w:sz w:val="20"/>
                <w:szCs w:val="22"/>
                <w:lang w:val="fr-FR"/>
              </w:rPr>
            </w:pPr>
            <w:r>
              <w:rPr>
                <w:color w:val="000000"/>
                <w:sz w:val="20"/>
                <w:szCs w:val="22"/>
                <w:lang w:val="fr-FR"/>
              </w:rPr>
              <w:t xml:space="preserve">4,1 </w:t>
            </w:r>
          </w:p>
        </w:tc>
        <w:tc>
          <w:tcPr>
            <w:tcW w:w="1350" w:type="dxa"/>
          </w:tcPr>
          <w:p w:rsidR="00000000" w:rsidRDefault="00000000">
            <w:pPr>
              <w:tabs>
                <w:tab w:val="decimal" w:pos="1045"/>
              </w:tabs>
              <w:autoSpaceDE w:val="0"/>
              <w:autoSpaceDN w:val="0"/>
              <w:adjustRightInd w:val="0"/>
              <w:spacing w:before="40" w:after="20"/>
              <w:rPr>
                <w:color w:val="000000"/>
                <w:sz w:val="20"/>
                <w:szCs w:val="22"/>
                <w:lang w:val="fr-FR"/>
              </w:rPr>
            </w:pPr>
            <w:r>
              <w:rPr>
                <w:color w:val="000000"/>
                <w:sz w:val="20"/>
                <w:szCs w:val="22"/>
                <w:lang w:val="fr-FR"/>
              </w:rPr>
              <w:t xml:space="preserve">4,7  </w:t>
            </w:r>
          </w:p>
        </w:tc>
      </w:tr>
      <w:tr w:rsidR="00000000">
        <w:tblPrEx>
          <w:tblCellMar>
            <w:top w:w="0" w:type="dxa"/>
            <w:bottom w:w="0" w:type="dxa"/>
          </w:tblCellMar>
        </w:tblPrEx>
        <w:trPr>
          <w:jc w:val="center"/>
        </w:trPr>
        <w:tc>
          <w:tcPr>
            <w:tcW w:w="1800"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  Total national </w:t>
            </w:r>
          </w:p>
        </w:tc>
        <w:tc>
          <w:tcPr>
            <w:tcW w:w="1260" w:type="dxa"/>
          </w:tcPr>
          <w:p w:rsidR="00000000" w:rsidRDefault="00000000">
            <w:pPr>
              <w:tabs>
                <w:tab w:val="decimal" w:pos="1045"/>
              </w:tabs>
              <w:autoSpaceDE w:val="0"/>
              <w:autoSpaceDN w:val="0"/>
              <w:adjustRightInd w:val="0"/>
              <w:spacing w:before="40" w:after="20"/>
              <w:rPr>
                <w:color w:val="000000"/>
                <w:sz w:val="20"/>
                <w:szCs w:val="22"/>
                <w:lang w:val="fr-FR"/>
              </w:rPr>
            </w:pPr>
            <w:r>
              <w:rPr>
                <w:color w:val="000000"/>
                <w:sz w:val="20"/>
                <w:szCs w:val="22"/>
                <w:lang w:val="fr-FR"/>
              </w:rPr>
              <w:t xml:space="preserve">7,0 </w:t>
            </w:r>
          </w:p>
        </w:tc>
        <w:tc>
          <w:tcPr>
            <w:tcW w:w="1350" w:type="dxa"/>
          </w:tcPr>
          <w:p w:rsidR="00000000" w:rsidRDefault="00000000">
            <w:pPr>
              <w:tabs>
                <w:tab w:val="decimal" w:pos="1045"/>
              </w:tabs>
              <w:autoSpaceDE w:val="0"/>
              <w:autoSpaceDN w:val="0"/>
              <w:adjustRightInd w:val="0"/>
              <w:spacing w:before="40" w:after="20"/>
              <w:rPr>
                <w:color w:val="000000"/>
                <w:sz w:val="20"/>
                <w:szCs w:val="22"/>
                <w:lang w:val="fr-FR"/>
              </w:rPr>
            </w:pPr>
            <w:r>
              <w:rPr>
                <w:color w:val="000000"/>
                <w:sz w:val="20"/>
                <w:szCs w:val="22"/>
                <w:lang w:val="fr-FR"/>
              </w:rPr>
              <w:t xml:space="preserve">7,4  </w:t>
            </w:r>
          </w:p>
        </w:tc>
      </w:tr>
    </w:tbl>
    <w:p w:rsidR="00000000" w:rsidRDefault="00000000">
      <w:pPr>
        <w:spacing w:before="80" w:after="240"/>
        <w:ind w:left="1701"/>
        <w:rPr>
          <w:color w:val="000000"/>
          <w:sz w:val="20"/>
          <w:szCs w:val="22"/>
          <w:lang w:val="fr-FR"/>
        </w:rPr>
      </w:pPr>
      <w:r>
        <w:rPr>
          <w:i/>
          <w:iCs/>
          <w:color w:val="000000"/>
          <w:sz w:val="20"/>
          <w:szCs w:val="22"/>
          <w:lang w:val="fr-FR"/>
        </w:rPr>
        <w:t>Source :</w:t>
      </w:r>
      <w:r>
        <w:rPr>
          <w:color w:val="000000"/>
          <w:sz w:val="20"/>
          <w:szCs w:val="22"/>
          <w:lang w:val="fr-FR"/>
        </w:rPr>
        <w:t xml:space="preserve"> INEC, Enquête sur les conditions de vie-95, SIISE-SIMUJERES.</w:t>
      </w:r>
    </w:p>
    <w:p w:rsidR="00000000" w:rsidRDefault="00000000">
      <w:pPr>
        <w:spacing w:after="240"/>
        <w:rPr>
          <w:bCs/>
          <w:iCs/>
          <w:color w:val="000000"/>
          <w:lang w:val="fr-FR"/>
        </w:rPr>
      </w:pPr>
      <w:r>
        <w:rPr>
          <w:bCs/>
          <w:i/>
          <w:iCs/>
          <w:color w:val="000000"/>
          <w:lang w:val="fr-FR"/>
        </w:rPr>
        <w:t>Éducation à l'intention des minorités ethniques</w:t>
      </w:r>
    </w:p>
    <w:p w:rsidR="00000000" w:rsidRDefault="00000000">
      <w:pPr>
        <w:spacing w:after="240"/>
        <w:rPr>
          <w:bCs/>
          <w:iCs/>
          <w:color w:val="000000"/>
          <w:lang w:val="fr-FR"/>
        </w:rPr>
      </w:pPr>
      <w:r>
        <w:rPr>
          <w:bCs/>
          <w:iCs/>
          <w:color w:val="000000"/>
          <w:lang w:val="fr-FR"/>
        </w:rPr>
        <w:t>509.</w:t>
      </w:r>
      <w:r>
        <w:rPr>
          <w:bCs/>
          <w:iCs/>
          <w:color w:val="000000"/>
          <w:lang w:val="fr-FR"/>
        </w:rPr>
        <w:tab/>
        <w:t xml:space="preserve">Selon la Constitution, tous les Équatoriens ont libre accès à tous les niveaux de l’éducation, mais les réalités géographiques, socio-économiques et culturelles font que ce n'est pas toujours le cas.  </w:t>
      </w:r>
    </w:p>
    <w:p w:rsidR="00000000" w:rsidRDefault="00000000">
      <w:pPr>
        <w:spacing w:after="240"/>
        <w:rPr>
          <w:bCs/>
          <w:iCs/>
          <w:color w:val="000000"/>
          <w:lang w:val="fr-FR"/>
        </w:rPr>
      </w:pPr>
      <w:r>
        <w:rPr>
          <w:bCs/>
          <w:iCs/>
          <w:color w:val="000000"/>
          <w:lang w:val="fr-FR"/>
        </w:rPr>
        <w:t>510.</w:t>
      </w:r>
      <w:r>
        <w:rPr>
          <w:bCs/>
          <w:iCs/>
          <w:color w:val="000000"/>
          <w:lang w:val="fr-FR"/>
        </w:rPr>
        <w:tab/>
        <w:t>La Direction nationale de l'éducation populaire permanente (DINEPP), consciente de ces réalités, a offert des programmes d'éducation tenant compte des particularités des différents secteurs de la population du pays, au moyen de projets spécifiques respectant la diversité sociale et culturelle.</w:t>
      </w:r>
    </w:p>
    <w:p w:rsidR="00000000" w:rsidRDefault="00000000">
      <w:pPr>
        <w:spacing w:after="240"/>
        <w:rPr>
          <w:bCs/>
          <w:iCs/>
          <w:color w:val="000000"/>
          <w:lang w:val="fr-FR"/>
        </w:rPr>
      </w:pPr>
      <w:r>
        <w:rPr>
          <w:bCs/>
          <w:iCs/>
          <w:color w:val="000000"/>
          <w:lang w:val="fr-FR"/>
        </w:rPr>
        <w:t>511.</w:t>
      </w:r>
      <w:r>
        <w:rPr>
          <w:bCs/>
          <w:iCs/>
          <w:color w:val="000000"/>
          <w:lang w:val="fr-FR"/>
        </w:rPr>
        <w:tab/>
        <w:t>L'existence d'une demande d'éducation dans le sous-système non scolarisé et l'existence de programmes et projets qui répondent, suivant leurs différentes modalités, à cette demande témoignent de la large portée des services éducation.</w:t>
      </w:r>
    </w:p>
    <w:p w:rsidR="00000000" w:rsidRDefault="00000000">
      <w:pPr>
        <w:spacing w:after="240"/>
        <w:rPr>
          <w:bCs/>
          <w:iCs/>
          <w:color w:val="000000"/>
          <w:lang w:val="fr-FR"/>
        </w:rPr>
      </w:pPr>
      <w:r>
        <w:rPr>
          <w:bCs/>
          <w:iCs/>
          <w:color w:val="000000"/>
          <w:lang w:val="fr-FR"/>
        </w:rPr>
        <w:t>512.</w:t>
      </w:r>
      <w:r>
        <w:rPr>
          <w:bCs/>
          <w:iCs/>
          <w:color w:val="000000"/>
          <w:lang w:val="fr-FR"/>
        </w:rPr>
        <w:tab/>
        <w:t>Peu à peu, les jeunes autochtones s'intègrent au système d'éducation nationale; la solution des problèmes posés par les limitations financières, techniques, matérielles et en matière d'infrastructure est un facteur déterminant de l'insertion définitive au processus éducatif.</w:t>
      </w:r>
    </w:p>
    <w:p w:rsidR="00000000" w:rsidRDefault="00000000">
      <w:pPr>
        <w:spacing w:after="240"/>
        <w:rPr>
          <w:bCs/>
          <w:iCs/>
          <w:color w:val="000000"/>
          <w:lang w:val="fr-FR"/>
        </w:rPr>
      </w:pPr>
      <w:r>
        <w:rPr>
          <w:bCs/>
          <w:iCs/>
          <w:color w:val="000000"/>
          <w:lang w:val="fr-FR"/>
        </w:rPr>
        <w:t>513.</w:t>
      </w:r>
      <w:r>
        <w:rPr>
          <w:bCs/>
          <w:iCs/>
          <w:color w:val="000000"/>
          <w:lang w:val="fr-FR"/>
        </w:rPr>
        <w:tab/>
        <w:t>Le manque d'attention accordée par l’État à l'éducation des autochtones se manifeste par un taux élevé d'abandons et de redoublements scolaires.  Les études réalisées au cours des années scolaires 1997-1998 montre que dans les 7e ,8e et 9e classes, 2 % des élèves redoublent et 26,6 % abandonnent au cours de l'année scolaire.</w:t>
      </w:r>
    </w:p>
    <w:p w:rsidR="00000000" w:rsidRDefault="00000000">
      <w:pPr>
        <w:spacing w:after="240"/>
        <w:rPr>
          <w:bCs/>
          <w:iCs/>
          <w:color w:val="000000"/>
          <w:lang w:val="fr-FR"/>
        </w:rPr>
      </w:pPr>
      <w:r>
        <w:rPr>
          <w:bCs/>
          <w:iCs/>
          <w:color w:val="000000"/>
          <w:lang w:val="fr-FR"/>
        </w:rPr>
        <w:t>514.</w:t>
      </w:r>
      <w:r>
        <w:rPr>
          <w:bCs/>
          <w:iCs/>
          <w:color w:val="000000"/>
          <w:lang w:val="fr-FR"/>
        </w:rPr>
        <w:tab/>
        <w:t>Pour la deuxième année de l'éducation de base, le taux d'abandon ― 33,5 % ― est encore plus préoccupant.</w:t>
      </w:r>
    </w:p>
    <w:p w:rsidR="00000000" w:rsidRDefault="00000000">
      <w:pPr>
        <w:spacing w:after="240"/>
        <w:rPr>
          <w:bCs/>
          <w:iCs/>
          <w:color w:val="000000"/>
          <w:lang w:val="fr-FR"/>
        </w:rPr>
      </w:pPr>
      <w:r>
        <w:rPr>
          <w:bCs/>
          <w:iCs/>
          <w:color w:val="000000"/>
          <w:lang w:val="fr-FR"/>
        </w:rPr>
        <w:t>515.</w:t>
      </w:r>
      <w:r>
        <w:rPr>
          <w:bCs/>
          <w:iCs/>
          <w:color w:val="000000"/>
          <w:lang w:val="fr-FR"/>
        </w:rPr>
        <w:tab/>
        <w:t>Sur le total des élèves qui ont achevé les six premiers niveaux d'études, 40 % seulement poursuivent leur scolarité, tandis que 60 % sont absorbés par le marché du travail dans les campagnes ou à la ville.  Au fur et à mesure que l'on avance dans l'éducation, l’abandon atteint des proportions alarmantes, seulement 10 à 13 % des élèves réussissant à obtenir le baccalauréat.</w:t>
      </w:r>
    </w:p>
    <w:p w:rsidR="00000000" w:rsidRDefault="00000000">
      <w:pPr>
        <w:spacing w:after="240"/>
        <w:rPr>
          <w:bCs/>
          <w:iCs/>
          <w:color w:val="000000"/>
          <w:lang w:val="fr-FR"/>
        </w:rPr>
      </w:pPr>
      <w:r>
        <w:rPr>
          <w:bCs/>
          <w:iCs/>
          <w:color w:val="000000"/>
          <w:lang w:val="fr-FR"/>
        </w:rPr>
        <w:t>516.</w:t>
      </w:r>
      <w:r>
        <w:rPr>
          <w:bCs/>
          <w:iCs/>
          <w:color w:val="000000"/>
          <w:lang w:val="fr-FR"/>
        </w:rPr>
        <w:tab/>
        <w:t>En ce qui concerne la population handicapée, soit 13 % (ou 1 600 000 personnes) de la population équatorienne totale, à peine 4 % ont accès à l'éducation spéciale, dont 37,9 % n'achèvent aucun type d'instruction.  Par rapport à l'indice général d'analphabétisme (9,8 %), on constate que cette population est fortement marginalisée, avec un accès limité à l'instruction de base.  Cela signifie que le niveau d'analphabétisme dans ce groupe social est élevé, et plus encore dans le secteur rural.</w:t>
      </w:r>
    </w:p>
    <w:p w:rsidR="00000000" w:rsidRDefault="00000000">
      <w:pPr>
        <w:spacing w:after="240"/>
        <w:rPr>
          <w:bCs/>
          <w:iCs/>
          <w:color w:val="000000"/>
          <w:lang w:val="fr-FR"/>
        </w:rPr>
      </w:pPr>
      <w:r>
        <w:rPr>
          <w:bCs/>
          <w:iCs/>
          <w:color w:val="000000"/>
          <w:lang w:val="fr-FR"/>
        </w:rPr>
        <w:t>517.</w:t>
      </w:r>
      <w:r>
        <w:rPr>
          <w:bCs/>
          <w:iCs/>
          <w:color w:val="000000"/>
          <w:lang w:val="fr-FR"/>
        </w:rPr>
        <w:tab/>
        <w:t>Si l'on considère que 50,9 % de la population générale a achevé son instruction primaire (7ème année d'éducation de base) et que 62,1 % des personnes handicapées n’ont pas atteint ce niveau d'instruction, on voit à quel point cette population est désavantagée.  Environ 10,5 % des personnes handicapées terminent l'enseignement secondaire (baccalauréat), alors que la proportion est de 25,9 % dans la population générale.  À peine 23,8 % de la population handicapée fréquente un établissement éducatif, ce qui implique que 76,2 % n’en fréquentent aucun.</w:t>
      </w:r>
    </w:p>
    <w:p w:rsidR="00000000" w:rsidRDefault="00000000">
      <w:pPr>
        <w:spacing w:after="240"/>
        <w:rPr>
          <w:bCs/>
          <w:iCs/>
          <w:color w:val="000000"/>
          <w:lang w:val="fr-FR"/>
        </w:rPr>
      </w:pPr>
      <w:r>
        <w:rPr>
          <w:bCs/>
          <w:iCs/>
          <w:color w:val="000000"/>
          <w:lang w:val="fr-FR"/>
        </w:rPr>
        <w:t>518.</w:t>
      </w:r>
      <w:r>
        <w:rPr>
          <w:bCs/>
          <w:iCs/>
          <w:color w:val="000000"/>
          <w:lang w:val="fr-FR"/>
        </w:rPr>
        <w:tab/>
        <w:t>Au niveau national, 58,8 % des personnes handicapées ont suivi leurs études dans les écoles d'enseignement régulier, 34,6 % ayant été éduqué dans d'autres instituts et centres, surtout dans la région de la Costa.</w:t>
      </w:r>
    </w:p>
    <w:p w:rsidR="00000000" w:rsidRDefault="00000000">
      <w:pPr>
        <w:spacing w:after="240"/>
        <w:rPr>
          <w:bCs/>
          <w:iCs/>
          <w:color w:val="000000"/>
          <w:lang w:val="fr-FR"/>
        </w:rPr>
      </w:pPr>
      <w:r>
        <w:rPr>
          <w:bCs/>
          <w:iCs/>
          <w:color w:val="000000"/>
          <w:lang w:val="fr-FR"/>
        </w:rPr>
        <w:t>519.</w:t>
      </w:r>
      <w:r>
        <w:rPr>
          <w:bCs/>
          <w:iCs/>
          <w:color w:val="000000"/>
          <w:lang w:val="fr-FR"/>
        </w:rPr>
        <w:tab/>
        <w:t>Parmi les enfants (garçons et filles) ayant des besoins éducatifs spéciaux, 6,1 % ne reçoivent aucun appui, bien qu'ils soient apparemment intégrés dans l'enseignement régulier.</w:t>
      </w:r>
    </w:p>
    <w:p w:rsidR="00000000" w:rsidRDefault="00000000">
      <w:pPr>
        <w:spacing w:after="240"/>
        <w:rPr>
          <w:bCs/>
          <w:iCs/>
          <w:color w:val="000000"/>
          <w:lang w:val="fr-FR"/>
        </w:rPr>
      </w:pPr>
      <w:r>
        <w:rPr>
          <w:bCs/>
          <w:iCs/>
          <w:color w:val="000000"/>
          <w:lang w:val="fr-FR"/>
        </w:rPr>
        <w:t>520.</w:t>
      </w:r>
      <w:r>
        <w:rPr>
          <w:bCs/>
          <w:iCs/>
          <w:color w:val="000000"/>
          <w:lang w:val="fr-FR"/>
        </w:rPr>
        <w:tab/>
        <w:t>La Division nationale de l'enseignement spécial oeuvre, dans le cadre de l'autogestion, en faveur des élèves ayant des besoins éducatifs spéciaux.  Il y a actuellement dans le pays 97 établissements publics et privés d'enseignement spécial, employant 1379 enseignants qui prennent soin d’un total de 6143 élèves atteints de déficiences diverses: retard mental (4140 élèves), déficience auditive (1185 élèves), déficience visuelle (330 élèves), paralysie cérébrale (462 élèves) et problèmes moteurs (26 élèves).</w:t>
      </w:r>
    </w:p>
    <w:p w:rsidR="00000000" w:rsidRDefault="00000000">
      <w:pPr>
        <w:spacing w:after="240"/>
        <w:rPr>
          <w:bCs/>
          <w:iCs/>
          <w:color w:val="000000"/>
          <w:lang w:val="fr-FR"/>
        </w:rPr>
      </w:pPr>
      <w:r>
        <w:rPr>
          <w:bCs/>
          <w:i/>
          <w:iCs/>
          <w:color w:val="000000"/>
          <w:lang w:val="fr-FR"/>
        </w:rPr>
        <w:t>Égalité face à l'éducation</w:t>
      </w:r>
    </w:p>
    <w:p w:rsidR="00000000" w:rsidRDefault="00000000">
      <w:pPr>
        <w:spacing w:after="240"/>
        <w:rPr>
          <w:bCs/>
          <w:iCs/>
          <w:color w:val="000000"/>
          <w:lang w:val="fr-FR"/>
        </w:rPr>
      </w:pPr>
      <w:r>
        <w:rPr>
          <w:bCs/>
          <w:iCs/>
          <w:color w:val="000000"/>
          <w:lang w:val="fr-FR"/>
        </w:rPr>
        <w:t>521.</w:t>
      </w:r>
      <w:r>
        <w:rPr>
          <w:bCs/>
          <w:iCs/>
          <w:color w:val="000000"/>
          <w:lang w:val="fr-FR"/>
        </w:rPr>
        <w:tab/>
        <w:t>Les mesures adoptées en Équateur pour garantir l'égalité d'accès à tous les niveaux de l'éducation ont dans une large mesure varié en fonction des politiques adoptées par les différents gouvernements, mais, dans le cycle primaire, l'action a porté fondamentalement sur les éléments suivants :</w:t>
      </w:r>
    </w:p>
    <w:p w:rsidR="00000000" w:rsidRDefault="00000000">
      <w:pPr>
        <w:numPr>
          <w:ilvl w:val="0"/>
          <w:numId w:val="108"/>
        </w:numPr>
        <w:spacing w:after="240"/>
        <w:rPr>
          <w:bCs/>
          <w:iCs/>
          <w:color w:val="000000"/>
          <w:lang w:val="fr-FR"/>
        </w:rPr>
      </w:pPr>
      <w:r>
        <w:rPr>
          <w:bCs/>
          <w:iCs/>
          <w:color w:val="000000"/>
          <w:lang w:val="fr-FR"/>
        </w:rPr>
        <w:t>Réforme des programmes;</w:t>
      </w:r>
    </w:p>
    <w:p w:rsidR="00000000" w:rsidRDefault="00000000">
      <w:pPr>
        <w:numPr>
          <w:ilvl w:val="0"/>
          <w:numId w:val="108"/>
        </w:numPr>
        <w:spacing w:after="240"/>
        <w:rPr>
          <w:bCs/>
          <w:iCs/>
          <w:color w:val="000000"/>
          <w:lang w:val="fr-FR"/>
        </w:rPr>
      </w:pPr>
      <w:r>
        <w:rPr>
          <w:bCs/>
          <w:iCs/>
          <w:color w:val="000000"/>
          <w:lang w:val="fr-FR"/>
        </w:rPr>
        <w:t>Cartable scolaire;</w:t>
      </w:r>
    </w:p>
    <w:p w:rsidR="00000000" w:rsidRDefault="00000000">
      <w:pPr>
        <w:numPr>
          <w:ilvl w:val="0"/>
          <w:numId w:val="108"/>
        </w:numPr>
        <w:spacing w:after="240"/>
        <w:rPr>
          <w:bCs/>
          <w:iCs/>
          <w:color w:val="000000"/>
          <w:lang w:val="fr-FR"/>
        </w:rPr>
      </w:pPr>
      <w:r>
        <w:rPr>
          <w:bCs/>
          <w:iCs/>
          <w:color w:val="000000"/>
          <w:lang w:val="fr-FR"/>
        </w:rPr>
        <w:t>Collation scolaire;</w:t>
      </w:r>
    </w:p>
    <w:p w:rsidR="00000000" w:rsidRDefault="00000000">
      <w:pPr>
        <w:numPr>
          <w:ilvl w:val="0"/>
          <w:numId w:val="108"/>
        </w:numPr>
        <w:spacing w:after="240"/>
        <w:rPr>
          <w:bCs/>
          <w:iCs/>
          <w:color w:val="000000"/>
          <w:lang w:val="fr-FR"/>
        </w:rPr>
      </w:pPr>
      <w:r>
        <w:rPr>
          <w:bCs/>
          <w:iCs/>
          <w:color w:val="000000"/>
          <w:lang w:val="fr-FR"/>
        </w:rPr>
        <w:t>Déjeuner scolaire;</w:t>
      </w:r>
    </w:p>
    <w:p w:rsidR="00000000" w:rsidRDefault="00000000">
      <w:pPr>
        <w:numPr>
          <w:ilvl w:val="0"/>
          <w:numId w:val="108"/>
        </w:numPr>
        <w:spacing w:after="240"/>
        <w:rPr>
          <w:bCs/>
          <w:iCs/>
          <w:color w:val="000000"/>
          <w:lang w:val="fr-FR"/>
        </w:rPr>
      </w:pPr>
      <w:r>
        <w:rPr>
          <w:bCs/>
          <w:iCs/>
          <w:color w:val="000000"/>
          <w:lang w:val="fr-FR"/>
        </w:rPr>
        <w:t>Prime d'éducation.</w:t>
      </w:r>
    </w:p>
    <w:p w:rsidR="00000000" w:rsidRDefault="00000000">
      <w:pPr>
        <w:spacing w:after="240"/>
        <w:rPr>
          <w:bCs/>
          <w:iCs/>
          <w:color w:val="000000"/>
          <w:lang w:val="fr-FR"/>
        </w:rPr>
      </w:pPr>
      <w:r>
        <w:rPr>
          <w:bCs/>
          <w:iCs/>
          <w:color w:val="000000"/>
          <w:lang w:val="fr-FR"/>
        </w:rPr>
        <w:t>522.</w:t>
      </w:r>
      <w:r>
        <w:rPr>
          <w:bCs/>
          <w:iCs/>
          <w:color w:val="000000"/>
          <w:lang w:val="fr-FR"/>
        </w:rPr>
        <w:tab/>
        <w:t>La problématique complexe de l'éducation a été abordée en Équateur par le biais d'une série de tentatives de réforme ponctuelles, dont la dernière a été approuvée par le Conseil national de l'éducation sous l'appellation "Proposition commune de réforme des programmes de l'éducation de base", qui a pris effet en février 1996.</w:t>
      </w:r>
    </w:p>
    <w:p w:rsidR="00000000" w:rsidRDefault="00000000">
      <w:pPr>
        <w:spacing w:after="240"/>
        <w:rPr>
          <w:bCs/>
          <w:iCs/>
          <w:color w:val="000000"/>
          <w:lang w:val="fr-FR"/>
        </w:rPr>
      </w:pPr>
      <w:r>
        <w:rPr>
          <w:bCs/>
          <w:iCs/>
          <w:color w:val="000000"/>
          <w:lang w:val="fr-FR"/>
        </w:rPr>
        <w:t>523.</w:t>
      </w:r>
      <w:r>
        <w:rPr>
          <w:bCs/>
          <w:iCs/>
          <w:color w:val="000000"/>
          <w:lang w:val="fr-FR"/>
        </w:rPr>
        <w:tab/>
        <w:t>La réforme et l’ajustement des programmes scolaires visent à traduire dans les faits la proposition actuelle en vue de parvenir à une réforme effective, c'est-à-dire une réforme qui se concrétise dans la salle de classe, sous l'impulsion du personnel enseignant, et qui nécessite des textes, du matériel pédagogique, une infrastructure, un emploi du temps, des modalités de gestion, la participation des parents d'élèves et de la communauté, etc.  Cette démarche doit être l'axe central de l'effort visant à institutionnaliser une réforme éducative permanente et de qualité qui corresponde à la diversité socioculturelle et économique du pays.  En ce sens, l'offre d'éducation doit être adaptée aux besoins et intérêts des enfants et de leur communauté, au travers d'une formation éthique, scientifique et culturelle, qui soutienne une formation générale favorisant l'insertion dans la vie active et le développement durable, priorité étant donnée aux zones rurales et urbaines marginales</w:t>
      </w:r>
      <w:r>
        <w:rPr>
          <w:rStyle w:val="FootnoteReference"/>
          <w:b/>
          <w:bCs/>
          <w:iCs/>
          <w:color w:val="000000"/>
          <w:lang w:val="fr-FR"/>
        </w:rPr>
        <w:footnoteReference w:id="73"/>
      </w:r>
      <w:r>
        <w:rPr>
          <w:bCs/>
          <w:iCs/>
          <w:color w:val="000000"/>
          <w:lang w:val="fr-FR"/>
        </w:rPr>
        <w:t>.</w:t>
      </w:r>
    </w:p>
    <w:p w:rsidR="00000000" w:rsidRDefault="00000000">
      <w:pPr>
        <w:spacing w:after="240"/>
        <w:rPr>
          <w:bCs/>
          <w:iCs/>
          <w:color w:val="000000"/>
          <w:lang w:val="fr-FR"/>
        </w:rPr>
      </w:pPr>
      <w:r>
        <w:rPr>
          <w:bCs/>
          <w:iCs/>
          <w:color w:val="000000"/>
          <w:lang w:val="fr-FR"/>
        </w:rPr>
        <w:t>524.</w:t>
      </w:r>
      <w:r>
        <w:rPr>
          <w:bCs/>
          <w:iCs/>
          <w:color w:val="000000"/>
          <w:lang w:val="fr-FR"/>
        </w:rPr>
        <w:tab/>
        <w:t>Le cartable scolaire est distribué à tous les enfants, filles et garçons, des établissements préprimaires et primaires publics et subventionnés de l'ensemble du pays, à titre gratuit, sauf pour les établissements relevant de EB/PRODEC Y PROMECEB, de la façon suivante :</w:t>
      </w:r>
    </w:p>
    <w:p w:rsidR="00000000" w:rsidRDefault="00000000">
      <w:pPr>
        <w:numPr>
          <w:ilvl w:val="0"/>
          <w:numId w:val="110"/>
        </w:numPr>
        <w:spacing w:after="240"/>
        <w:rPr>
          <w:bCs/>
          <w:iCs/>
          <w:color w:val="000000"/>
          <w:lang w:val="fr-FR"/>
        </w:rPr>
      </w:pPr>
      <w:r>
        <w:rPr>
          <w:bCs/>
          <w:iCs/>
          <w:color w:val="000000"/>
          <w:lang w:val="fr-FR"/>
        </w:rPr>
        <w:t>Première classe de l'enseignement de base (l’ancien jardin d'enfants) - un livre d'exercices.</w:t>
      </w:r>
    </w:p>
    <w:p w:rsidR="00000000" w:rsidRDefault="00000000">
      <w:pPr>
        <w:numPr>
          <w:ilvl w:val="0"/>
          <w:numId w:val="110"/>
        </w:numPr>
        <w:spacing w:after="240"/>
        <w:rPr>
          <w:bCs/>
          <w:iCs/>
          <w:color w:val="000000"/>
          <w:lang w:val="fr-FR"/>
        </w:rPr>
      </w:pPr>
      <w:r>
        <w:rPr>
          <w:bCs/>
          <w:iCs/>
          <w:color w:val="000000"/>
          <w:lang w:val="fr-FR"/>
        </w:rPr>
        <w:t>Deuxième classe de l'enseignement de base (l'ancienne première classe) - un livre d'exercices et un cartable contenant cahiers, crayons de couleur, règles et nécessaire de toilette.</w:t>
      </w:r>
    </w:p>
    <w:p w:rsidR="00000000" w:rsidRDefault="00000000">
      <w:pPr>
        <w:numPr>
          <w:ilvl w:val="0"/>
          <w:numId w:val="110"/>
        </w:numPr>
        <w:spacing w:after="240"/>
        <w:rPr>
          <w:bCs/>
          <w:iCs/>
          <w:color w:val="000000"/>
          <w:lang w:val="fr-FR"/>
        </w:rPr>
      </w:pPr>
      <w:r>
        <w:rPr>
          <w:bCs/>
          <w:iCs/>
          <w:color w:val="000000"/>
          <w:lang w:val="fr-FR"/>
        </w:rPr>
        <w:t>Troisième classe de l'enseignement de base (l'ancienne deuxième classe) - un cartable.</w:t>
      </w:r>
    </w:p>
    <w:p w:rsidR="00000000" w:rsidRDefault="00000000">
      <w:pPr>
        <w:numPr>
          <w:ilvl w:val="0"/>
          <w:numId w:val="110"/>
        </w:numPr>
        <w:spacing w:after="240"/>
        <w:rPr>
          <w:bCs/>
          <w:iCs/>
          <w:color w:val="000000"/>
          <w:lang w:val="fr-FR"/>
        </w:rPr>
      </w:pPr>
      <w:r>
        <w:rPr>
          <w:bCs/>
          <w:iCs/>
          <w:color w:val="000000"/>
          <w:lang w:val="fr-FR"/>
        </w:rPr>
        <w:t>Les établissements reçoivent des textes de lecture, en fonction du nombre d'élèves inscrits dans les quatrième et cinquième classes de l'enseignement de base (les anciennes troisième et quatrième classes), qui resteront propriété de l'école.</w:t>
      </w:r>
    </w:p>
    <w:p w:rsidR="00000000" w:rsidRDefault="00000000">
      <w:pPr>
        <w:spacing w:after="240"/>
        <w:rPr>
          <w:bCs/>
          <w:iCs/>
          <w:color w:val="000000"/>
          <w:lang w:val="fr-FR"/>
        </w:rPr>
      </w:pPr>
      <w:r>
        <w:rPr>
          <w:bCs/>
          <w:iCs/>
          <w:color w:val="000000"/>
          <w:lang w:val="fr-FR"/>
        </w:rPr>
        <w:t>525.</w:t>
      </w:r>
      <w:r>
        <w:rPr>
          <w:bCs/>
          <w:iCs/>
          <w:color w:val="000000"/>
          <w:lang w:val="fr-FR"/>
        </w:rPr>
        <w:tab/>
        <w:t>On s'efforce actuellement d'offrir des déjeuners scolaires et des bourses d'études.  Ces bourses consisteront à remettre aux familles pauvres une allocation destinée à inciter leurs enfants à fréquenter l'école.  L'objet de cette incitation est de permettre aux plus défavorisés d'exercer leur droit à l'éducation, en encourageant les familles à envoyer leurs enfants à l'école.</w:t>
      </w:r>
    </w:p>
    <w:p w:rsidR="00000000" w:rsidRDefault="00000000">
      <w:pPr>
        <w:spacing w:after="240"/>
        <w:rPr>
          <w:bCs/>
          <w:iCs/>
          <w:color w:val="000000"/>
          <w:lang w:val="fr-FR"/>
        </w:rPr>
      </w:pPr>
      <w:r>
        <w:rPr>
          <w:bCs/>
          <w:iCs/>
          <w:color w:val="000000"/>
          <w:lang w:val="fr-FR"/>
        </w:rPr>
        <w:t>526.</w:t>
      </w:r>
      <w:r>
        <w:rPr>
          <w:bCs/>
          <w:iCs/>
          <w:color w:val="000000"/>
          <w:lang w:val="fr-FR"/>
        </w:rPr>
        <w:tab/>
        <w:t>Le Ministère de l'éducation applique de 1999 à 2002 le Programme de réseaux amis pour améliorer la qualité de l'éducation rurale.</w:t>
      </w:r>
    </w:p>
    <w:p w:rsidR="00000000" w:rsidRDefault="00000000">
      <w:pPr>
        <w:spacing w:after="240"/>
        <w:rPr>
          <w:bCs/>
          <w:iCs/>
          <w:color w:val="000000"/>
          <w:lang w:val="fr-FR"/>
        </w:rPr>
      </w:pPr>
      <w:r>
        <w:rPr>
          <w:bCs/>
          <w:iCs/>
          <w:color w:val="000000"/>
          <w:lang w:val="fr-FR"/>
        </w:rPr>
        <w:t>527.</w:t>
      </w:r>
      <w:r>
        <w:rPr>
          <w:bCs/>
          <w:iCs/>
          <w:color w:val="000000"/>
          <w:lang w:val="fr-FR"/>
        </w:rPr>
        <w:tab/>
        <w:t>Les mesures adoptées n'ont pas encore eu les résultats escomptés, car, bien qu'il s'agisse assurément de mesures qui aident les enfants à se faire inscrire pendant l'année scolaire, cela n'a pas été une motivation suffisante, et ce en raison de la grave crise qui frappe actuellement les familles pauvres, obligeant les secteurs les plus vulnérables à se tourner vers de nouvelles stratégies de survie.  Une de ses stratégies est de sortir les enfants des écoles pour qu’ils puissent se procurer un revenu sous une forme une autre, afin de satisfaire les besoins prioritaires comme la santé et l'alimentation.  Le nombre d'enfants à la rue qui entrent sur le marché du travail informel après avoir abandonné leurs études, avec les conséquences irréversibles et irréparables que cela entraîne, ne cesse de grandir.</w:t>
      </w:r>
    </w:p>
    <w:p w:rsidR="00000000" w:rsidRDefault="00000000">
      <w:pPr>
        <w:spacing w:after="240"/>
        <w:rPr>
          <w:bCs/>
          <w:iCs/>
          <w:color w:val="000000"/>
          <w:lang w:val="fr-FR"/>
        </w:rPr>
      </w:pPr>
      <w:r>
        <w:rPr>
          <w:bCs/>
          <w:iCs/>
          <w:color w:val="000000"/>
          <w:lang w:val="fr-FR"/>
        </w:rPr>
        <w:t>528.</w:t>
      </w:r>
      <w:r>
        <w:rPr>
          <w:bCs/>
          <w:iCs/>
          <w:color w:val="000000"/>
          <w:lang w:val="fr-FR"/>
        </w:rPr>
        <w:tab/>
        <w:t>Face à ce problème, le Programme de protection sociale a créé la prime scolaire, qui est une bourse versée aux familles qui permettent à leurs enfants de fréquenter l'école.  Cet argent est remis directement aux parents qui ont perdu leurs sources de revenu à cause de la crise et permet dans une certaine mesure de compenser cette perte.  Le montant de la bourse se situe entre 12 et 15 dollars pour les familles qui se font enregistrer dans les districts ruraux de l’Équateur.</w:t>
      </w:r>
    </w:p>
    <w:p w:rsidR="00000000" w:rsidRDefault="00000000">
      <w:pPr>
        <w:spacing w:after="240"/>
        <w:rPr>
          <w:bCs/>
          <w:iCs/>
          <w:color w:val="000000"/>
          <w:lang w:val="fr-FR"/>
        </w:rPr>
      </w:pPr>
      <w:r>
        <w:rPr>
          <w:bCs/>
          <w:i/>
          <w:iCs/>
          <w:color w:val="000000"/>
          <w:lang w:val="fr-FR"/>
        </w:rPr>
        <w:t>Éducation bilingue</w:t>
      </w:r>
    </w:p>
    <w:p w:rsidR="00000000" w:rsidRDefault="00000000">
      <w:pPr>
        <w:spacing w:after="240"/>
        <w:rPr>
          <w:bCs/>
          <w:iCs/>
          <w:color w:val="000000"/>
          <w:lang w:val="fr-FR"/>
        </w:rPr>
      </w:pPr>
      <w:r>
        <w:rPr>
          <w:bCs/>
          <w:iCs/>
          <w:color w:val="000000"/>
          <w:lang w:val="fr-FR"/>
        </w:rPr>
        <w:t>529.</w:t>
      </w:r>
      <w:r>
        <w:rPr>
          <w:bCs/>
          <w:iCs/>
          <w:color w:val="000000"/>
          <w:lang w:val="fr-FR"/>
        </w:rPr>
        <w:tab/>
        <w:t>C’est au milieu du XXe siècle qu'on a commencé à parler de l'éducation autochtone en Équateur.  C'est en fait à cette époque que se sont produits d'importants changements concernant la communauté autochtone dans le domaine éducatif.  Depuis la période coloniale et pendant une bonne partie du XXe siècle, la situation de cette population en matière d’éducation n'avait absolument pas changé; chacun sait que l'Indien, dont les droits étaient niés, survivait dans les conditions les plus dégradantes et inhumaines</w:t>
      </w:r>
      <w:r>
        <w:rPr>
          <w:rStyle w:val="FootnoteReference"/>
          <w:b/>
          <w:bCs/>
          <w:iCs/>
          <w:color w:val="000000"/>
          <w:lang w:val="fr-FR"/>
        </w:rPr>
        <w:footnoteReference w:id="74"/>
      </w:r>
      <w:r>
        <w:rPr>
          <w:bCs/>
          <w:iCs/>
          <w:color w:val="000000"/>
          <w:lang w:val="fr-FR"/>
        </w:rPr>
        <w:t>.</w:t>
      </w:r>
    </w:p>
    <w:p w:rsidR="00000000" w:rsidRDefault="00000000">
      <w:pPr>
        <w:spacing w:before="40" w:after="20"/>
        <w:rPr>
          <w:bCs/>
          <w:iCs/>
          <w:color w:val="000000"/>
          <w:sz w:val="20"/>
          <w:lang w:val="fr-FR"/>
        </w:rPr>
      </w:pPr>
      <w:r>
        <w:rPr>
          <w:bCs/>
          <w:iCs/>
          <w:color w:val="000000"/>
          <w:lang w:val="fr-FR"/>
        </w:rPr>
        <w:t>530.</w:t>
      </w:r>
      <w:r>
        <w:rPr>
          <w:bCs/>
          <w:iCs/>
          <w:color w:val="000000"/>
          <w:lang w:val="fr-FR"/>
        </w:rPr>
        <w:tab/>
        <w:t>C’est avec la participation des organisations appartenant à la Confédération des nationalités autochtones de l’Équateur (CONAIE) qu’a été élaborée la proposition demandant au Gouvernement de permettre la création en novembre 1988 de la Direction nationale de l'éducation interculturelle bilingue (DINEIB).  Dès lors l’État a assumé la responsabilité de l'éducation dans ce secteur par la légalisation de la proposition interculturelle bilingue.  L'année suivante, un accord de coopération scientifique a été signé entre le Ministère de l'éducation et la CONAIE.  Le but de cet accord est de réaliser des études linguistiques et pédagogiques, d'élaborer du matériel pédagogique pour l'alphabétisation et la post-alphabétisation et de former de façon progressive le personnel participant en langues quechua, awa, chachi, tsachi et autres langues du pays</w:t>
      </w:r>
      <w:r>
        <w:rPr>
          <w:rStyle w:val="FootnoteReference"/>
          <w:b/>
          <w:bCs/>
          <w:iCs/>
          <w:color w:val="000000"/>
          <w:lang w:val="fr-FR"/>
        </w:rPr>
        <w:footnoteReference w:id="75"/>
      </w:r>
      <w:r>
        <w:rPr>
          <w:bCs/>
          <w:iCs/>
          <w:color w:val="000000"/>
          <w:lang w:val="fr-FR"/>
        </w:rPr>
        <w:t>.</w:t>
      </w:r>
    </w:p>
    <w:p w:rsidR="00000000" w:rsidRDefault="00000000">
      <w:pPr>
        <w:autoSpaceDE w:val="0"/>
        <w:autoSpaceDN w:val="0"/>
        <w:adjustRightInd w:val="0"/>
        <w:spacing w:before="40" w:after="20"/>
        <w:jc w:val="center"/>
        <w:rPr>
          <w:b/>
          <w:bCs/>
          <w:color w:val="000000"/>
          <w:sz w:val="20"/>
          <w:szCs w:val="22"/>
          <w:lang w:val="fr-FR"/>
        </w:rPr>
      </w:pPr>
      <w:r>
        <w:rPr>
          <w:b/>
          <w:bCs/>
          <w:color w:val="000000"/>
          <w:sz w:val="20"/>
          <w:szCs w:val="22"/>
          <w:lang w:val="fr-FR"/>
        </w:rPr>
        <w:t xml:space="preserve">Éducation interculturelle bilingue </w:t>
      </w:r>
    </w:p>
    <w:p w:rsidR="00000000" w:rsidRDefault="00000000">
      <w:pPr>
        <w:autoSpaceDE w:val="0"/>
        <w:autoSpaceDN w:val="0"/>
        <w:adjustRightInd w:val="0"/>
        <w:spacing w:before="40" w:after="120"/>
        <w:jc w:val="center"/>
        <w:rPr>
          <w:i/>
          <w:iCs/>
          <w:color w:val="000000"/>
          <w:sz w:val="20"/>
          <w:szCs w:val="22"/>
          <w:lang w:val="fr-FR"/>
        </w:rPr>
      </w:pPr>
      <w:r>
        <w:rPr>
          <w:i/>
          <w:iCs/>
          <w:color w:val="000000"/>
          <w:sz w:val="20"/>
          <w:szCs w:val="22"/>
          <w:lang w:val="fr-FR"/>
        </w:rPr>
        <w:t xml:space="preserve">(Années scolaires 1989/1990 à 1997/1998)  </w:t>
      </w:r>
    </w:p>
    <w:tbl>
      <w:tblPr>
        <w:tblW w:w="8505" w:type="dxa"/>
        <w:jc w:val="center"/>
        <w:tblBorders>
          <w:top w:val="single" w:sz="6" w:space="0" w:color="auto"/>
          <w:bottom w:val="single" w:sz="6" w:space="0" w:color="auto"/>
        </w:tblBorders>
        <w:tblLayout w:type="fixed"/>
        <w:tblCellMar>
          <w:left w:w="34" w:type="dxa"/>
          <w:right w:w="34" w:type="dxa"/>
        </w:tblCellMar>
        <w:tblLook w:val="0000" w:firstRow="0" w:lastRow="0" w:firstColumn="0" w:lastColumn="0" w:noHBand="0" w:noVBand="0"/>
      </w:tblPr>
      <w:tblGrid>
        <w:gridCol w:w="3646"/>
        <w:gridCol w:w="1215"/>
        <w:gridCol w:w="1215"/>
        <w:gridCol w:w="1215"/>
        <w:gridCol w:w="1214"/>
      </w:tblGrid>
      <w:tr w:rsidR="00000000">
        <w:tblPrEx>
          <w:tblCellMar>
            <w:top w:w="0" w:type="dxa"/>
            <w:bottom w:w="0" w:type="dxa"/>
          </w:tblCellMar>
        </w:tblPrEx>
        <w:trPr>
          <w:jc w:val="center"/>
        </w:trPr>
        <w:tc>
          <w:tcPr>
            <w:tcW w:w="4052"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p>
        </w:tc>
        <w:tc>
          <w:tcPr>
            <w:tcW w:w="1343"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1989-1990</w:t>
            </w:r>
          </w:p>
        </w:tc>
        <w:tc>
          <w:tcPr>
            <w:tcW w:w="1343"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1994-1995</w:t>
            </w:r>
          </w:p>
        </w:tc>
        <w:tc>
          <w:tcPr>
            <w:tcW w:w="1343"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1996-1997</w:t>
            </w:r>
          </w:p>
        </w:tc>
        <w:tc>
          <w:tcPr>
            <w:tcW w:w="1342" w:type="dxa"/>
            <w:tcBorders>
              <w:top w:val="single" w:sz="6" w:space="0" w:color="auto"/>
              <w:bottom w:val="single" w:sz="6" w:space="0" w:color="auto"/>
            </w:tcBorders>
            <w:vAlign w:val="center"/>
          </w:tcPr>
          <w:p w:rsidR="00000000" w:rsidRDefault="00000000">
            <w:pPr>
              <w:autoSpaceDE w:val="0"/>
              <w:autoSpaceDN w:val="0"/>
              <w:adjustRightInd w:val="0"/>
              <w:spacing w:before="60" w:after="60"/>
              <w:jc w:val="center"/>
              <w:rPr>
                <w:b/>
                <w:bCs/>
                <w:i/>
                <w:iCs/>
                <w:color w:val="000000"/>
                <w:sz w:val="20"/>
                <w:szCs w:val="22"/>
                <w:lang w:val="fr-FR"/>
              </w:rPr>
            </w:pPr>
            <w:r>
              <w:rPr>
                <w:b/>
                <w:bCs/>
                <w:i/>
                <w:iCs/>
                <w:color w:val="000000"/>
                <w:sz w:val="20"/>
                <w:szCs w:val="22"/>
                <w:lang w:val="fr-FR"/>
              </w:rPr>
              <w:t>1997-1998</w:t>
            </w:r>
          </w:p>
        </w:tc>
      </w:tr>
      <w:tr w:rsidR="00000000">
        <w:tblPrEx>
          <w:tblCellMar>
            <w:top w:w="0" w:type="dxa"/>
            <w:bottom w:w="0" w:type="dxa"/>
          </w:tblCellMar>
        </w:tblPrEx>
        <w:trPr>
          <w:jc w:val="center"/>
        </w:trPr>
        <w:tc>
          <w:tcPr>
            <w:tcW w:w="4052" w:type="dxa"/>
            <w:tcBorders>
              <w:top w:val="single" w:sz="6" w:space="0" w:color="auto"/>
            </w:tcBorders>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Niveau préprimaire </w:t>
            </w:r>
            <w:r>
              <w:rPr>
                <w:color w:val="000000"/>
                <w:sz w:val="20"/>
                <w:szCs w:val="22"/>
                <w:lang w:val="fr-FR"/>
              </w:rPr>
              <w:br/>
              <w:t xml:space="preserve">Établissements </w:t>
            </w:r>
          </w:p>
        </w:tc>
        <w:tc>
          <w:tcPr>
            <w:tcW w:w="1343" w:type="dxa"/>
            <w:tcBorders>
              <w:top w:val="single" w:sz="6" w:space="0" w:color="auto"/>
            </w:tcBorders>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27 </w:t>
            </w:r>
          </w:p>
        </w:tc>
        <w:tc>
          <w:tcPr>
            <w:tcW w:w="1343" w:type="dxa"/>
            <w:tcBorders>
              <w:top w:val="single" w:sz="6" w:space="0" w:color="auto"/>
            </w:tcBorders>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37  </w:t>
            </w:r>
          </w:p>
        </w:tc>
        <w:tc>
          <w:tcPr>
            <w:tcW w:w="1343" w:type="dxa"/>
            <w:tcBorders>
              <w:top w:val="single" w:sz="6" w:space="0" w:color="auto"/>
            </w:tcBorders>
          </w:tcPr>
          <w:p w:rsidR="00000000" w:rsidRDefault="00000000">
            <w:pPr>
              <w:autoSpaceDE w:val="0"/>
              <w:autoSpaceDN w:val="0"/>
              <w:adjustRightInd w:val="0"/>
              <w:spacing w:before="40" w:after="20"/>
              <w:ind w:right="241"/>
              <w:jc w:val="right"/>
              <w:rPr>
                <w:color w:val="000000"/>
                <w:sz w:val="20"/>
                <w:szCs w:val="22"/>
                <w:lang w:val="fr-FR"/>
              </w:rPr>
            </w:pPr>
          </w:p>
        </w:tc>
        <w:tc>
          <w:tcPr>
            <w:tcW w:w="1342" w:type="dxa"/>
            <w:tcBorders>
              <w:top w:val="single" w:sz="6" w:space="0" w:color="auto"/>
            </w:tcBorders>
          </w:tcPr>
          <w:p w:rsidR="00000000" w:rsidRDefault="00000000">
            <w:pPr>
              <w:autoSpaceDE w:val="0"/>
              <w:autoSpaceDN w:val="0"/>
              <w:adjustRightInd w:val="0"/>
              <w:spacing w:before="40" w:after="20"/>
              <w:ind w:right="241"/>
              <w:jc w:val="right"/>
              <w:rPr>
                <w:color w:val="000000"/>
                <w:sz w:val="20"/>
                <w:szCs w:val="22"/>
                <w:lang w:val="fr-FR"/>
              </w:rPr>
            </w:pP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Professeurs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27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41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Élèves immatriculés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525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798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Niveau primaire </w:t>
            </w:r>
            <w:r>
              <w:rPr>
                <w:color w:val="000000"/>
                <w:sz w:val="20"/>
                <w:szCs w:val="22"/>
                <w:lang w:val="fr-FR"/>
              </w:rPr>
              <w:br/>
              <w:t xml:space="preserve">Établissements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899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1 635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1 697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1 730  </w:t>
            </w: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Enseignants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2 157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3 602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4 117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4 231  </w:t>
            </w: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Élèves immatriculés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38 722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74 094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80 067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Élèves promus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34 525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62 479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67 092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Élèves non promus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2 525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6 106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6 545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Abandons scolaires</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1 672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5 509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6 430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Niveau moyen </w:t>
            </w:r>
            <w:r>
              <w:rPr>
                <w:color w:val="000000"/>
                <w:sz w:val="20"/>
                <w:szCs w:val="22"/>
                <w:lang w:val="fr-FR"/>
              </w:rPr>
              <w:br/>
              <w:t xml:space="preserve">Établissements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22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63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101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103  </w:t>
            </w: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Enseignants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416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915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1 060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1 176  </w:t>
            </w: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Élèves immatriculés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2 158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6 580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7 968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9 272  </w:t>
            </w: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Élèves promus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1 678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5 488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6 524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Élèves non promus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192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446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833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Abandons scolaires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288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646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611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Instituts pédagogiques post-baccalauréat Établissements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3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5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7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8  </w:t>
            </w: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Enseignants</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94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153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210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220  </w:t>
            </w: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Élèves enregistrés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290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598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716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Élèves promus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286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573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543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Élèves non promus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4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22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102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p>
        </w:tc>
      </w:tr>
      <w:tr w:rsidR="00000000">
        <w:tblPrEx>
          <w:tblCellMar>
            <w:top w:w="0" w:type="dxa"/>
            <w:bottom w:w="0" w:type="dxa"/>
          </w:tblCellMar>
        </w:tblPrEx>
        <w:trPr>
          <w:jc w:val="center"/>
        </w:trPr>
        <w:tc>
          <w:tcPr>
            <w:tcW w:w="4052" w:type="dxa"/>
          </w:tcPr>
          <w:p w:rsidR="00000000" w:rsidRDefault="00000000">
            <w:pPr>
              <w:autoSpaceDE w:val="0"/>
              <w:autoSpaceDN w:val="0"/>
              <w:adjustRightInd w:val="0"/>
              <w:spacing w:before="40" w:after="20"/>
              <w:rPr>
                <w:color w:val="000000"/>
                <w:sz w:val="20"/>
                <w:szCs w:val="22"/>
                <w:lang w:val="fr-FR"/>
              </w:rPr>
            </w:pPr>
            <w:r>
              <w:rPr>
                <w:color w:val="000000"/>
                <w:sz w:val="20"/>
                <w:szCs w:val="22"/>
                <w:lang w:val="fr-FR"/>
              </w:rPr>
              <w:t xml:space="preserve">Abandons scolaires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0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3 </w:t>
            </w:r>
          </w:p>
        </w:tc>
        <w:tc>
          <w:tcPr>
            <w:tcW w:w="1343" w:type="dxa"/>
          </w:tcPr>
          <w:p w:rsidR="00000000" w:rsidRDefault="00000000">
            <w:pPr>
              <w:autoSpaceDE w:val="0"/>
              <w:autoSpaceDN w:val="0"/>
              <w:adjustRightInd w:val="0"/>
              <w:spacing w:before="40" w:after="20"/>
              <w:ind w:right="241"/>
              <w:jc w:val="right"/>
              <w:rPr>
                <w:color w:val="000000"/>
                <w:sz w:val="20"/>
                <w:szCs w:val="22"/>
                <w:lang w:val="fr-FR"/>
              </w:rPr>
            </w:pPr>
            <w:r>
              <w:rPr>
                <w:color w:val="000000"/>
                <w:sz w:val="20"/>
                <w:szCs w:val="22"/>
                <w:lang w:val="fr-FR"/>
              </w:rPr>
              <w:t xml:space="preserve">71  </w:t>
            </w:r>
          </w:p>
        </w:tc>
        <w:tc>
          <w:tcPr>
            <w:tcW w:w="1342" w:type="dxa"/>
          </w:tcPr>
          <w:p w:rsidR="00000000" w:rsidRDefault="00000000">
            <w:pPr>
              <w:autoSpaceDE w:val="0"/>
              <w:autoSpaceDN w:val="0"/>
              <w:adjustRightInd w:val="0"/>
              <w:spacing w:before="40" w:after="20"/>
              <w:ind w:right="241"/>
              <w:jc w:val="right"/>
              <w:rPr>
                <w:color w:val="000000"/>
                <w:sz w:val="20"/>
                <w:szCs w:val="22"/>
                <w:lang w:val="fr-FR"/>
              </w:rPr>
            </w:pPr>
          </w:p>
        </w:tc>
      </w:tr>
    </w:tbl>
    <w:p w:rsidR="00000000" w:rsidRDefault="00000000">
      <w:pPr>
        <w:spacing w:before="40" w:after="360"/>
        <w:ind w:left="567"/>
        <w:rPr>
          <w:color w:val="000000"/>
          <w:sz w:val="20"/>
          <w:szCs w:val="22"/>
          <w:lang w:val="fr-FR"/>
        </w:rPr>
      </w:pPr>
      <w:r>
        <w:rPr>
          <w:i/>
          <w:iCs/>
          <w:color w:val="000000"/>
          <w:sz w:val="20"/>
          <w:szCs w:val="22"/>
          <w:lang w:val="fr-FR"/>
        </w:rPr>
        <w:t>Source :</w:t>
      </w:r>
      <w:r>
        <w:rPr>
          <w:color w:val="000000"/>
          <w:sz w:val="20"/>
          <w:szCs w:val="22"/>
          <w:lang w:val="fr-FR"/>
        </w:rPr>
        <w:t xml:space="preserve"> </w:t>
      </w:r>
      <w:r>
        <w:rPr>
          <w:i/>
          <w:iCs/>
          <w:color w:val="000000"/>
          <w:sz w:val="20"/>
          <w:szCs w:val="22"/>
          <w:lang w:val="fr-FR"/>
        </w:rPr>
        <w:t>Anuario Estadístico  de Educación Intercultural Bilingüe</w:t>
      </w:r>
      <w:r>
        <w:rPr>
          <w:color w:val="000000"/>
          <w:sz w:val="20"/>
          <w:szCs w:val="22"/>
          <w:lang w:val="fr-FR"/>
        </w:rPr>
        <w:t>.</w:t>
      </w:r>
    </w:p>
    <w:p w:rsidR="00000000" w:rsidRDefault="00000000">
      <w:pPr>
        <w:spacing w:after="240"/>
        <w:ind w:left="567"/>
        <w:rPr>
          <w:iCs/>
          <w:color w:val="000000"/>
          <w:szCs w:val="22"/>
          <w:lang w:val="fr-FR"/>
        </w:rPr>
      </w:pPr>
      <w:r>
        <w:rPr>
          <w:i/>
          <w:iCs/>
          <w:color w:val="000000"/>
          <w:szCs w:val="22"/>
          <w:lang w:val="fr-FR"/>
        </w:rPr>
        <w:t>Situation du personnel enseignant</w:t>
      </w:r>
    </w:p>
    <w:p w:rsidR="00000000" w:rsidRDefault="00000000">
      <w:pPr>
        <w:spacing w:after="240"/>
        <w:rPr>
          <w:lang w:val="fr-FR"/>
        </w:rPr>
      </w:pPr>
      <w:r>
        <w:rPr>
          <w:lang w:val="fr-FR"/>
        </w:rPr>
        <w:t>531.</w:t>
      </w:r>
      <w:r>
        <w:rPr>
          <w:lang w:val="fr-FR"/>
        </w:rPr>
        <w:tab/>
        <w:t>Les rémunérations du personnel enseignant sont fixées et régies par la Loi relative à la carrière enseignante et au barème des traitements du corps enseignant national, tandis que celles du personnel administratif et des services (agents de la fonction publique) sont régies par la Loi relative à la fonction publique et aux carrières administratives.  Il existe en outre des barèmes de traitement pour les organismes autonomes et ministères qui sont soumis à des régimes de rémunérations spéciaux.  L'augmentation des traitements dans le cas du personnel enseignant est assujettie aux dispositions de la loi.</w:t>
      </w:r>
    </w:p>
    <w:p w:rsidR="00000000" w:rsidRDefault="00000000">
      <w:pPr>
        <w:spacing w:after="240"/>
        <w:rPr>
          <w:lang w:val="fr-FR"/>
        </w:rPr>
      </w:pPr>
      <w:r>
        <w:rPr>
          <w:lang w:val="fr-FR"/>
        </w:rPr>
        <w:t>532.</w:t>
      </w:r>
      <w:r>
        <w:rPr>
          <w:lang w:val="fr-FR"/>
        </w:rPr>
        <w:tab/>
        <w:t>La loi et le règlement relatifs à la carrière enseignante et au barème des traitements du corps enseignant national est une loi de défense professionnelle qui régit les politiques de traitements applicables aux agents de l'éducation et évolue en fonction des besoins des enseignants et des possibilités économiques de l’État.  Il y a en outre une loi spécifique pour la province des Galapagos, qui protège les droits à la rémunération et aux bonifications applicables aux enseignants de cette région.</w:t>
      </w:r>
    </w:p>
    <w:p w:rsidR="00000000" w:rsidRDefault="00000000">
      <w:pPr>
        <w:spacing w:after="240"/>
        <w:rPr>
          <w:lang w:val="fr-FR"/>
        </w:rPr>
      </w:pPr>
      <w:r>
        <w:rPr>
          <w:lang w:val="fr-FR"/>
        </w:rPr>
        <w:t>533.</w:t>
      </w:r>
      <w:r>
        <w:rPr>
          <w:lang w:val="fr-FR"/>
        </w:rPr>
        <w:tab/>
        <w:t>Les ajustements des traitements et salaires des agents de la fonction publique ne coïncident pas toujours avec ceux des enseignants.  Il convient cependant de noter que les rémunérations que perçoivent des enseignants restent faibles, d'où les fréquents arrêts de travail annuels auxquels recourent ces derniers pour obtenir une revalorisation de leurs traitements et protester contre le retard de paiement des salaires.</w:t>
      </w:r>
    </w:p>
    <w:p w:rsidR="00000000" w:rsidRDefault="00000000">
      <w:pPr>
        <w:spacing w:after="240"/>
        <w:rPr>
          <w:lang w:val="fr-FR"/>
        </w:rPr>
      </w:pPr>
      <w:r>
        <w:rPr>
          <w:lang w:val="fr-FR"/>
        </w:rPr>
        <w:t>534.</w:t>
      </w:r>
      <w:r>
        <w:rPr>
          <w:lang w:val="fr-FR"/>
        </w:rPr>
        <w:tab/>
        <w:t>Au cours des dernières années, avec les problèmes rencontrés par le secteur de l'éducation publique, le nombre d'établissements privés a augmenté, témoignant de l'absence de toute restriction à l'ouverture de nouvelles écoles.</w:t>
      </w:r>
    </w:p>
    <w:p w:rsidR="00000000" w:rsidRDefault="00000000">
      <w:pPr>
        <w:spacing w:after="240"/>
        <w:rPr>
          <w:lang w:val="fr-FR"/>
        </w:rPr>
      </w:pPr>
      <w:r>
        <w:rPr>
          <w:lang w:val="fr-FR"/>
        </w:rPr>
        <w:t>535.</w:t>
      </w:r>
      <w:r>
        <w:rPr>
          <w:lang w:val="fr-FR"/>
        </w:rPr>
        <w:tab/>
        <w:t>On ne signale aucune mesure tendant à affecter le droit des Équatoriens de recevoir une éducation gratuite; au contraire, des efforts sont faits pour que cette éducation soit de qualité et répondent aux grandes exigences sociales.</w:t>
      </w:r>
    </w:p>
    <w:p w:rsidR="00000000" w:rsidRDefault="00000000">
      <w:pPr>
        <w:spacing w:after="240"/>
        <w:rPr>
          <w:lang w:val="fr-FR"/>
        </w:rPr>
      </w:pPr>
      <w:r>
        <w:rPr>
          <w:i/>
          <w:lang w:val="fr-FR"/>
        </w:rPr>
        <w:t>Assistance internationale</w:t>
      </w:r>
    </w:p>
    <w:p w:rsidR="00000000" w:rsidRDefault="00000000">
      <w:pPr>
        <w:spacing w:after="240"/>
        <w:rPr>
          <w:lang w:val="fr-FR"/>
        </w:rPr>
      </w:pPr>
      <w:r>
        <w:rPr>
          <w:lang w:val="fr-FR"/>
        </w:rPr>
        <w:t>536.</w:t>
      </w:r>
      <w:r>
        <w:rPr>
          <w:lang w:val="fr-FR"/>
        </w:rPr>
        <w:tab/>
        <w:t>Le développement et le renforcement de l'éducation interculturelle bilingue à ce jour a été possible grâce à la contribution déterminée d’organismes internationaux, et notamment : L'UNICEF, le projet EBI-GTZ-HANS SEIDEL, le projet IBIS-CONAIE-DINAMARCA, PROMECEB, le projet 834-MEC-BID, des sociétés pétrolières comme OCCIS et MAXUS, Plan international, World Vision International, CARE, etc.</w:t>
      </w:r>
    </w:p>
    <w:p w:rsidR="00000000" w:rsidRDefault="00000000">
      <w:pPr>
        <w:spacing w:after="240"/>
        <w:rPr>
          <w:lang w:val="fr-FR"/>
        </w:rPr>
      </w:pPr>
      <w:r>
        <w:rPr>
          <w:lang w:val="fr-FR"/>
        </w:rPr>
        <w:t>537.</w:t>
      </w:r>
      <w:r>
        <w:rPr>
          <w:lang w:val="fr-FR"/>
        </w:rPr>
        <w:tab/>
        <w:t>Les bénéficiaires sont des enseignants, des enfants (filles et garçons) et des jeunes de l'enseignement général et de base appartenant à onze nationalités autochtones du pays.  Quant aux enseignants, des cours de titularisation ou de spécialisation ont été organisées pour tous ceux qui se proposent de travailler comme éducateur sans avoir de diplômes d'enseignant du primaire.</w:t>
      </w:r>
    </w:p>
    <w:p w:rsidR="00000000" w:rsidRDefault="00000000">
      <w:pPr>
        <w:spacing w:after="240"/>
        <w:rPr>
          <w:lang w:val="fr-FR"/>
        </w:rPr>
      </w:pPr>
      <w:r>
        <w:rPr>
          <w:lang w:val="fr-FR"/>
        </w:rPr>
        <w:t>538.</w:t>
      </w:r>
      <w:r>
        <w:rPr>
          <w:lang w:val="fr-FR"/>
        </w:rPr>
        <w:tab/>
        <w:t>Les domaines de formation les plus importants sont les suivants :</w:t>
      </w:r>
    </w:p>
    <w:p w:rsidR="00000000" w:rsidRDefault="00000000">
      <w:pPr>
        <w:numPr>
          <w:ilvl w:val="0"/>
          <w:numId w:val="112"/>
        </w:numPr>
        <w:spacing w:after="240"/>
        <w:rPr>
          <w:lang w:val="fr-FR"/>
        </w:rPr>
      </w:pPr>
      <w:r>
        <w:rPr>
          <w:lang w:val="fr-FR"/>
        </w:rPr>
        <w:t>Formation et spécialisation des ressources humaines de la DINEIB;</w:t>
      </w:r>
    </w:p>
    <w:p w:rsidR="00000000" w:rsidRDefault="00000000">
      <w:pPr>
        <w:numPr>
          <w:ilvl w:val="0"/>
          <w:numId w:val="112"/>
        </w:numPr>
        <w:spacing w:after="240"/>
        <w:rPr>
          <w:lang w:val="fr-FR"/>
        </w:rPr>
      </w:pPr>
      <w:r>
        <w:rPr>
          <w:lang w:val="fr-FR"/>
        </w:rPr>
        <w:t>Conseils techniques;</w:t>
      </w:r>
    </w:p>
    <w:p w:rsidR="00000000" w:rsidRDefault="00000000">
      <w:pPr>
        <w:numPr>
          <w:ilvl w:val="0"/>
          <w:numId w:val="112"/>
        </w:numPr>
        <w:spacing w:after="240"/>
        <w:rPr>
          <w:lang w:val="fr-FR"/>
        </w:rPr>
      </w:pPr>
      <w:r>
        <w:rPr>
          <w:lang w:val="fr-FR"/>
        </w:rPr>
        <w:t>Diffusion et vulgarisation de documents techniques;</w:t>
      </w:r>
    </w:p>
    <w:p w:rsidR="00000000" w:rsidRDefault="00000000">
      <w:pPr>
        <w:numPr>
          <w:ilvl w:val="0"/>
          <w:numId w:val="112"/>
        </w:numPr>
        <w:spacing w:after="240"/>
        <w:rPr>
          <w:lang w:val="fr-FR"/>
        </w:rPr>
      </w:pPr>
      <w:r>
        <w:rPr>
          <w:lang w:val="fr-FR"/>
        </w:rPr>
        <w:t>Production de matériels didactiques;</w:t>
      </w:r>
    </w:p>
    <w:p w:rsidR="00000000" w:rsidRDefault="00000000">
      <w:pPr>
        <w:numPr>
          <w:ilvl w:val="0"/>
          <w:numId w:val="112"/>
        </w:numPr>
        <w:spacing w:after="240"/>
        <w:rPr>
          <w:lang w:val="fr-FR"/>
        </w:rPr>
      </w:pPr>
      <w:r>
        <w:rPr>
          <w:lang w:val="fr-FR"/>
        </w:rPr>
        <w:t>Publication de texte pédagogiques;</w:t>
      </w:r>
    </w:p>
    <w:p w:rsidR="00000000" w:rsidRDefault="00000000">
      <w:pPr>
        <w:numPr>
          <w:ilvl w:val="0"/>
          <w:numId w:val="112"/>
        </w:numPr>
        <w:spacing w:after="240"/>
        <w:rPr>
          <w:lang w:val="fr-FR"/>
        </w:rPr>
      </w:pPr>
      <w:r>
        <w:rPr>
          <w:lang w:val="fr-FR"/>
        </w:rPr>
        <w:t>Recherches de l’Éducation interculturelle bilingue;</w:t>
      </w:r>
    </w:p>
    <w:p w:rsidR="00000000" w:rsidRDefault="00000000">
      <w:pPr>
        <w:numPr>
          <w:ilvl w:val="0"/>
          <w:numId w:val="112"/>
        </w:numPr>
        <w:spacing w:after="240"/>
        <w:rPr>
          <w:lang w:val="fr-FR"/>
        </w:rPr>
      </w:pPr>
      <w:r>
        <w:rPr>
          <w:lang w:val="fr-FR"/>
        </w:rPr>
        <w:t>Cours internationaux;</w:t>
      </w:r>
    </w:p>
    <w:p w:rsidR="00000000" w:rsidRDefault="00000000">
      <w:pPr>
        <w:numPr>
          <w:ilvl w:val="0"/>
          <w:numId w:val="112"/>
        </w:numPr>
        <w:spacing w:after="240"/>
        <w:rPr>
          <w:lang w:val="fr-FR"/>
        </w:rPr>
      </w:pPr>
      <w:r>
        <w:rPr>
          <w:lang w:val="fr-FR"/>
        </w:rPr>
        <w:t>Appui à l'infrastructure éducative;</w:t>
      </w:r>
    </w:p>
    <w:p w:rsidR="00000000" w:rsidRDefault="00000000">
      <w:pPr>
        <w:numPr>
          <w:ilvl w:val="0"/>
          <w:numId w:val="112"/>
        </w:numPr>
        <w:spacing w:after="240"/>
        <w:rPr>
          <w:lang w:val="fr-FR"/>
        </w:rPr>
      </w:pPr>
      <w:r>
        <w:rPr>
          <w:lang w:val="fr-FR"/>
        </w:rPr>
        <w:t>Développement des technologies productives;</w:t>
      </w:r>
    </w:p>
    <w:p w:rsidR="00000000" w:rsidRDefault="00000000">
      <w:pPr>
        <w:numPr>
          <w:ilvl w:val="0"/>
          <w:numId w:val="112"/>
        </w:numPr>
        <w:spacing w:after="240"/>
        <w:rPr>
          <w:lang w:val="fr-FR"/>
        </w:rPr>
      </w:pPr>
      <w:r>
        <w:rPr>
          <w:lang w:val="fr-FR"/>
        </w:rPr>
        <w:t>Application des matériels pédagogiques aux centres de production;</w:t>
      </w:r>
    </w:p>
    <w:p w:rsidR="00000000" w:rsidRDefault="00000000">
      <w:pPr>
        <w:numPr>
          <w:ilvl w:val="0"/>
          <w:numId w:val="112"/>
        </w:numPr>
        <w:spacing w:after="240"/>
        <w:rPr>
          <w:lang w:val="fr-FR"/>
        </w:rPr>
      </w:pPr>
      <w:r>
        <w:rPr>
          <w:lang w:val="fr-FR"/>
        </w:rPr>
        <w:t>Production de programmes de radio et de télévision.</w:t>
      </w:r>
    </w:p>
    <w:p w:rsidR="00000000" w:rsidRDefault="00000000">
      <w:pPr>
        <w:spacing w:after="240"/>
        <w:rPr>
          <w:lang w:val="fr-FR"/>
        </w:rPr>
      </w:pPr>
      <w:r>
        <w:rPr>
          <w:lang w:val="fr-FR"/>
        </w:rPr>
        <w:t>539.</w:t>
      </w:r>
      <w:r>
        <w:rPr>
          <w:lang w:val="fr-FR"/>
        </w:rPr>
        <w:tab/>
        <w:t>Évaluation : la participation des organismes internationaux à l'Éducation interculturelle bilingue a été une contribution très utile pour l'exécution d'une série de projets éducatifs visant à améliorer la qualité de l'éducation et la qualité de vie des peuples autochtones; sans ces contributions, il aurait été impossible d'atteindre les objectifs fixés par la Direction nationale de l'enseignement régulier et spécial du Ministère de l'éducation et de la culture.</w:t>
      </w:r>
    </w:p>
    <w:p w:rsidR="00000000" w:rsidRDefault="00000000">
      <w:pPr>
        <w:spacing w:after="240"/>
        <w:rPr>
          <w:lang w:val="fr-FR"/>
        </w:rPr>
      </w:pPr>
      <w:r>
        <w:rPr>
          <w:lang w:val="fr-FR"/>
        </w:rPr>
        <w:t>540.</w:t>
      </w:r>
      <w:r>
        <w:rPr>
          <w:lang w:val="fr-FR"/>
        </w:rPr>
        <w:tab/>
        <w:t>Enseignement spécial : il est fondé sur la participation des organismes internationaux.  L'Unesco appuie des programmes ponctuels de formation ou d'équipement de certaines institutions d'enseignement spécial.  Actuellement, elle appuie des programmes d'intégration éducative dans quatre institutions de la ville de Quito.</w:t>
      </w:r>
    </w:p>
    <w:p w:rsidR="00000000" w:rsidRDefault="00000000">
      <w:pPr>
        <w:spacing w:after="240"/>
        <w:rPr>
          <w:lang w:val="fr-FR"/>
        </w:rPr>
      </w:pPr>
      <w:r>
        <w:rPr>
          <w:lang w:val="fr-FR"/>
        </w:rPr>
        <w:t>541.</w:t>
      </w:r>
      <w:r>
        <w:rPr>
          <w:lang w:val="fr-FR"/>
        </w:rPr>
        <w:tab/>
        <w:t>CONUEP : en ce qui concerne la coopération internationale reçue pour la mise au point d'activité liées aux objectifs et fonctions des universités et écoles polytechniques, elle est très limitée; le CONUEP, conjointement avec diverses universités, s'efforce de maintenir des relations ou des accords avec des organismes internationaux et des programmes concrets exécutés avec des pays amis.</w:t>
      </w:r>
    </w:p>
    <w:p w:rsidR="00000000" w:rsidRDefault="00000000">
      <w:pPr>
        <w:spacing w:after="240"/>
        <w:rPr>
          <w:lang w:val="fr-FR"/>
        </w:rPr>
      </w:pPr>
      <w:r>
        <w:rPr>
          <w:lang w:val="fr-FR"/>
        </w:rPr>
        <w:t>542.</w:t>
      </w:r>
      <w:r>
        <w:rPr>
          <w:lang w:val="fr-FR"/>
        </w:rPr>
        <w:tab/>
        <w:t>Enseignement technique : il a été bénéficiaire des contrats de prêts 618 SF/EC et 792 SF/EC souscrits par la République équatorienne auprès de la Banque interaméricaine de développement pour l'exécution de projets d'amélioration et d’expansion de l'enseignement technique (PROMEET I et II), qui permettront d'améliorer qualitativement ce sous-système d'enseignement, notamment en ce qui concerne l'infrastructure, les équipements et la formation des ressources humaines.</w:t>
      </w:r>
    </w:p>
    <w:p w:rsidR="00000000" w:rsidRDefault="00000000">
      <w:pPr>
        <w:spacing w:after="240"/>
        <w:rPr>
          <w:lang w:val="fr-FR"/>
        </w:rPr>
      </w:pPr>
      <w:r>
        <w:rPr>
          <w:lang w:val="fr-FR"/>
        </w:rPr>
        <w:t>543.</w:t>
      </w:r>
      <w:r>
        <w:rPr>
          <w:lang w:val="fr-FR"/>
        </w:rPr>
        <w:tab/>
        <w:t>Il est prévu d'exécuter prochainement le Projet de renforcement de l'enseignement technique agricole pour la province de Loja, avec la coopération bilatérale du Gouvernement belge par l'intermédiaire de l’Association flamande de coopération pour le développement et l'assistance technique, grâce à une contribution non remboursable de 1 100 000 dollars.</w:t>
      </w:r>
    </w:p>
    <w:p w:rsidR="00000000" w:rsidRDefault="00000000">
      <w:pPr>
        <w:spacing w:after="240"/>
        <w:rPr>
          <w:lang w:val="fr-FR"/>
        </w:rPr>
      </w:pPr>
      <w:r>
        <w:rPr>
          <w:lang w:val="fr-FR"/>
        </w:rPr>
        <w:t>544.</w:t>
      </w:r>
      <w:r>
        <w:rPr>
          <w:lang w:val="fr-FR"/>
        </w:rPr>
        <w:tab/>
        <w:t>Malgré les efforts d'expansion réalisés, surtout dans les zones rurales et dans le domaine de l'enseignement technique, avec l'exécution des projets AMER-PROMEET PROMECEB et EB-PRODEC, le déficit en locaux scolaires, équipements, textes et technologies éducatives reste énorme</w:t>
      </w:r>
      <w:r>
        <w:rPr>
          <w:rStyle w:val="FootnoteReference"/>
          <w:b/>
          <w:lang w:val="fr-FR"/>
        </w:rPr>
        <w:footnoteReference w:id="76"/>
      </w:r>
      <w:r>
        <w:rPr>
          <w:lang w:val="fr-FR"/>
        </w:rPr>
        <w:t>.</w:t>
      </w:r>
    </w:p>
    <w:p w:rsidR="00000000" w:rsidRDefault="00000000">
      <w:pPr>
        <w:spacing w:after="240"/>
        <w:rPr>
          <w:b/>
          <w:lang w:val="fr-FR"/>
        </w:rPr>
      </w:pPr>
      <w:r>
        <w:rPr>
          <w:b/>
          <w:lang w:val="fr-FR"/>
        </w:rPr>
        <w:br w:type="page"/>
        <w:t>Article 14</w:t>
      </w:r>
    </w:p>
    <w:p w:rsidR="00000000" w:rsidRDefault="00000000">
      <w:pPr>
        <w:spacing w:after="240"/>
        <w:rPr>
          <w:b/>
          <w:lang w:val="fr-FR"/>
        </w:rPr>
      </w:pPr>
      <w:r>
        <w:rPr>
          <w:b/>
          <w:lang w:val="fr-FR"/>
        </w:rPr>
        <w:t>Éducation de base gratuite</w:t>
      </w:r>
    </w:p>
    <w:p w:rsidR="00000000" w:rsidRDefault="00000000">
      <w:pPr>
        <w:spacing w:after="240"/>
        <w:rPr>
          <w:lang w:val="fr-FR"/>
        </w:rPr>
      </w:pPr>
      <w:r>
        <w:rPr>
          <w:lang w:val="fr-FR"/>
        </w:rPr>
        <w:t>545.</w:t>
      </w:r>
      <w:r>
        <w:rPr>
          <w:lang w:val="fr-FR"/>
        </w:rPr>
        <w:tab/>
        <w:t>Ainsi qu'il est indiqué plus haut dans les observations relatives à l'article 13, la Constitution politique de l'Équateur énonce en son article 67, la gratuité de l'enseignement pour tous les Équatoriens : "L'éducation publique est laïque à tous les niveaux; elle est obligatoire pendant le cycle de base, et gratuite jusqu'au baccalauréat ou au niveau équivalent.  Les établissements publics assurent, gratuitement, des services à caractère social à ceux qui en ont besoin.  Les étudiants en situation d'extrême pauvreté reçoivent des subventions spéciales".</w:t>
      </w:r>
    </w:p>
    <w:p w:rsidR="00000000" w:rsidRDefault="00000000">
      <w:pPr>
        <w:spacing w:after="240"/>
        <w:rPr>
          <w:b/>
          <w:lang w:val="fr-FR"/>
        </w:rPr>
      </w:pPr>
      <w:r>
        <w:rPr>
          <w:b/>
          <w:lang w:val="fr-FR"/>
        </w:rPr>
        <w:t>Article 15</w:t>
      </w:r>
    </w:p>
    <w:p w:rsidR="00000000" w:rsidRDefault="00000000">
      <w:pPr>
        <w:spacing w:after="240"/>
        <w:rPr>
          <w:lang w:val="fr-FR"/>
        </w:rPr>
      </w:pPr>
      <w:r>
        <w:rPr>
          <w:b/>
          <w:lang w:val="fr-FR"/>
        </w:rPr>
        <w:t>Promotion de la culture</w:t>
      </w:r>
    </w:p>
    <w:p w:rsidR="00000000" w:rsidRDefault="00000000">
      <w:pPr>
        <w:spacing w:after="240"/>
        <w:rPr>
          <w:lang w:val="fr-FR"/>
        </w:rPr>
      </w:pPr>
      <w:r>
        <w:rPr>
          <w:lang w:val="fr-FR"/>
        </w:rPr>
        <w:t>546.</w:t>
      </w:r>
      <w:r>
        <w:rPr>
          <w:lang w:val="fr-FR"/>
        </w:rPr>
        <w:tab/>
        <w:t>L’État équatorien a donné au Conseil national de la culture la mission de promouvoir l'identité culturelle. Pour ce faire, le Conseil se fonde principalement sur le Fonds national de la culture (FONCULTURA), dont les caractéristiques et les fonctions sont les suivantes :</w:t>
      </w:r>
    </w:p>
    <w:p w:rsidR="00000000" w:rsidRDefault="00000000">
      <w:pPr>
        <w:numPr>
          <w:ilvl w:val="0"/>
          <w:numId w:val="114"/>
        </w:numPr>
        <w:spacing w:after="240"/>
        <w:rPr>
          <w:lang w:val="fr-FR"/>
        </w:rPr>
      </w:pPr>
      <w:r>
        <w:rPr>
          <w:lang w:val="fr-FR"/>
        </w:rPr>
        <w:t>Le Fonds est destiné à financer l'exécution de projets culturels d'intérêt national ou régional par l'octroi de crédits à des conditions financières préférentielles par rapport à celles du marché;</w:t>
      </w:r>
    </w:p>
    <w:p w:rsidR="00000000" w:rsidRDefault="00000000">
      <w:pPr>
        <w:numPr>
          <w:ilvl w:val="0"/>
          <w:numId w:val="114"/>
        </w:numPr>
        <w:spacing w:after="240"/>
        <w:rPr>
          <w:lang w:val="fr-FR"/>
        </w:rPr>
      </w:pPr>
      <w:r>
        <w:rPr>
          <w:lang w:val="fr-FR"/>
        </w:rPr>
        <w:t>Ses objectifs sont d'encourager la création, l'interprétation et la production de biens culturels dans le domaine des arts musicaux, des arts de la scène, des arts plastiques, des lettres, de l'audiovisuel et de l'électronique, et de l'art populaire.</w:t>
      </w:r>
    </w:p>
    <w:p w:rsidR="00000000" w:rsidRDefault="00000000">
      <w:pPr>
        <w:spacing w:after="240"/>
        <w:rPr>
          <w:lang w:val="fr-FR"/>
        </w:rPr>
      </w:pPr>
      <w:r>
        <w:rPr>
          <w:lang w:val="fr-FR"/>
        </w:rPr>
        <w:t>547.</w:t>
      </w:r>
      <w:r>
        <w:rPr>
          <w:lang w:val="fr-FR"/>
        </w:rPr>
        <w:tab/>
        <w:t>Les bénéficiaires des crédits du Fonds sont des artistes, intellectuels, producteurs, dessinateurs et des fondations, organisations, associations et corporations publiques ou privées de l’Équateur qui se consacrent à l'activité culturelle.</w:t>
      </w:r>
    </w:p>
    <w:p w:rsidR="00000000" w:rsidRDefault="00000000">
      <w:pPr>
        <w:spacing w:after="240"/>
        <w:rPr>
          <w:lang w:val="fr-FR"/>
        </w:rPr>
      </w:pPr>
      <w:r>
        <w:rPr>
          <w:lang w:val="fr-FR"/>
        </w:rPr>
        <w:t>548.</w:t>
      </w:r>
      <w:r>
        <w:rPr>
          <w:lang w:val="fr-FR"/>
        </w:rPr>
        <w:tab/>
        <w:t>Le Fonds finance des crédits à des conditions favorables et à taux d'intérêt préférentiels, remboursables sur une période de 1 à 10 ans, avec des périodes de grâce de un à trois ans, par versement trimestriel ou semestriel sur solde échu.</w:t>
      </w:r>
    </w:p>
    <w:p w:rsidR="00000000" w:rsidRDefault="00000000">
      <w:pPr>
        <w:spacing w:after="240"/>
        <w:rPr>
          <w:lang w:val="fr-FR"/>
        </w:rPr>
      </w:pPr>
      <w:r>
        <w:rPr>
          <w:lang w:val="fr-FR"/>
        </w:rPr>
        <w:t>549.</w:t>
      </w:r>
      <w:r>
        <w:rPr>
          <w:lang w:val="fr-FR"/>
        </w:rPr>
        <w:tab/>
        <w:t>Le Fonds offre des avis consultatifs, une formation et une promotion pour l'élaboration de projets culturels, afin d’aider à la réalisation des objectifs fixés dans les projets.  Pour bénéficier d'un crédit, il faut remplir un formulaire de présentation du projet et remplir les conditions prévues par le règlement du Fonds.</w:t>
      </w:r>
    </w:p>
    <w:p w:rsidR="00000000" w:rsidRDefault="00000000">
      <w:pPr>
        <w:spacing w:after="240"/>
        <w:rPr>
          <w:lang w:val="fr-FR"/>
        </w:rPr>
      </w:pPr>
      <w:r>
        <w:rPr>
          <w:lang w:val="fr-FR"/>
        </w:rPr>
        <w:t>550.</w:t>
      </w:r>
      <w:r>
        <w:rPr>
          <w:lang w:val="fr-FR"/>
        </w:rPr>
        <w:tab/>
        <w:t>Il importe aussi de présenter un plan opérationnel et budgétaire des activités culturelles proposées.  À cet effet, le Conseil national de la culture a mis en oeuvre le Plan d'action de développement culturel (1997-1998), qui se situe dans le cadre du Plan de développement culturel équatorien à moyen terme (1991-2000); en conformité avec ce plan, il appuie les politiques et actions culturelles tendant à combler les lacunes et les insuffisances relevées dans le cadre institutionnel culturel global du pays, dans le domaine de la diffusion, de la promotion, de l'information, de l'enregistrement, de la formation, de la planification et du financement des activités culturelles.</w:t>
      </w:r>
    </w:p>
    <w:p w:rsidR="00000000" w:rsidRDefault="00000000">
      <w:pPr>
        <w:spacing w:after="240"/>
        <w:rPr>
          <w:lang w:val="fr-FR"/>
        </w:rPr>
      </w:pPr>
      <w:r>
        <w:rPr>
          <w:lang w:val="fr-FR"/>
        </w:rPr>
        <w:t>551.</w:t>
      </w:r>
      <w:r>
        <w:rPr>
          <w:lang w:val="fr-FR"/>
        </w:rPr>
        <w:tab/>
        <w:t>Mettre en application ces politiques à travers le Fonds de développement culturel par l'exécution des projets inclus dans le Plan d'action, suppose nécessairement la collaboration des secteurs publics et privés, comme le montre les projets mentionnés ci-après :</w:t>
      </w:r>
    </w:p>
    <w:p w:rsidR="00000000" w:rsidRDefault="00000000">
      <w:pPr>
        <w:numPr>
          <w:ilvl w:val="1"/>
          <w:numId w:val="115"/>
        </w:numPr>
        <w:spacing w:after="240"/>
        <w:rPr>
          <w:lang w:val="fr-FR"/>
        </w:rPr>
      </w:pPr>
      <w:r>
        <w:rPr>
          <w:lang w:val="fr-FR"/>
        </w:rPr>
        <w:t>Fonds éditorial de la Maison de la culture, prévoyant la coédition avec la Maison de la culture équatorienne "Benjamin Carrión" de diverses séries et collections, en majorité de caractère anthologique, sur : les romans et nouvelles, la littérature infantile, la tradition orale afro-équatorienne, la tradition chamanique, les biographies des grands créateurs de la littérature équatorienne, le folklore équatorien, la culture populaire et la Revue nationale de la culture.  Ces séries et coéditions seront publiées en deux langues, l’espagnol et l'anglais.</w:t>
      </w:r>
    </w:p>
    <w:p w:rsidR="00000000" w:rsidRDefault="00000000">
      <w:pPr>
        <w:numPr>
          <w:ilvl w:val="1"/>
          <w:numId w:val="115"/>
        </w:numPr>
        <w:spacing w:after="240"/>
        <w:rPr>
          <w:lang w:val="fr-FR"/>
        </w:rPr>
      </w:pPr>
      <w:r>
        <w:rPr>
          <w:lang w:val="fr-FR"/>
        </w:rPr>
        <w:t>Fonds vidéographique de la culture équatorienne, dont la coproduction est prévue avec le Sous-secrétariat à la culture et le Secrétariat national à la communication.  Il sera constitué initialement par les registres des Archives biographiques des grands créateurs équatoriens, ainsi que par la constitution d'archives audiovisuelles d'événements et de manifestations de la culture populaire.  La diffusion de ce matériel se fera au niveau national et international.</w:t>
      </w:r>
    </w:p>
    <w:p w:rsidR="00000000" w:rsidRDefault="00000000">
      <w:pPr>
        <w:numPr>
          <w:ilvl w:val="1"/>
          <w:numId w:val="115"/>
        </w:numPr>
        <w:spacing w:after="240"/>
        <w:rPr>
          <w:lang w:val="fr-FR"/>
        </w:rPr>
      </w:pPr>
      <w:r>
        <w:rPr>
          <w:lang w:val="fr-FR"/>
        </w:rPr>
        <w:t>Fonds informatique de la culture équatorienne.  À partir de support électromagnétiques et avec les contributions des études effectuées au titre de divers projets du Plan d'action, des livres et revues électroniques seront produits et diffusés au niveau national et international.  La production commencera avec des oeuvres de Benjamín Carrión.  Par la suite, les principales publications du fonds éditorial auront également leur version électronique.</w:t>
      </w:r>
    </w:p>
    <w:p w:rsidR="00000000" w:rsidRDefault="00000000">
      <w:pPr>
        <w:numPr>
          <w:ilvl w:val="1"/>
          <w:numId w:val="115"/>
        </w:numPr>
        <w:spacing w:after="240"/>
        <w:rPr>
          <w:lang w:val="fr-FR"/>
        </w:rPr>
      </w:pPr>
      <w:r>
        <w:rPr>
          <w:lang w:val="fr-FR"/>
        </w:rPr>
        <w:t>Fonds musical de la culture équatorienne, qui sera constitué d'enregistrements sonores sur disques compacts et cassettes audio de la musique équatorienne contemporaine, classique, populaire, traditionnelle, moderne et folklorique aux fins de diffusion à l'échelle nationale et internationale.</w:t>
      </w:r>
    </w:p>
    <w:p w:rsidR="00000000" w:rsidRDefault="00000000">
      <w:pPr>
        <w:numPr>
          <w:ilvl w:val="1"/>
          <w:numId w:val="115"/>
        </w:numPr>
        <w:spacing w:after="240"/>
        <w:rPr>
          <w:lang w:val="fr-FR"/>
        </w:rPr>
      </w:pPr>
      <w:r>
        <w:rPr>
          <w:lang w:val="fr-FR"/>
        </w:rPr>
        <w:t>Projet de remise du premier prix latino-américain de la culture, qui consistera à remettre un prix annuel a une éminente personnalité de la culture latino-américaine.  Une série d'événements doit être organisée au niveau local, notamment des entretiens, des débats avec la communauté des intellectuels et artistes, des forums, des récitals, des festivals cinématographiques ou des expositions d'arts plastiques à caractère ouvert.  Ces activités seront enregistrées sur supports audiovisuels.</w:t>
      </w:r>
    </w:p>
    <w:p w:rsidR="00000000" w:rsidRDefault="00000000">
      <w:pPr>
        <w:numPr>
          <w:ilvl w:val="1"/>
          <w:numId w:val="115"/>
        </w:numPr>
        <w:spacing w:after="240"/>
        <w:rPr>
          <w:lang w:val="fr-FR"/>
        </w:rPr>
      </w:pPr>
      <w:r>
        <w:rPr>
          <w:lang w:val="fr-FR"/>
        </w:rPr>
        <w:t>Projet autogestionnaire des cultures ethniques, dont l'objet est de développer et de renforcer les cultures des communautés ethniques, de faire reconnaître le caractère multiculturel et plurinational du pays à travers l'exécution de diverses actions : production de disques compacts de musique autochtone et afro-équatorienne, documentaires sur les femmes autochtones guérisseuses, publication d'une anthologie des oeuvres des écrivains autochtones, diffusion des meilleures productions du Festival des nations de Abya Yala et compilation des traditions afro-équatoriennes de la Sierra.</w:t>
      </w:r>
    </w:p>
    <w:p w:rsidR="00000000" w:rsidRDefault="00000000">
      <w:pPr>
        <w:numPr>
          <w:ilvl w:val="1"/>
          <w:numId w:val="115"/>
        </w:numPr>
        <w:spacing w:after="240"/>
        <w:rPr>
          <w:lang w:val="fr-FR"/>
        </w:rPr>
      </w:pPr>
      <w:r>
        <w:rPr>
          <w:lang w:val="fr-FR"/>
        </w:rPr>
        <w:t>Projet de production et de diffusion de publications, fondée sur le travail de la Commission permanente des commémorations civiques, qui dépend du Ministère des affaires étrangères.  Diverses publications ont été réalisées sur les personnages les plus importants de la vie nationale.  En 2000, des exemplaires seront publiés pour être distribués dans les collèges et instituts.  En 2002, un livre a été publié sur les principaux artistes contemporains et un autre sur la richesse culturelle de l’Équateur.</w:t>
      </w:r>
    </w:p>
    <w:p w:rsidR="00000000" w:rsidRDefault="00000000">
      <w:pPr>
        <w:numPr>
          <w:ilvl w:val="1"/>
          <w:numId w:val="115"/>
        </w:numPr>
        <w:spacing w:after="240"/>
        <w:rPr>
          <w:lang w:val="fr-FR"/>
        </w:rPr>
      </w:pPr>
      <w:r>
        <w:rPr>
          <w:lang w:val="fr-FR"/>
        </w:rPr>
        <w:t>Projet de formation professionnelle pour le développement culturel, au titre duquel seront organisés des événements pour la formation et le perfectionnement des ressources humaines chargées des activités culturelles du pays.  Dans le cadre d'un accord avec l'Université de Cuenca, des études seront financées pour mettre en place la profession de gestion en administration culturelle.</w:t>
      </w:r>
    </w:p>
    <w:p w:rsidR="00000000" w:rsidRDefault="00000000">
      <w:pPr>
        <w:numPr>
          <w:ilvl w:val="1"/>
          <w:numId w:val="115"/>
        </w:numPr>
        <w:spacing w:after="240"/>
        <w:rPr>
          <w:lang w:val="fr-FR"/>
        </w:rPr>
      </w:pPr>
      <w:r>
        <w:rPr>
          <w:lang w:val="fr-FR"/>
        </w:rPr>
        <w:t>Projet de formation aux instruments de planification, qui consiste en cours de haut niveau, à l'intention de planificateurs, en matière de planification ZOPP et de programmation et de suivi des projets avec utilisation de Microsoft Project.</w:t>
      </w:r>
    </w:p>
    <w:p w:rsidR="00000000" w:rsidRDefault="00000000">
      <w:pPr>
        <w:spacing w:after="240"/>
        <w:rPr>
          <w:lang w:val="fr-FR"/>
        </w:rPr>
      </w:pPr>
      <w:r>
        <w:rPr>
          <w:lang w:val="fr-FR"/>
        </w:rPr>
        <w:t>552.</w:t>
      </w:r>
      <w:r>
        <w:rPr>
          <w:lang w:val="fr-FR"/>
        </w:rPr>
        <w:tab/>
        <w:t>La Banque centrale, par l'intermédiaire de l’Office monétaire, a adopté divers règlements tendant à mobiliser des ressources pour le développement culturel; par ailleurs, le Gouvernement a relevé la valeur du prix du mérite culturel de 30 à 60 millions de sucres, en élargissant en outre son bénéfice au conjoint ou aux enfants de moins de 18 ans, en cas de décès du récipiendaire.</w:t>
      </w:r>
    </w:p>
    <w:p w:rsidR="00000000" w:rsidRDefault="00000000">
      <w:pPr>
        <w:spacing w:after="240"/>
        <w:rPr>
          <w:lang w:val="fr-FR"/>
        </w:rPr>
      </w:pPr>
      <w:r>
        <w:rPr>
          <w:lang w:val="fr-FR"/>
        </w:rPr>
        <w:t>553.</w:t>
      </w:r>
      <w:r>
        <w:rPr>
          <w:lang w:val="fr-FR"/>
        </w:rPr>
        <w:tab/>
        <w:t>Parmi les autres fonds importants figurent l'attribution de 7 milliards de sucres pour la production de textes scolaires, à la charge du Fonds de solidarité, pour chaque exercice budgétaire.</w:t>
      </w:r>
    </w:p>
    <w:p w:rsidR="00000000" w:rsidRDefault="00000000">
      <w:pPr>
        <w:spacing w:after="240"/>
        <w:rPr>
          <w:lang w:val="fr-FR"/>
        </w:rPr>
      </w:pPr>
      <w:r>
        <w:rPr>
          <w:i/>
          <w:lang w:val="fr-FR"/>
        </w:rPr>
        <w:t>Société et culture</w:t>
      </w:r>
    </w:p>
    <w:p w:rsidR="00000000" w:rsidRDefault="00000000">
      <w:pPr>
        <w:spacing w:after="240"/>
        <w:rPr>
          <w:lang w:val="fr-FR"/>
        </w:rPr>
      </w:pPr>
      <w:r>
        <w:rPr>
          <w:lang w:val="fr-FR"/>
        </w:rPr>
        <w:t>554.</w:t>
      </w:r>
      <w:r>
        <w:rPr>
          <w:lang w:val="fr-FR"/>
        </w:rPr>
        <w:tab/>
        <w:t>Dans son article premier, la Loi relative à la culture N° 181 (</w:t>
      </w:r>
      <w:r>
        <w:rPr>
          <w:i/>
          <w:lang w:val="fr-FR"/>
        </w:rPr>
        <w:t>Journal officiel</w:t>
      </w:r>
      <w:r>
        <w:rPr>
          <w:lang w:val="fr-FR"/>
        </w:rPr>
        <w:t xml:space="preserve"> N° 805 du 10 août 1984, et Règlement relatif à cette loi</w:t>
      </w:r>
      <w:r>
        <w:rPr>
          <w:i/>
          <w:lang w:val="fr-FR"/>
        </w:rPr>
        <w:t xml:space="preserve"> </w:t>
      </w:r>
      <w:r>
        <w:rPr>
          <w:iCs/>
          <w:lang w:val="fr-FR"/>
        </w:rPr>
        <w:t>publié dans le</w:t>
      </w:r>
      <w:r>
        <w:rPr>
          <w:i/>
          <w:lang w:val="fr-FR"/>
        </w:rPr>
        <w:t xml:space="preserve"> Journal officiel</w:t>
      </w:r>
      <w:r>
        <w:rPr>
          <w:lang w:val="fr-FR"/>
        </w:rPr>
        <w:t xml:space="preserve"> N° 449 du 3 juin 1986) établit le Système institutionnel de la culture équatorienne, système composé des organes ci-après :</w:t>
      </w:r>
    </w:p>
    <w:p w:rsidR="00000000" w:rsidRDefault="00000000">
      <w:pPr>
        <w:numPr>
          <w:ilvl w:val="0"/>
          <w:numId w:val="117"/>
        </w:numPr>
        <w:spacing w:after="240"/>
        <w:rPr>
          <w:lang w:val="fr-FR"/>
        </w:rPr>
      </w:pPr>
      <w:r>
        <w:rPr>
          <w:lang w:val="fr-FR"/>
        </w:rPr>
        <w:t>Le Ministère de l'éducation et de la culture;</w:t>
      </w:r>
    </w:p>
    <w:p w:rsidR="00000000" w:rsidRDefault="00000000">
      <w:pPr>
        <w:numPr>
          <w:ilvl w:val="0"/>
          <w:numId w:val="117"/>
        </w:numPr>
        <w:spacing w:after="240"/>
        <w:rPr>
          <w:lang w:val="fr-FR"/>
        </w:rPr>
      </w:pPr>
      <w:r>
        <w:rPr>
          <w:lang w:val="fr-FR"/>
        </w:rPr>
        <w:t>Le Conseil national de la culture;</w:t>
      </w:r>
    </w:p>
    <w:p w:rsidR="00000000" w:rsidRDefault="00000000">
      <w:pPr>
        <w:numPr>
          <w:ilvl w:val="0"/>
          <w:numId w:val="117"/>
        </w:numPr>
        <w:spacing w:after="240"/>
        <w:rPr>
          <w:lang w:val="fr-FR"/>
        </w:rPr>
      </w:pPr>
      <w:r>
        <w:rPr>
          <w:lang w:val="fr-FR"/>
        </w:rPr>
        <w:t>La Maison de la culture équatorienne;</w:t>
      </w:r>
    </w:p>
    <w:p w:rsidR="00000000" w:rsidRDefault="00000000">
      <w:pPr>
        <w:numPr>
          <w:ilvl w:val="0"/>
          <w:numId w:val="117"/>
        </w:numPr>
        <w:spacing w:after="240"/>
        <w:rPr>
          <w:lang w:val="fr-FR"/>
        </w:rPr>
      </w:pPr>
      <w:r>
        <w:rPr>
          <w:lang w:val="fr-FR"/>
        </w:rPr>
        <w:t>L'Institut du patrimoine culturel;</w:t>
      </w:r>
    </w:p>
    <w:p w:rsidR="00000000" w:rsidRDefault="00000000">
      <w:pPr>
        <w:numPr>
          <w:ilvl w:val="0"/>
          <w:numId w:val="117"/>
        </w:numPr>
        <w:spacing w:after="240"/>
        <w:rPr>
          <w:lang w:val="fr-FR"/>
        </w:rPr>
      </w:pPr>
      <w:r>
        <w:rPr>
          <w:lang w:val="fr-FR"/>
        </w:rPr>
        <w:t>Les autres institutions des secteurs publics et privés qui se livrent à des activités culturelles, notamment les Conseils nationaux des archives, bibliothèques et musées.</w:t>
      </w:r>
    </w:p>
    <w:p w:rsidR="00000000" w:rsidRDefault="00000000">
      <w:pPr>
        <w:spacing w:after="240"/>
        <w:rPr>
          <w:lang w:val="fr-FR"/>
        </w:rPr>
      </w:pPr>
      <w:r>
        <w:rPr>
          <w:lang w:val="fr-FR"/>
        </w:rPr>
        <w:t>555.</w:t>
      </w:r>
      <w:r>
        <w:rPr>
          <w:lang w:val="fr-FR"/>
        </w:rPr>
        <w:tab/>
        <w:t>En ce qui concerne le Ministère de l'éducation et de la culture, l'article 2 du Règlement précise que  les fonctions assignées au Ministère dans les articles 3 et 4 de la Loi sur la culture, seront exercées par le Sous-secrétariat à la culture de ce Ministère, lequel, en outre, devra appliquer les directives et programmes culturels prévus dans le Plan national de développement.</w:t>
      </w:r>
    </w:p>
    <w:p w:rsidR="00000000" w:rsidRDefault="00000000">
      <w:pPr>
        <w:spacing w:after="240"/>
        <w:rPr>
          <w:lang w:val="fr-FR"/>
        </w:rPr>
      </w:pPr>
      <w:r>
        <w:rPr>
          <w:lang w:val="fr-FR"/>
        </w:rPr>
        <w:t>556.</w:t>
      </w:r>
      <w:r>
        <w:rPr>
          <w:lang w:val="fr-FR"/>
        </w:rPr>
        <w:tab/>
        <w:t>L'article 3 inclus au sein du Sous-secrétariat à la culture le Conseil national de la culture, qualifié d'organisme chargé de l'exécution des politiques dans le domaine de la culture, et, entre autres fonctions, de celle prévue à l'article 10 : "Approuver et ajuster un plan général pluriannuel relatif au secteur culturel, dans lequel sont clairement identifiés les divers sous-secteur culturels, en veillant à assurer un développement équilibré de la culture dans toutes les régions du pays".</w:t>
      </w:r>
    </w:p>
    <w:p w:rsidR="00000000" w:rsidRDefault="00000000">
      <w:pPr>
        <w:spacing w:after="240"/>
        <w:rPr>
          <w:lang w:val="fr-FR"/>
        </w:rPr>
      </w:pPr>
      <w:r>
        <w:rPr>
          <w:lang w:val="fr-FR"/>
        </w:rPr>
        <w:t>557.</w:t>
      </w:r>
      <w:r>
        <w:rPr>
          <w:lang w:val="fr-FR"/>
        </w:rPr>
        <w:tab/>
        <w:t>En ce qui concerne la Maison de la culture, la Loi N° 113 portant modifications de la Loi sur la culture (</w:t>
      </w:r>
      <w:r>
        <w:rPr>
          <w:i/>
          <w:lang w:val="fr-FR"/>
        </w:rPr>
        <w:t>Journal officiel</w:t>
      </w:r>
      <w:r>
        <w:rPr>
          <w:lang w:val="fr-FR"/>
        </w:rPr>
        <w:t xml:space="preserve"> N° 612 du 28 janvier 1991) précise le devoir de l’État de "prendre des mesures qui permettent d'exécuter des projets prioritaires de développement, de promotion et de préservation des valeurs culturelles", conformément aux dispositions de la Constitution, et, à cette fin, de renforcer et d'intensifier les activités culturelles, tant au siège que dans les 22 centres provinciaux de la Maison de la culture équatorienne, en dotant cette dernière de l'autonomie économique et financière, conformément aux dispositions de l'article 13 modifié : "La Maison de la culture équatorienne Benjamín Carrión est une entité de droit public dotée de la personnalité juridique, d'un patrimoine, de fonds propres et de l'autonomie économique, administrative, financière et opérationnelle" et "sans préjudice de son autonomie, la Maison de la culture coordonne ses activités et programmes avec ceux du Conseil national de la culture".</w:t>
      </w:r>
    </w:p>
    <w:p w:rsidR="00000000" w:rsidRDefault="00000000">
      <w:pPr>
        <w:spacing w:after="240"/>
        <w:rPr>
          <w:lang w:val="fr-FR"/>
        </w:rPr>
      </w:pPr>
      <w:r>
        <w:rPr>
          <w:b/>
          <w:lang w:val="fr-FR"/>
        </w:rPr>
        <w:t>L’identité culturelle de l’Équateur</w:t>
      </w:r>
    </w:p>
    <w:p w:rsidR="00000000" w:rsidRDefault="00000000">
      <w:pPr>
        <w:spacing w:after="240"/>
        <w:rPr>
          <w:lang w:val="fr-FR"/>
        </w:rPr>
      </w:pPr>
      <w:r>
        <w:rPr>
          <w:lang w:val="fr-FR"/>
        </w:rPr>
        <w:t>558.</w:t>
      </w:r>
      <w:r>
        <w:rPr>
          <w:lang w:val="fr-FR"/>
        </w:rPr>
        <w:tab/>
        <w:t>Les biens culturels meubles et immeubles de l’Équateur constituent la substance de son patrimoine culturel, dont l'étude systématique et la diffusion de sa connaissance sont indispensables au renforcement de l'identité nationale.  C'est dans cette perspective que l’on procède, au sein de l’Institut national du patrimoine culturel, à des recensements de tous les biens culturels inventoriés en vue de préserver et de revaloriser le patrimoine culturel matériel.  Le Ministère de l'éducation et de la culture a fait un progrès dans cette direction en incorporant dans la réforme des programmes d'études les résultats des recherches historiques, sociales et culturelles du pays, encourageant ainsi la participation des communautés ethniques à la formulation de leurs besoins en matière d'éducation, par l’intermédiaire du Programme d'éducation interculturelle bilingue.</w:t>
      </w:r>
    </w:p>
    <w:p w:rsidR="00000000" w:rsidRDefault="00000000">
      <w:pPr>
        <w:spacing w:after="240"/>
        <w:rPr>
          <w:lang w:val="fr-FR"/>
        </w:rPr>
      </w:pPr>
      <w:r>
        <w:rPr>
          <w:i/>
          <w:lang w:val="fr-FR"/>
        </w:rPr>
        <w:t>Promotion de la culture</w:t>
      </w:r>
    </w:p>
    <w:p w:rsidR="00000000" w:rsidRDefault="00000000">
      <w:pPr>
        <w:spacing w:after="240"/>
        <w:rPr>
          <w:lang w:val="fr-FR"/>
        </w:rPr>
      </w:pPr>
      <w:r>
        <w:rPr>
          <w:lang w:val="fr-FR"/>
        </w:rPr>
        <w:t>559.</w:t>
      </w:r>
      <w:r>
        <w:rPr>
          <w:lang w:val="fr-FR"/>
        </w:rPr>
        <w:tab/>
        <w:t>Les groupes communautaires disposent d'un trésor d'expressions culturelles authentiques qui constituent une des composantes essentielles de l'identité culturelle nationale.  La promotion et la valorisation des manifestations culturelles populaires permettent l'affirmation de l'identité culturelle dans le libre exercice quotidien des traditions culturelles, incorporant dans le processus éducatif tant la connaissance et la valorisation du patrimoine culturel et naturel que les formes vives de la production culturelle des communautés autochtones et autres groupes ethniques.  Un moyen efficace à cet égard est d'intégrer à la culture la littérature orale, avec ses mythes, ses légendes, ses contes et ses traditions; ainsi que la richesse musicale, avec ses chants, chansons, rythmes et instruments; les fêtes communautaires, avec leurs origines et leur signification; et les artisanats, avec leur symbolisme, expressions de cette immense richesse culturelle.  Ces composantes structurent le développement du processus éducatif, en tant que matériel vivant et essence même de l’œuvre de préservation des cultures autochtones.</w:t>
      </w:r>
    </w:p>
    <w:p w:rsidR="00000000" w:rsidRDefault="00000000">
      <w:pPr>
        <w:spacing w:after="240"/>
        <w:rPr>
          <w:lang w:val="fr-FR"/>
        </w:rPr>
      </w:pPr>
      <w:r>
        <w:rPr>
          <w:lang w:val="fr-FR"/>
        </w:rPr>
        <w:t>560.</w:t>
      </w:r>
      <w:r>
        <w:rPr>
          <w:lang w:val="fr-FR"/>
        </w:rPr>
        <w:tab/>
        <w:t>La promotion nous apparaît peut-être encore comme un tout structuré et institutionnalisé, mais le Gouvernement, les Conseils provinciaux et les Conseils municipaux mettent chacun en oeuvre des actions de promotion culturelle.  Le Livre des artistes plastiques du Ministère des affaires étrangères, le programme de promotion culturelle appelée "L’Équateur en images", les films vidéo sur les cultures équatoriennes et les publications des organisations privées sur les fêtes populaires, la sculpture contemporaine et les photographies les plus représentatives de nos oeuvres culturelles sont les initiatives les plus notables enregistrés au cours des dernières années.</w:t>
      </w:r>
    </w:p>
    <w:p w:rsidR="00000000" w:rsidRDefault="00000000">
      <w:pPr>
        <w:spacing w:after="240"/>
        <w:rPr>
          <w:lang w:val="fr-FR"/>
        </w:rPr>
      </w:pPr>
      <w:r>
        <w:rPr>
          <w:lang w:val="fr-FR"/>
        </w:rPr>
        <w:t>561.</w:t>
      </w:r>
      <w:r>
        <w:rPr>
          <w:lang w:val="fr-FR"/>
        </w:rPr>
        <w:tab/>
        <w:t>Il existe un programme national de diffusion de la culture, qui comporte différents éléments : production et diffusion des moyens d'information et de communication de masse, presse, radio, télévision, Internet et audiovisuel; production et diffusion d'ouvrages écrits, et diffusion internationale de la culture équatorienne.</w:t>
      </w:r>
    </w:p>
    <w:p w:rsidR="00000000" w:rsidRDefault="00000000">
      <w:pPr>
        <w:spacing w:after="240"/>
        <w:rPr>
          <w:lang w:val="fr-FR"/>
        </w:rPr>
      </w:pPr>
      <w:r>
        <w:rPr>
          <w:i/>
          <w:lang w:val="fr-FR"/>
        </w:rPr>
        <w:t>Biens considérés comme patrimoine culturel</w:t>
      </w:r>
    </w:p>
    <w:p w:rsidR="00000000" w:rsidRDefault="00000000">
      <w:pPr>
        <w:spacing w:after="240"/>
        <w:rPr>
          <w:lang w:val="fr-FR"/>
        </w:rPr>
      </w:pPr>
      <w:r>
        <w:rPr>
          <w:lang w:val="fr-FR"/>
        </w:rPr>
        <w:t>562.</w:t>
      </w:r>
      <w:r>
        <w:rPr>
          <w:lang w:val="fr-FR"/>
        </w:rPr>
        <w:tab/>
        <w:t>La ville de Quito, capitale de l’Équateur, a été déclarée par l’Unesco patrimoine culturel de l'humanité en septembre 1978.  Parallèlement, L'Unesco a aussi déclaré les îles Galápagos patrimoine naturel de l'humanité.  Cuenca a été inscrite sur la Liste du patrimoine culturel en 2001, pour son centre historique, ses musées et sa Biennale.</w:t>
      </w:r>
    </w:p>
    <w:p w:rsidR="00000000" w:rsidRDefault="00000000">
      <w:pPr>
        <w:spacing w:after="240"/>
        <w:rPr>
          <w:lang w:val="fr-FR"/>
        </w:rPr>
      </w:pPr>
      <w:r>
        <w:rPr>
          <w:lang w:val="fr-FR"/>
        </w:rPr>
        <w:t>563.</w:t>
      </w:r>
      <w:r>
        <w:rPr>
          <w:lang w:val="fr-FR"/>
        </w:rPr>
        <w:tab/>
        <w:t>Le Congrès national a adopté la Loi N° 82 (</w:t>
      </w:r>
      <w:r>
        <w:rPr>
          <w:i/>
          <w:lang w:val="fr-FR"/>
        </w:rPr>
        <w:t>Journal officiel</w:t>
      </w:r>
      <w:r>
        <w:rPr>
          <w:lang w:val="fr-FR"/>
        </w:rPr>
        <w:t xml:space="preserve"> N° 838 du 23 décembre 1987) instituant le Fonds de sauvegarde du patrimoine culturel (FONSAL) en vue de restaurer, conserver et protéger les biens historiques, artistiques, religieux et culturels affectés par le tremblement de terre de mars 1987, qui a gravement endommagé le patrimoine culturel historique de la ville de Quito, et lui transférant annuellement 10 % du budget du Fonds pour les situations nationale de crise (FONEN), transferts budgétaires qui n'ont cependant pas pu se faire, retardant ainsi le processus de restauration des oeuvres affectées.</w:t>
      </w:r>
    </w:p>
    <w:p w:rsidR="00000000" w:rsidRDefault="00000000">
      <w:pPr>
        <w:spacing w:after="240"/>
        <w:rPr>
          <w:lang w:val="fr-FR"/>
        </w:rPr>
      </w:pPr>
      <w:r>
        <w:rPr>
          <w:lang w:val="fr-FR"/>
        </w:rPr>
        <w:t>564.</w:t>
      </w:r>
      <w:r>
        <w:rPr>
          <w:lang w:val="fr-FR"/>
        </w:rPr>
        <w:tab/>
        <w:t>Aussi le Congrès national a-t-il adopté la Loi portant modification de la Loi de création du Fonds de sauvegarde du patrimoine culturel (</w:t>
      </w:r>
      <w:r>
        <w:rPr>
          <w:i/>
          <w:lang w:val="fr-FR"/>
        </w:rPr>
        <w:t>Journal officiel</w:t>
      </w:r>
      <w:r>
        <w:rPr>
          <w:lang w:val="fr-FR"/>
        </w:rPr>
        <w:t xml:space="preserve"> N° 808 du 8 novembre 1991), par laquelle il impose au FONEN l'obligation de transférer un montant correspondant à 10 % de son budget initial au compte spécial que détient la municipalité de Quito à la Banque centrale.  Depuis, le processus de restauration s'est poursuivi dans le cadre de la programmation prévue.  Pour sa part, le Fonds de sauvegarde du patrimoine culturel a obtenu des fonds de source internationale qui ont constitué un appui très important au processus de restauration.</w:t>
      </w:r>
    </w:p>
    <w:p w:rsidR="00000000" w:rsidRDefault="00000000">
      <w:pPr>
        <w:spacing w:after="240"/>
        <w:rPr>
          <w:lang w:val="fr-FR"/>
        </w:rPr>
      </w:pPr>
      <w:r>
        <w:rPr>
          <w:lang w:val="fr-FR"/>
        </w:rPr>
        <w:t>565.</w:t>
      </w:r>
      <w:r>
        <w:rPr>
          <w:lang w:val="fr-FR"/>
        </w:rPr>
        <w:tab/>
        <w:t>La Constitution équatorienne dispose, en son article 62 :  "La culture est le patrimoine du peuple et constitue un élément essentiel de son identité.  L'État encourage et stimule la culture, la création, la formation artistique et la recherche scientifique.  Il élabore des politiques permanentes pour la conservation, la restauration, la protection et le respect du patrimoine culturel matériel et immatériel, de la richesse artistique, historique, linguistique et archéologique de la nation, ainsi que de l'ensemble de valeurs et manifestations diverses qui forment le caractère multiculturel et pluriethnique de l’identité nationale.  Il encourage l'interculturalité, inspire ses politiques et façonne ses institutions sur la base des principes d'équité et d'égalité des cultures".</w:t>
      </w:r>
    </w:p>
    <w:p w:rsidR="00000000" w:rsidRDefault="00000000">
      <w:pPr>
        <w:spacing w:after="240"/>
        <w:rPr>
          <w:lang w:val="fr-FR"/>
        </w:rPr>
      </w:pPr>
      <w:r>
        <w:rPr>
          <w:lang w:val="fr-FR"/>
        </w:rPr>
        <w:t>566.</w:t>
      </w:r>
      <w:r>
        <w:rPr>
          <w:lang w:val="fr-FR"/>
        </w:rPr>
        <w:tab/>
        <w:t>L'article 63 traite de la participation des personnes aux manifestations culturelles : "L'État garantit l'accès et la participation des personnes, sur la base de l’égalité des conditions et des chances, aux biens, services et manifestations culturels, et adopte des mesures pour que la société, le système éducatif, l'entreprise privée et les moyens de communication contribuent à stimuler la créativité et les activités culturelles dans leurs diverses manifestations.  Les intellectuels et artistes participent, dans le cadre de leurs organisations, à l'élaboration des politiques culturelles".</w:t>
      </w:r>
    </w:p>
    <w:p w:rsidR="00000000" w:rsidRDefault="00000000">
      <w:pPr>
        <w:spacing w:after="240"/>
        <w:rPr>
          <w:lang w:val="fr-FR"/>
        </w:rPr>
      </w:pPr>
      <w:r>
        <w:rPr>
          <w:lang w:val="fr-FR"/>
        </w:rPr>
        <w:t>567.</w:t>
      </w:r>
      <w:r>
        <w:rPr>
          <w:lang w:val="fr-FR"/>
        </w:rPr>
        <w:tab/>
        <w:t>La Déclaration universelle des droits de l'homme de 1948 proclame, dans son article 27 : "Toute personne a le droit de prendre part librement à la vie culturelle de la communauté, de jouir des arts et de participer au progrès scientifique et aux bienfaits qui en résultent".  Elle ajoute : "Chacun a droit à la protection des intérêts moraux et matériels découlant de toute production scientifique, littéraire ou artistique dont il est l'auteur".</w:t>
      </w:r>
    </w:p>
    <w:p w:rsidR="00000000" w:rsidRDefault="00000000">
      <w:pPr>
        <w:spacing w:after="240"/>
        <w:rPr>
          <w:iCs/>
          <w:lang w:val="fr-FR"/>
        </w:rPr>
      </w:pPr>
      <w:r>
        <w:rPr>
          <w:lang w:val="fr-FR"/>
        </w:rPr>
        <w:t>568.</w:t>
      </w:r>
      <w:r>
        <w:rPr>
          <w:lang w:val="fr-FR"/>
        </w:rPr>
        <w:tab/>
        <w:t>Depuis la Convention de Berne pour la protection des oeuvres littéraires et artistiques, l’Équateur a, un an après, adopté et promulgué la Loi sur la propriété artistique et littéraire de 1887, restée en vigueur jusqu'en 1958; en février de la même année a été promulguée la Loi relative à la propriété intellectuelle, inspirée de la Convention universelle de Genève sur le droit d'auteur de 1952, qui est devenue législation nationale avec l'approbation du Congrès le 6 novembre 1956 (</w:t>
      </w:r>
      <w:r>
        <w:rPr>
          <w:i/>
          <w:iCs/>
          <w:lang w:val="fr-FR"/>
        </w:rPr>
        <w:t>Journal officiel</w:t>
      </w:r>
      <w:r>
        <w:rPr>
          <w:iCs/>
          <w:lang w:val="fr-FR"/>
        </w:rPr>
        <w:t xml:space="preserve"> N° 194 du 24 avril 1957).</w:t>
      </w:r>
    </w:p>
    <w:p w:rsidR="00000000" w:rsidRDefault="00000000">
      <w:pPr>
        <w:spacing w:after="240"/>
        <w:rPr>
          <w:lang w:val="fr-FR"/>
        </w:rPr>
      </w:pPr>
      <w:r>
        <w:rPr>
          <w:lang w:val="fr-FR"/>
        </w:rPr>
        <w:t>569.</w:t>
      </w:r>
      <w:r>
        <w:rPr>
          <w:lang w:val="fr-FR"/>
        </w:rPr>
        <w:tab/>
        <w:t xml:space="preserve">Après la révision à Paris, par l’Acte du 24 juillet 1971, des textes de la Convention universelle sur le droit d'auteur et de la Convention de Berne, l’Équateur a adhéré à ces nouveaux instruments internationaux et, le 13 août 1976, </w:t>
      </w:r>
      <w:r>
        <w:rPr>
          <w:iCs/>
          <w:lang w:val="fr-FR"/>
        </w:rPr>
        <w:t xml:space="preserve">il a promulgué la Loi sur les droits d'auteur </w:t>
      </w:r>
      <w:r>
        <w:rPr>
          <w:lang w:val="fr-FR"/>
        </w:rPr>
        <w:t>(</w:t>
      </w:r>
      <w:r>
        <w:rPr>
          <w:i/>
          <w:iCs/>
          <w:lang w:val="fr-FR"/>
        </w:rPr>
        <w:t>Journal officiel</w:t>
      </w:r>
      <w:r>
        <w:rPr>
          <w:iCs/>
          <w:lang w:val="fr-FR"/>
        </w:rPr>
        <w:t xml:space="preserve"> N° 149), dont le Règlement général d'application a été publié au </w:t>
      </w:r>
      <w:r>
        <w:rPr>
          <w:i/>
          <w:lang w:val="fr-FR"/>
        </w:rPr>
        <w:t>Journal officiel</w:t>
      </w:r>
      <w:r>
        <w:rPr>
          <w:lang w:val="fr-FR"/>
        </w:rPr>
        <w:t xml:space="preserve"> N° 495 du 30 décembre 1977.  Suite à cette loi et à ce règlement, le Gouvernement a approuvé la création en 1979 de la Société des auteurs et compositeurs équatoriens (SAYCE), en tant que société unique de gestion collective des droits dans le domaine de la création musicale, puisque la Loi sur le droit d'auteur interdit expressément l'existence juridique en Équateur de plus d’une société pour un même genre de création artistique.  En 1979, l’Acte de Paris a été à nouveau révisé, et l’Équateur y a par la suite adhéré.</w:t>
      </w:r>
    </w:p>
    <w:p w:rsidR="00000000" w:rsidRDefault="00000000">
      <w:pPr>
        <w:spacing w:after="240"/>
        <w:rPr>
          <w:iCs/>
          <w:lang w:val="fr-FR"/>
        </w:rPr>
      </w:pPr>
      <w:r>
        <w:rPr>
          <w:iCs/>
          <w:lang w:val="fr-FR"/>
        </w:rPr>
        <w:t>570.</w:t>
      </w:r>
      <w:r>
        <w:rPr>
          <w:iCs/>
          <w:lang w:val="fr-FR"/>
        </w:rPr>
        <w:tab/>
        <w:t>Il convient donc de souligner que les dispositions des deux Conventions universelles et de la Loi sur le droit d'auteur, ainsi que les dispositions de la Convention internationale sur la protection des artistes interprètes ou exécutants, des producteurs de phonogrammes et des organismes de radiodiffusion ont force de loi en Équateur.  Il en est de même des dispositions de la Convention pour la protection des producteurs de phonogrammes contre la reproduction non autorisée de leurs phonogrammes.  C'est dans ce contexte que le Congrès national a promulgué en juillet 1992 la Loi contre le piratage musical (</w:t>
      </w:r>
      <w:r>
        <w:rPr>
          <w:i/>
          <w:iCs/>
          <w:lang w:val="fr-FR"/>
        </w:rPr>
        <w:t>Journal officiel</w:t>
      </w:r>
      <w:r>
        <w:rPr>
          <w:iCs/>
          <w:lang w:val="fr-FR"/>
        </w:rPr>
        <w:t xml:space="preserve"> N° 984 du 22 juillet 1992, (SAYCE, p.11)).</w:t>
      </w:r>
    </w:p>
    <w:p w:rsidR="00000000" w:rsidRDefault="00000000">
      <w:pPr>
        <w:spacing w:after="240"/>
        <w:rPr>
          <w:iCs/>
          <w:lang w:val="fr-FR"/>
        </w:rPr>
      </w:pPr>
      <w:r>
        <w:rPr>
          <w:iCs/>
          <w:lang w:val="fr-FR"/>
        </w:rPr>
        <w:t>571.</w:t>
      </w:r>
      <w:r>
        <w:rPr>
          <w:iCs/>
          <w:lang w:val="fr-FR"/>
        </w:rPr>
        <w:tab/>
        <w:t>Le Congrès national a adopté la nouvelle Loi relative à la propriété intellectuelle (</w:t>
      </w:r>
      <w:r>
        <w:rPr>
          <w:i/>
          <w:iCs/>
          <w:lang w:val="fr-FR"/>
        </w:rPr>
        <w:t>Journal officiel</w:t>
      </w:r>
      <w:r>
        <w:rPr>
          <w:iCs/>
          <w:lang w:val="fr-FR"/>
        </w:rPr>
        <w:t xml:space="preserve"> N° 320 du 19 mai 1998), qui est en conformité avec les nouvelles dispositions de l’Accord de l'Organisation mondiale du commerce (OMC) sur la propriété intellectuelle.</w:t>
      </w:r>
    </w:p>
    <w:p w:rsidR="00000000" w:rsidRDefault="00000000">
      <w:pPr>
        <w:spacing w:after="240"/>
        <w:rPr>
          <w:iCs/>
          <w:lang w:val="fr-FR"/>
        </w:rPr>
      </w:pPr>
      <w:r>
        <w:rPr>
          <w:iCs/>
          <w:lang w:val="fr-FR"/>
        </w:rPr>
        <w:t>572.</w:t>
      </w:r>
      <w:r>
        <w:rPr>
          <w:iCs/>
          <w:lang w:val="fr-FR"/>
        </w:rPr>
        <w:tab/>
        <w:t>Depuis 1963, l’Équateur est partie à la Convention internationale sur la protection des artistes interprètes ou exécutants, des producteurs de phonogrammes et des organismes de radiodiffusion, par Décret suprême N° 811 (</w:t>
      </w:r>
      <w:r>
        <w:rPr>
          <w:i/>
          <w:iCs/>
          <w:lang w:val="fr-FR"/>
        </w:rPr>
        <w:t>Journal officiel</w:t>
      </w:r>
      <w:r>
        <w:rPr>
          <w:iCs/>
          <w:lang w:val="fr-FR"/>
        </w:rPr>
        <w:t xml:space="preserve"> N° 137 du 24 octobre.</w:t>
      </w:r>
    </w:p>
    <w:p w:rsidR="00000000" w:rsidRDefault="00000000">
      <w:pPr>
        <w:spacing w:after="240"/>
        <w:rPr>
          <w:iCs/>
          <w:lang w:val="fr-FR"/>
        </w:rPr>
      </w:pPr>
      <w:r>
        <w:rPr>
          <w:iCs/>
          <w:lang w:val="fr-FR"/>
        </w:rPr>
        <w:t>573.</w:t>
      </w:r>
      <w:r>
        <w:rPr>
          <w:iCs/>
          <w:lang w:val="fr-FR"/>
        </w:rPr>
        <w:tab/>
        <w:t>En 1971 et 1979, l’Équateur a souscrit aux dispositions de la Convention de Berne pour la protection des oeuvres littéraires et artistiques.</w:t>
      </w:r>
    </w:p>
    <w:p w:rsidR="00000000" w:rsidRDefault="00000000">
      <w:pPr>
        <w:spacing w:after="240"/>
        <w:rPr>
          <w:iCs/>
          <w:lang w:val="fr-FR"/>
        </w:rPr>
      </w:pPr>
      <w:r>
        <w:rPr>
          <w:iCs/>
          <w:lang w:val="fr-FR"/>
        </w:rPr>
        <w:t>574.</w:t>
      </w:r>
      <w:r>
        <w:rPr>
          <w:iCs/>
          <w:lang w:val="fr-FR"/>
        </w:rPr>
        <w:tab/>
        <w:t>En 1971, il a adhéré à la Convention universelle sur le droit d'auteur, révisée à Paris le 14 juillet, et connu sous les noms de Convention de 1952, puis de Convention de 1971.</w:t>
      </w:r>
    </w:p>
    <w:p w:rsidR="00000000" w:rsidRDefault="00000000">
      <w:pPr>
        <w:spacing w:after="240"/>
        <w:rPr>
          <w:iCs/>
          <w:lang w:val="fr-FR"/>
        </w:rPr>
      </w:pPr>
      <w:r>
        <w:rPr>
          <w:iCs/>
          <w:lang w:val="fr-FR"/>
        </w:rPr>
        <w:t>575.</w:t>
      </w:r>
      <w:r>
        <w:rPr>
          <w:iCs/>
          <w:lang w:val="fr-FR"/>
        </w:rPr>
        <w:tab/>
        <w:t>En 1996, il a adopté les déclarations communes de la Conférence diplomatique sur le Traité de l'organisation mondiale de la propriété intellectuelle (OMPI) sur les interprétations et exécutions et les phonogrammes.</w:t>
      </w:r>
    </w:p>
    <w:p w:rsidR="00000000" w:rsidRDefault="00000000">
      <w:pPr>
        <w:autoSpaceDE w:val="0"/>
        <w:autoSpaceDN w:val="0"/>
        <w:adjustRightInd w:val="0"/>
        <w:spacing w:after="240"/>
        <w:jc w:val="center"/>
        <w:rPr>
          <w:b/>
          <w:bCs/>
          <w:color w:val="000000"/>
          <w:szCs w:val="22"/>
          <w:lang w:val="fr-FR"/>
        </w:rPr>
      </w:pPr>
      <w:r>
        <w:rPr>
          <w:b/>
          <w:bCs/>
          <w:color w:val="000000"/>
          <w:szCs w:val="22"/>
          <w:lang w:val="fr-FR"/>
        </w:rPr>
        <w:t xml:space="preserve">Institutions du Sous-système Culturel de Formation Artistique  </w:t>
      </w:r>
    </w:p>
    <w:p w:rsidR="00000000" w:rsidRDefault="00000000">
      <w:pPr>
        <w:pStyle w:val="Heading4"/>
        <w:keepNext w:val="0"/>
        <w:keepLines w:val="0"/>
        <w:widowControl/>
        <w:spacing w:after="240"/>
        <w:rPr>
          <w:sz w:val="24"/>
          <w:lang w:val="fr-FR"/>
        </w:rPr>
      </w:pPr>
      <w:r>
        <w:rPr>
          <w:sz w:val="24"/>
          <w:lang w:val="fr-FR"/>
        </w:rPr>
        <w:t xml:space="preserve">Secteur Musique  </w:t>
      </w:r>
    </w:p>
    <w:p w:rsidR="00000000" w:rsidRDefault="00000000">
      <w:pPr>
        <w:autoSpaceDE w:val="0"/>
        <w:autoSpaceDN w:val="0"/>
        <w:adjustRightInd w:val="0"/>
        <w:spacing w:after="240"/>
        <w:rPr>
          <w:i/>
          <w:iCs/>
          <w:color w:val="000000"/>
          <w:szCs w:val="22"/>
          <w:lang w:val="fr-FR"/>
        </w:rPr>
      </w:pPr>
      <w:r>
        <w:rPr>
          <w:i/>
          <w:iCs/>
          <w:color w:val="000000"/>
          <w:szCs w:val="22"/>
          <w:lang w:val="fr-FR"/>
        </w:rPr>
        <w:t xml:space="preserve">Conservatoires  </w:t>
      </w:r>
    </w:p>
    <w:tbl>
      <w:tblPr>
        <w:tblW w:w="9299" w:type="dxa"/>
        <w:jc w:val="center"/>
        <w:tblLayout w:type="fixed"/>
        <w:tblCellMar>
          <w:left w:w="40" w:type="dxa"/>
          <w:right w:w="40" w:type="dxa"/>
        </w:tblCellMar>
        <w:tblLook w:val="0000" w:firstRow="0" w:lastRow="0" w:firstColumn="0" w:lastColumn="0" w:noHBand="0" w:noVBand="0"/>
      </w:tblPr>
      <w:tblGrid>
        <w:gridCol w:w="6070"/>
        <w:gridCol w:w="1696"/>
        <w:gridCol w:w="1533"/>
      </w:tblGrid>
      <w:tr w:rsidR="00000000">
        <w:tblPrEx>
          <w:tblCellMar>
            <w:top w:w="0" w:type="dxa"/>
            <w:bottom w:w="0" w:type="dxa"/>
          </w:tblCellMar>
        </w:tblPrEx>
        <w:trPr>
          <w:jc w:val="center"/>
        </w:trPr>
        <w:tc>
          <w:tcPr>
            <w:tcW w:w="616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Conservatoire national de musique </w:t>
            </w:r>
          </w:p>
        </w:tc>
        <w:tc>
          <w:tcPr>
            <w:tcW w:w="172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Pichincha </w:t>
            </w:r>
          </w:p>
        </w:tc>
        <w:tc>
          <w:tcPr>
            <w:tcW w:w="1555"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Quito  </w:t>
            </w:r>
          </w:p>
        </w:tc>
      </w:tr>
      <w:tr w:rsidR="00000000">
        <w:tblPrEx>
          <w:tblCellMar>
            <w:top w:w="0" w:type="dxa"/>
            <w:bottom w:w="0" w:type="dxa"/>
          </w:tblCellMar>
        </w:tblPrEx>
        <w:trPr>
          <w:jc w:val="center"/>
        </w:trPr>
        <w:tc>
          <w:tcPr>
            <w:tcW w:w="616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Conservatoire national "Antonio Neumane" </w:t>
            </w:r>
          </w:p>
        </w:tc>
        <w:tc>
          <w:tcPr>
            <w:tcW w:w="172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Guayas </w:t>
            </w:r>
          </w:p>
        </w:tc>
        <w:tc>
          <w:tcPr>
            <w:tcW w:w="1555"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Guayaquil  </w:t>
            </w:r>
          </w:p>
        </w:tc>
      </w:tr>
      <w:tr w:rsidR="00000000">
        <w:tblPrEx>
          <w:tblCellMar>
            <w:top w:w="0" w:type="dxa"/>
            <w:bottom w:w="0" w:type="dxa"/>
          </w:tblCellMar>
        </w:tblPrEx>
        <w:trPr>
          <w:jc w:val="center"/>
        </w:trPr>
        <w:tc>
          <w:tcPr>
            <w:tcW w:w="616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Conservatoire national de musique "José María  Rodriguez" </w:t>
            </w:r>
          </w:p>
        </w:tc>
        <w:tc>
          <w:tcPr>
            <w:tcW w:w="172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Azuay </w:t>
            </w:r>
          </w:p>
        </w:tc>
        <w:tc>
          <w:tcPr>
            <w:tcW w:w="1555"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Cuenca</w:t>
            </w:r>
          </w:p>
        </w:tc>
      </w:tr>
      <w:tr w:rsidR="00000000">
        <w:tblPrEx>
          <w:tblCellMar>
            <w:top w:w="0" w:type="dxa"/>
            <w:bottom w:w="0" w:type="dxa"/>
          </w:tblCellMar>
        </w:tblPrEx>
        <w:trPr>
          <w:jc w:val="center"/>
        </w:trPr>
        <w:tc>
          <w:tcPr>
            <w:tcW w:w="616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Conservatoire de musique "Salvador Bustamante  Celi " </w:t>
            </w:r>
          </w:p>
        </w:tc>
        <w:tc>
          <w:tcPr>
            <w:tcW w:w="172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Loja </w:t>
            </w:r>
          </w:p>
        </w:tc>
        <w:tc>
          <w:tcPr>
            <w:tcW w:w="1555"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Loja  </w:t>
            </w:r>
          </w:p>
        </w:tc>
      </w:tr>
      <w:tr w:rsidR="00000000">
        <w:tblPrEx>
          <w:tblCellMar>
            <w:top w:w="0" w:type="dxa"/>
            <w:bottom w:w="0" w:type="dxa"/>
          </w:tblCellMar>
        </w:tblPrEx>
        <w:trPr>
          <w:jc w:val="center"/>
        </w:trPr>
        <w:tc>
          <w:tcPr>
            <w:tcW w:w="616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Conservatoire subventionné de musique, théâtre et </w:t>
            </w:r>
            <w:r>
              <w:rPr>
                <w:color w:val="000000"/>
                <w:sz w:val="21"/>
                <w:szCs w:val="22"/>
                <w:lang w:val="fr-FR"/>
              </w:rPr>
              <w:br/>
              <w:t xml:space="preserve">danse "La Merced" </w:t>
            </w:r>
          </w:p>
        </w:tc>
        <w:tc>
          <w:tcPr>
            <w:tcW w:w="172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Tungurahua </w:t>
            </w:r>
          </w:p>
        </w:tc>
        <w:tc>
          <w:tcPr>
            <w:tcW w:w="1555"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Ambato  </w:t>
            </w:r>
          </w:p>
        </w:tc>
      </w:tr>
      <w:tr w:rsidR="00000000">
        <w:tblPrEx>
          <w:tblCellMar>
            <w:top w:w="0" w:type="dxa"/>
            <w:bottom w:w="0" w:type="dxa"/>
          </w:tblCellMar>
        </w:tblPrEx>
        <w:trPr>
          <w:jc w:val="center"/>
        </w:trPr>
        <w:tc>
          <w:tcPr>
            <w:tcW w:w="616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Conservatoire privé de musique "Padre Jaime  Manuel Mola" </w:t>
            </w:r>
          </w:p>
        </w:tc>
        <w:tc>
          <w:tcPr>
            <w:tcW w:w="172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Pichincha </w:t>
            </w:r>
          </w:p>
        </w:tc>
        <w:tc>
          <w:tcPr>
            <w:tcW w:w="1555"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Quito  </w:t>
            </w:r>
          </w:p>
        </w:tc>
      </w:tr>
      <w:tr w:rsidR="00000000">
        <w:tblPrEx>
          <w:tblCellMar>
            <w:top w:w="0" w:type="dxa"/>
            <w:bottom w:w="0" w:type="dxa"/>
          </w:tblCellMar>
        </w:tblPrEx>
        <w:trPr>
          <w:jc w:val="center"/>
        </w:trPr>
        <w:tc>
          <w:tcPr>
            <w:tcW w:w="616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Conservatoire privé de musique "Rimsky  Korsakov " </w:t>
            </w:r>
          </w:p>
        </w:tc>
        <w:tc>
          <w:tcPr>
            <w:tcW w:w="172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Guayas </w:t>
            </w:r>
          </w:p>
        </w:tc>
        <w:tc>
          <w:tcPr>
            <w:tcW w:w="1555"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Guayaquil  </w:t>
            </w:r>
          </w:p>
        </w:tc>
      </w:tr>
      <w:tr w:rsidR="00000000">
        <w:tblPrEx>
          <w:tblCellMar>
            <w:top w:w="0" w:type="dxa"/>
            <w:bottom w:w="0" w:type="dxa"/>
          </w:tblCellMar>
        </w:tblPrEx>
        <w:trPr>
          <w:jc w:val="center"/>
        </w:trPr>
        <w:tc>
          <w:tcPr>
            <w:tcW w:w="616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Conservatoire du Sud – Commune du district métropolitain </w:t>
            </w:r>
          </w:p>
        </w:tc>
        <w:tc>
          <w:tcPr>
            <w:tcW w:w="172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Pichincha </w:t>
            </w:r>
          </w:p>
        </w:tc>
        <w:tc>
          <w:tcPr>
            <w:tcW w:w="1555"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Quito  </w:t>
            </w:r>
          </w:p>
        </w:tc>
      </w:tr>
      <w:tr w:rsidR="00000000">
        <w:tblPrEx>
          <w:tblCellMar>
            <w:top w:w="0" w:type="dxa"/>
            <w:bottom w:w="0" w:type="dxa"/>
          </w:tblCellMar>
        </w:tblPrEx>
        <w:trPr>
          <w:jc w:val="center"/>
        </w:trPr>
        <w:tc>
          <w:tcPr>
            <w:tcW w:w="616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Conservatoire de musique de Zamora  </w:t>
            </w:r>
          </w:p>
        </w:tc>
        <w:tc>
          <w:tcPr>
            <w:tcW w:w="172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Zamora Chinchipe </w:t>
            </w:r>
          </w:p>
        </w:tc>
        <w:tc>
          <w:tcPr>
            <w:tcW w:w="1555"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Zamora  </w:t>
            </w:r>
          </w:p>
        </w:tc>
      </w:tr>
      <w:tr w:rsidR="00000000">
        <w:tblPrEx>
          <w:tblCellMar>
            <w:top w:w="0" w:type="dxa"/>
            <w:bottom w:w="0" w:type="dxa"/>
          </w:tblCellMar>
        </w:tblPrEx>
        <w:trPr>
          <w:jc w:val="center"/>
        </w:trPr>
        <w:tc>
          <w:tcPr>
            <w:tcW w:w="616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Conservatoire national de musique </w:t>
            </w:r>
          </w:p>
        </w:tc>
        <w:tc>
          <w:tcPr>
            <w:tcW w:w="172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El Oro</w:t>
            </w:r>
          </w:p>
        </w:tc>
        <w:tc>
          <w:tcPr>
            <w:tcW w:w="1555"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Machala  </w:t>
            </w:r>
          </w:p>
        </w:tc>
      </w:tr>
      <w:tr w:rsidR="00000000">
        <w:tblPrEx>
          <w:tblCellMar>
            <w:top w:w="0" w:type="dxa"/>
            <w:bottom w:w="0" w:type="dxa"/>
          </w:tblCellMar>
        </w:tblPrEx>
        <w:trPr>
          <w:jc w:val="center"/>
        </w:trPr>
        <w:tc>
          <w:tcPr>
            <w:tcW w:w="616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Conservatoire de musique </w:t>
            </w:r>
          </w:p>
        </w:tc>
        <w:tc>
          <w:tcPr>
            <w:tcW w:w="172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Los Ríos </w:t>
            </w:r>
          </w:p>
        </w:tc>
        <w:tc>
          <w:tcPr>
            <w:tcW w:w="1555"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Babahoyo  </w:t>
            </w:r>
          </w:p>
        </w:tc>
      </w:tr>
      <w:tr w:rsidR="00000000">
        <w:tblPrEx>
          <w:tblCellMar>
            <w:top w:w="0" w:type="dxa"/>
            <w:bottom w:w="0" w:type="dxa"/>
          </w:tblCellMar>
        </w:tblPrEx>
        <w:trPr>
          <w:jc w:val="center"/>
        </w:trPr>
        <w:tc>
          <w:tcPr>
            <w:tcW w:w="616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Conservatoire de musique "Dr.  Jorge Manzano Escalante" </w:t>
            </w:r>
          </w:p>
        </w:tc>
        <w:tc>
          <w:tcPr>
            <w:tcW w:w="172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Guayas </w:t>
            </w:r>
          </w:p>
        </w:tc>
        <w:tc>
          <w:tcPr>
            <w:tcW w:w="1555"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Guayaquil  </w:t>
            </w:r>
          </w:p>
        </w:tc>
      </w:tr>
      <w:tr w:rsidR="00000000">
        <w:tblPrEx>
          <w:tblCellMar>
            <w:top w:w="0" w:type="dxa"/>
            <w:bottom w:w="0" w:type="dxa"/>
          </w:tblCellMar>
        </w:tblPrEx>
        <w:trPr>
          <w:jc w:val="center"/>
        </w:trPr>
        <w:tc>
          <w:tcPr>
            <w:tcW w:w="616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Conservatoire de musique "Federico  Chopín " </w:t>
            </w:r>
          </w:p>
        </w:tc>
        <w:tc>
          <w:tcPr>
            <w:tcW w:w="172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Guayas </w:t>
            </w:r>
          </w:p>
        </w:tc>
        <w:tc>
          <w:tcPr>
            <w:tcW w:w="1555"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Guayaquil  </w:t>
            </w:r>
          </w:p>
        </w:tc>
      </w:tr>
      <w:tr w:rsidR="00000000">
        <w:tblPrEx>
          <w:tblCellMar>
            <w:top w:w="0" w:type="dxa"/>
            <w:bottom w:w="0" w:type="dxa"/>
          </w:tblCellMar>
        </w:tblPrEx>
        <w:trPr>
          <w:jc w:val="center"/>
        </w:trPr>
        <w:tc>
          <w:tcPr>
            <w:tcW w:w="616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Conservatoire de musique "Beethoven " </w:t>
            </w:r>
          </w:p>
        </w:tc>
        <w:tc>
          <w:tcPr>
            <w:tcW w:w="172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Guayas </w:t>
            </w:r>
          </w:p>
        </w:tc>
        <w:tc>
          <w:tcPr>
            <w:tcW w:w="1555"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Guayaquil  </w:t>
            </w:r>
          </w:p>
        </w:tc>
      </w:tr>
      <w:tr w:rsidR="00000000">
        <w:tblPrEx>
          <w:tblCellMar>
            <w:top w:w="0" w:type="dxa"/>
            <w:bottom w:w="0" w:type="dxa"/>
          </w:tblCellMar>
        </w:tblPrEx>
        <w:trPr>
          <w:jc w:val="center"/>
        </w:trPr>
        <w:tc>
          <w:tcPr>
            <w:tcW w:w="616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Conservatoire de musique "Zulema  Blacio " </w:t>
            </w:r>
          </w:p>
        </w:tc>
        <w:tc>
          <w:tcPr>
            <w:tcW w:w="1720"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Guayas </w:t>
            </w:r>
          </w:p>
        </w:tc>
        <w:tc>
          <w:tcPr>
            <w:tcW w:w="1555"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Guayaquil  </w:t>
            </w:r>
          </w:p>
        </w:tc>
      </w:tr>
    </w:tbl>
    <w:p w:rsidR="00000000" w:rsidRDefault="00000000">
      <w:pPr>
        <w:autoSpaceDE w:val="0"/>
        <w:autoSpaceDN w:val="0"/>
        <w:adjustRightInd w:val="0"/>
        <w:spacing w:before="240" w:after="240"/>
        <w:rPr>
          <w:i/>
          <w:iCs/>
          <w:color w:val="000000"/>
          <w:szCs w:val="22"/>
          <w:lang w:val="fr-FR"/>
        </w:rPr>
      </w:pPr>
      <w:r>
        <w:rPr>
          <w:i/>
          <w:iCs/>
          <w:color w:val="000000"/>
          <w:szCs w:val="22"/>
          <w:lang w:val="fr-FR"/>
        </w:rPr>
        <w:t xml:space="preserve">Instituts supérieurs  </w:t>
      </w:r>
    </w:p>
    <w:tbl>
      <w:tblPr>
        <w:tblW w:w="9299" w:type="dxa"/>
        <w:jc w:val="center"/>
        <w:tblLayout w:type="fixed"/>
        <w:tblCellMar>
          <w:left w:w="68" w:type="dxa"/>
          <w:right w:w="68" w:type="dxa"/>
        </w:tblCellMar>
        <w:tblLook w:val="0000" w:firstRow="0" w:lastRow="0" w:firstColumn="0" w:lastColumn="0" w:noHBand="0" w:noVBand="0"/>
      </w:tblPr>
      <w:tblGrid>
        <w:gridCol w:w="6063"/>
        <w:gridCol w:w="1683"/>
        <w:gridCol w:w="1553"/>
      </w:tblGrid>
      <w:tr w:rsidR="00000000">
        <w:tblPrEx>
          <w:tblCellMar>
            <w:top w:w="0" w:type="dxa"/>
            <w:bottom w:w="0" w:type="dxa"/>
          </w:tblCellMar>
        </w:tblPrEx>
        <w:trPr>
          <w:jc w:val="center"/>
        </w:trPr>
        <w:tc>
          <w:tcPr>
            <w:tcW w:w="606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Institut supérieur de musique "Ines  Cobo  Rumazo " </w:t>
            </w:r>
          </w:p>
        </w:tc>
        <w:tc>
          <w:tcPr>
            <w:tcW w:w="168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Cotopaxi </w:t>
            </w:r>
          </w:p>
        </w:tc>
        <w:tc>
          <w:tcPr>
            <w:tcW w:w="155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Pujilí  </w:t>
            </w:r>
          </w:p>
        </w:tc>
      </w:tr>
      <w:tr w:rsidR="00000000">
        <w:tblPrEx>
          <w:tblCellMar>
            <w:top w:w="0" w:type="dxa"/>
            <w:bottom w:w="0" w:type="dxa"/>
          </w:tblCellMar>
        </w:tblPrEx>
        <w:trPr>
          <w:jc w:val="center"/>
        </w:trPr>
        <w:tc>
          <w:tcPr>
            <w:tcW w:w="606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Institut  supérieur "Vicente Anda Aguirre " </w:t>
            </w:r>
          </w:p>
        </w:tc>
        <w:tc>
          <w:tcPr>
            <w:tcW w:w="168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Chimborazo </w:t>
            </w:r>
          </w:p>
        </w:tc>
        <w:tc>
          <w:tcPr>
            <w:tcW w:w="155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Riobamba  </w:t>
            </w:r>
          </w:p>
        </w:tc>
      </w:tr>
      <w:tr w:rsidR="00000000">
        <w:tblPrEx>
          <w:tblCellMar>
            <w:top w:w="0" w:type="dxa"/>
            <w:bottom w:w="0" w:type="dxa"/>
          </w:tblCellMar>
        </w:tblPrEx>
        <w:trPr>
          <w:jc w:val="center"/>
        </w:trPr>
        <w:tc>
          <w:tcPr>
            <w:tcW w:w="606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Institut supérieur de musique "Luis Ulpiano de La Torre" </w:t>
            </w:r>
          </w:p>
        </w:tc>
        <w:tc>
          <w:tcPr>
            <w:tcW w:w="168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Imbabura </w:t>
            </w:r>
          </w:p>
        </w:tc>
        <w:tc>
          <w:tcPr>
            <w:tcW w:w="155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Cotacachi  </w:t>
            </w:r>
          </w:p>
        </w:tc>
      </w:tr>
    </w:tbl>
    <w:p w:rsidR="00000000" w:rsidRDefault="00000000">
      <w:pPr>
        <w:autoSpaceDE w:val="0"/>
        <w:autoSpaceDN w:val="0"/>
        <w:adjustRightInd w:val="0"/>
        <w:spacing w:before="240" w:after="240"/>
        <w:rPr>
          <w:i/>
          <w:iCs/>
          <w:color w:val="000000"/>
          <w:szCs w:val="22"/>
          <w:lang w:val="fr-FR"/>
        </w:rPr>
      </w:pPr>
      <w:r>
        <w:rPr>
          <w:i/>
          <w:iCs/>
          <w:color w:val="000000"/>
          <w:szCs w:val="22"/>
          <w:lang w:val="fr-FR"/>
        </w:rPr>
        <w:t xml:space="preserve">Collèges et écoles  </w:t>
      </w:r>
    </w:p>
    <w:tbl>
      <w:tblPr>
        <w:tblW w:w="9299" w:type="dxa"/>
        <w:jc w:val="center"/>
        <w:tblLayout w:type="fixed"/>
        <w:tblCellMar>
          <w:left w:w="68" w:type="dxa"/>
          <w:right w:w="68" w:type="dxa"/>
        </w:tblCellMar>
        <w:tblLook w:val="0000" w:firstRow="0" w:lastRow="0" w:firstColumn="0" w:lastColumn="0" w:noHBand="0" w:noVBand="0"/>
      </w:tblPr>
      <w:tblGrid>
        <w:gridCol w:w="6063"/>
        <w:gridCol w:w="1683"/>
        <w:gridCol w:w="1553"/>
      </w:tblGrid>
      <w:tr w:rsidR="00000000">
        <w:tblPrEx>
          <w:tblCellMar>
            <w:top w:w="0" w:type="dxa"/>
            <w:bottom w:w="0" w:type="dxa"/>
          </w:tblCellMar>
        </w:tblPrEx>
        <w:trPr>
          <w:jc w:val="center"/>
        </w:trPr>
        <w:tc>
          <w:tcPr>
            <w:tcW w:w="606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de musique "César Verrait" </w:t>
            </w:r>
          </w:p>
        </w:tc>
        <w:tc>
          <w:tcPr>
            <w:tcW w:w="168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Cotopaxi </w:t>
            </w:r>
          </w:p>
        </w:tc>
        <w:tc>
          <w:tcPr>
            <w:tcW w:w="155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Latacunga  </w:t>
            </w:r>
          </w:p>
        </w:tc>
      </w:tr>
      <w:tr w:rsidR="00000000">
        <w:tblPrEx>
          <w:tblCellMar>
            <w:top w:w="0" w:type="dxa"/>
            <w:bottom w:w="0" w:type="dxa"/>
          </w:tblCellMar>
        </w:tblPrEx>
        <w:trPr>
          <w:jc w:val="center"/>
        </w:trPr>
        <w:tc>
          <w:tcPr>
            <w:tcW w:w="606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de musique "Juan Bautista Vásquez" </w:t>
            </w:r>
          </w:p>
        </w:tc>
        <w:tc>
          <w:tcPr>
            <w:tcW w:w="168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Cañar </w:t>
            </w:r>
          </w:p>
        </w:tc>
        <w:tc>
          <w:tcPr>
            <w:tcW w:w="155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Azoguez  </w:t>
            </w:r>
          </w:p>
        </w:tc>
      </w:tr>
      <w:tr w:rsidR="00000000">
        <w:tblPrEx>
          <w:tblCellMar>
            <w:top w:w="0" w:type="dxa"/>
            <w:bottom w:w="0" w:type="dxa"/>
          </w:tblCellMar>
        </w:tblPrEx>
        <w:trPr>
          <w:jc w:val="center"/>
        </w:trPr>
        <w:tc>
          <w:tcPr>
            <w:tcW w:w="606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de musique "Rodrigo Barreno" </w:t>
            </w:r>
          </w:p>
        </w:tc>
        <w:tc>
          <w:tcPr>
            <w:tcW w:w="168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Chimborazo </w:t>
            </w:r>
          </w:p>
        </w:tc>
        <w:tc>
          <w:tcPr>
            <w:tcW w:w="155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Químiag  </w:t>
            </w:r>
          </w:p>
        </w:tc>
      </w:tr>
      <w:tr w:rsidR="00000000">
        <w:tblPrEx>
          <w:tblCellMar>
            <w:top w:w="0" w:type="dxa"/>
            <w:bottom w:w="0" w:type="dxa"/>
          </w:tblCellMar>
        </w:tblPrEx>
        <w:trPr>
          <w:jc w:val="center"/>
        </w:trPr>
        <w:tc>
          <w:tcPr>
            <w:tcW w:w="606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de musique "Luis Humberto Salgado Torres" </w:t>
            </w:r>
          </w:p>
        </w:tc>
        <w:tc>
          <w:tcPr>
            <w:tcW w:w="168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Pichincha </w:t>
            </w:r>
          </w:p>
        </w:tc>
        <w:tc>
          <w:tcPr>
            <w:tcW w:w="155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Amaguaña  </w:t>
            </w:r>
          </w:p>
        </w:tc>
      </w:tr>
      <w:tr w:rsidR="00000000">
        <w:tblPrEx>
          <w:tblCellMar>
            <w:top w:w="0" w:type="dxa"/>
            <w:bottom w:w="0" w:type="dxa"/>
          </w:tblCellMar>
        </w:tblPrEx>
        <w:trPr>
          <w:jc w:val="center"/>
        </w:trPr>
        <w:tc>
          <w:tcPr>
            <w:tcW w:w="606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privé de musique "Teodora  Lucaciu " </w:t>
            </w:r>
          </w:p>
        </w:tc>
        <w:tc>
          <w:tcPr>
            <w:tcW w:w="168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El Oro</w:t>
            </w:r>
          </w:p>
        </w:tc>
        <w:tc>
          <w:tcPr>
            <w:tcW w:w="155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Machala  </w:t>
            </w:r>
          </w:p>
        </w:tc>
      </w:tr>
      <w:tr w:rsidR="00000000">
        <w:tblPrEx>
          <w:tblCellMar>
            <w:top w:w="0" w:type="dxa"/>
            <w:bottom w:w="0" w:type="dxa"/>
          </w:tblCellMar>
        </w:tblPrEx>
        <w:trPr>
          <w:jc w:val="center"/>
        </w:trPr>
        <w:tc>
          <w:tcPr>
            <w:tcW w:w="606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national technique "San Lorenzo " </w:t>
            </w:r>
          </w:p>
        </w:tc>
        <w:tc>
          <w:tcPr>
            <w:tcW w:w="168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Bolivar </w:t>
            </w:r>
          </w:p>
        </w:tc>
        <w:tc>
          <w:tcPr>
            <w:tcW w:w="155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Guaranda  </w:t>
            </w:r>
          </w:p>
        </w:tc>
      </w:tr>
      <w:tr w:rsidR="00000000">
        <w:tblPrEx>
          <w:tblCellMar>
            <w:top w:w="0" w:type="dxa"/>
            <w:bottom w:w="0" w:type="dxa"/>
          </w:tblCellMar>
        </w:tblPrEx>
        <w:trPr>
          <w:jc w:val="center"/>
        </w:trPr>
        <w:tc>
          <w:tcPr>
            <w:tcW w:w="606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de musique "Juan Esteban Cordero" du SI.NA.MU.NE.  </w:t>
            </w:r>
          </w:p>
        </w:tc>
        <w:tc>
          <w:tcPr>
            <w:tcW w:w="168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Pichincha </w:t>
            </w:r>
          </w:p>
        </w:tc>
        <w:tc>
          <w:tcPr>
            <w:tcW w:w="155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Quito  </w:t>
            </w:r>
          </w:p>
        </w:tc>
      </w:tr>
      <w:tr w:rsidR="00000000">
        <w:tblPrEx>
          <w:tblCellMar>
            <w:top w:w="0" w:type="dxa"/>
            <w:bottom w:w="0" w:type="dxa"/>
          </w:tblCellMar>
        </w:tblPrEx>
        <w:trPr>
          <w:jc w:val="center"/>
        </w:trPr>
        <w:tc>
          <w:tcPr>
            <w:tcW w:w="606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des Beaux-Arts </w:t>
            </w:r>
          </w:p>
        </w:tc>
        <w:tc>
          <w:tcPr>
            <w:tcW w:w="168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Esmeraldas </w:t>
            </w:r>
          </w:p>
        </w:tc>
        <w:tc>
          <w:tcPr>
            <w:tcW w:w="155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Esmeraldas</w:t>
            </w:r>
          </w:p>
        </w:tc>
      </w:tr>
      <w:tr w:rsidR="00000000">
        <w:tblPrEx>
          <w:tblCellMar>
            <w:top w:w="0" w:type="dxa"/>
            <w:bottom w:w="0" w:type="dxa"/>
          </w:tblCellMar>
        </w:tblPrEx>
        <w:trPr>
          <w:jc w:val="center"/>
        </w:trPr>
        <w:tc>
          <w:tcPr>
            <w:tcW w:w="606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École de musique "Wolfgang  À.  Mozart "</w:t>
            </w:r>
          </w:p>
        </w:tc>
        <w:tc>
          <w:tcPr>
            <w:tcW w:w="168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Pichincha </w:t>
            </w:r>
          </w:p>
        </w:tc>
        <w:tc>
          <w:tcPr>
            <w:tcW w:w="155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Quito  </w:t>
            </w:r>
          </w:p>
        </w:tc>
      </w:tr>
      <w:tr w:rsidR="00000000">
        <w:tblPrEx>
          <w:tblCellMar>
            <w:top w:w="0" w:type="dxa"/>
            <w:bottom w:w="0" w:type="dxa"/>
          </w:tblCellMar>
        </w:tblPrEx>
        <w:trPr>
          <w:jc w:val="center"/>
        </w:trPr>
        <w:tc>
          <w:tcPr>
            <w:tcW w:w="606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École de musique "Gerardo  Alzamora  Vela" (CCE-Carchi ) </w:t>
            </w:r>
          </w:p>
        </w:tc>
        <w:tc>
          <w:tcPr>
            <w:tcW w:w="168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Carchi </w:t>
            </w:r>
          </w:p>
        </w:tc>
        <w:tc>
          <w:tcPr>
            <w:tcW w:w="155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Tulcán  </w:t>
            </w:r>
          </w:p>
        </w:tc>
      </w:tr>
      <w:tr w:rsidR="00000000">
        <w:tblPrEx>
          <w:tblCellMar>
            <w:top w:w="0" w:type="dxa"/>
            <w:bottom w:w="0" w:type="dxa"/>
          </w:tblCellMar>
        </w:tblPrEx>
        <w:trPr>
          <w:jc w:val="center"/>
        </w:trPr>
        <w:tc>
          <w:tcPr>
            <w:tcW w:w="606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de musique "Antonio Jesus Hidalgo" </w:t>
            </w:r>
          </w:p>
        </w:tc>
        <w:tc>
          <w:tcPr>
            <w:tcW w:w="168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El Oro </w:t>
            </w:r>
          </w:p>
        </w:tc>
        <w:tc>
          <w:tcPr>
            <w:tcW w:w="155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Machala  </w:t>
            </w:r>
          </w:p>
        </w:tc>
      </w:tr>
      <w:tr w:rsidR="00000000">
        <w:tblPrEx>
          <w:tblCellMar>
            <w:top w:w="0" w:type="dxa"/>
            <w:bottom w:w="0" w:type="dxa"/>
          </w:tblCellMar>
        </w:tblPrEx>
        <w:trPr>
          <w:jc w:val="center"/>
        </w:trPr>
        <w:tc>
          <w:tcPr>
            <w:tcW w:w="606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École de musique des forces armées </w:t>
            </w:r>
          </w:p>
        </w:tc>
        <w:tc>
          <w:tcPr>
            <w:tcW w:w="168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Pichincha </w:t>
            </w:r>
          </w:p>
        </w:tc>
        <w:tc>
          <w:tcPr>
            <w:tcW w:w="1553"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Quito  </w:t>
            </w:r>
          </w:p>
        </w:tc>
      </w:tr>
    </w:tbl>
    <w:p w:rsidR="00000000" w:rsidRDefault="00000000">
      <w:pPr>
        <w:autoSpaceDE w:val="0"/>
        <w:autoSpaceDN w:val="0"/>
        <w:adjustRightInd w:val="0"/>
        <w:spacing w:before="240" w:after="240"/>
        <w:rPr>
          <w:b/>
          <w:bCs/>
          <w:color w:val="000000"/>
          <w:szCs w:val="22"/>
          <w:lang w:val="fr-FR"/>
        </w:rPr>
      </w:pPr>
      <w:r>
        <w:rPr>
          <w:b/>
          <w:bCs/>
          <w:color w:val="000000"/>
          <w:szCs w:val="22"/>
          <w:lang w:val="fr-FR"/>
        </w:rPr>
        <w:t xml:space="preserve">Secteur Danse  </w:t>
      </w:r>
    </w:p>
    <w:p w:rsidR="00000000" w:rsidRDefault="00000000">
      <w:pPr>
        <w:autoSpaceDE w:val="0"/>
        <w:autoSpaceDN w:val="0"/>
        <w:adjustRightInd w:val="0"/>
        <w:spacing w:after="240"/>
        <w:rPr>
          <w:i/>
          <w:iCs/>
          <w:color w:val="000000"/>
          <w:szCs w:val="22"/>
          <w:lang w:val="fr-FR"/>
        </w:rPr>
      </w:pPr>
      <w:r>
        <w:rPr>
          <w:i/>
          <w:iCs/>
          <w:color w:val="000000"/>
          <w:szCs w:val="22"/>
          <w:lang w:val="fr-FR"/>
        </w:rPr>
        <w:t xml:space="preserve">Instituts et collèges  </w:t>
      </w:r>
    </w:p>
    <w:tbl>
      <w:tblPr>
        <w:tblW w:w="9299" w:type="dxa"/>
        <w:jc w:val="center"/>
        <w:tblLayout w:type="fixed"/>
        <w:tblCellMar>
          <w:left w:w="68" w:type="dxa"/>
          <w:right w:w="68" w:type="dxa"/>
        </w:tblCellMar>
        <w:tblLook w:val="0000" w:firstRow="0" w:lastRow="0" w:firstColumn="0" w:lastColumn="0" w:noHBand="0" w:noVBand="0"/>
      </w:tblPr>
      <w:tblGrid>
        <w:gridCol w:w="6060"/>
        <w:gridCol w:w="1666"/>
        <w:gridCol w:w="1573"/>
      </w:tblGrid>
      <w:tr w:rsidR="00000000">
        <w:tblPrEx>
          <w:tblCellMar>
            <w:top w:w="0" w:type="dxa"/>
            <w:bottom w:w="0" w:type="dxa"/>
          </w:tblCellMar>
        </w:tblPrEx>
        <w:trPr>
          <w:jc w:val="center"/>
        </w:trPr>
        <w:tc>
          <w:tcPr>
            <w:tcW w:w="6188"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Institut de danse "Raymond  Maugé " </w:t>
            </w:r>
          </w:p>
        </w:tc>
        <w:tc>
          <w:tcPr>
            <w:tcW w:w="1699"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Guayas </w:t>
            </w:r>
          </w:p>
        </w:tc>
        <w:tc>
          <w:tcPr>
            <w:tcW w:w="1604"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Guayaquil  </w:t>
            </w:r>
          </w:p>
        </w:tc>
      </w:tr>
      <w:tr w:rsidR="00000000">
        <w:tblPrEx>
          <w:tblCellMar>
            <w:top w:w="0" w:type="dxa"/>
            <w:bottom w:w="0" w:type="dxa"/>
          </w:tblCellMar>
        </w:tblPrEx>
        <w:trPr>
          <w:jc w:val="center"/>
        </w:trPr>
        <w:tc>
          <w:tcPr>
            <w:tcW w:w="6188"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Institut supérieur de danse </w:t>
            </w:r>
          </w:p>
        </w:tc>
        <w:tc>
          <w:tcPr>
            <w:tcW w:w="1699"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Pichincha </w:t>
            </w:r>
          </w:p>
        </w:tc>
        <w:tc>
          <w:tcPr>
            <w:tcW w:w="1604"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Quito  </w:t>
            </w:r>
          </w:p>
        </w:tc>
      </w:tr>
      <w:tr w:rsidR="00000000">
        <w:tblPrEx>
          <w:tblCellMar>
            <w:top w:w="0" w:type="dxa"/>
            <w:bottom w:w="0" w:type="dxa"/>
          </w:tblCellMar>
        </w:tblPrEx>
        <w:trPr>
          <w:jc w:val="center"/>
        </w:trPr>
        <w:tc>
          <w:tcPr>
            <w:tcW w:w="6188"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Conservatoire subventionné de musique, danse et</w:t>
            </w:r>
            <w:r>
              <w:rPr>
                <w:color w:val="000000"/>
                <w:sz w:val="21"/>
                <w:szCs w:val="22"/>
                <w:lang w:val="fr-FR"/>
              </w:rPr>
              <w:br/>
              <w:t xml:space="preserve">théâtre "La Merced" </w:t>
            </w:r>
          </w:p>
        </w:tc>
        <w:tc>
          <w:tcPr>
            <w:tcW w:w="1699"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Tungurahua </w:t>
            </w:r>
          </w:p>
        </w:tc>
        <w:tc>
          <w:tcPr>
            <w:tcW w:w="1604"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Ambato  </w:t>
            </w:r>
          </w:p>
        </w:tc>
      </w:tr>
    </w:tbl>
    <w:p w:rsidR="00000000" w:rsidRDefault="00000000">
      <w:pPr>
        <w:autoSpaceDE w:val="0"/>
        <w:autoSpaceDN w:val="0"/>
        <w:adjustRightInd w:val="0"/>
        <w:spacing w:before="240" w:after="240"/>
        <w:rPr>
          <w:b/>
          <w:bCs/>
          <w:color w:val="000000"/>
          <w:szCs w:val="22"/>
          <w:lang w:val="fr-FR"/>
        </w:rPr>
      </w:pPr>
      <w:r>
        <w:rPr>
          <w:b/>
          <w:bCs/>
          <w:color w:val="000000"/>
          <w:szCs w:val="22"/>
          <w:lang w:val="fr-FR"/>
        </w:rPr>
        <w:t xml:space="preserve">Secteur Arts Plastiques  </w:t>
      </w:r>
    </w:p>
    <w:p w:rsidR="00000000" w:rsidRDefault="00000000">
      <w:pPr>
        <w:autoSpaceDE w:val="0"/>
        <w:autoSpaceDN w:val="0"/>
        <w:adjustRightInd w:val="0"/>
        <w:spacing w:after="240"/>
        <w:rPr>
          <w:i/>
          <w:iCs/>
          <w:color w:val="000000"/>
          <w:szCs w:val="22"/>
          <w:lang w:val="fr-FR"/>
        </w:rPr>
      </w:pPr>
      <w:r>
        <w:rPr>
          <w:i/>
          <w:iCs/>
          <w:color w:val="000000"/>
          <w:szCs w:val="22"/>
          <w:lang w:val="fr-FR"/>
        </w:rPr>
        <w:t xml:space="preserve">Instituts et collèges  </w:t>
      </w:r>
    </w:p>
    <w:tbl>
      <w:tblPr>
        <w:tblW w:w="9299" w:type="dxa"/>
        <w:jc w:val="center"/>
        <w:tblLayout w:type="fixed"/>
        <w:tblCellMar>
          <w:left w:w="68" w:type="dxa"/>
          <w:right w:w="68" w:type="dxa"/>
        </w:tblCellMar>
        <w:tblLook w:val="0000" w:firstRow="0" w:lastRow="0" w:firstColumn="0" w:lastColumn="0" w:noHBand="0" w:noVBand="0"/>
      </w:tblPr>
      <w:tblGrid>
        <w:gridCol w:w="6031"/>
        <w:gridCol w:w="1652"/>
        <w:gridCol w:w="1616"/>
      </w:tblGrid>
      <w:tr w:rsidR="00000000">
        <w:tblPrEx>
          <w:tblCellMar>
            <w:top w:w="0" w:type="dxa"/>
            <w:bottom w:w="0" w:type="dxa"/>
          </w:tblCellMar>
        </w:tblPrEx>
        <w:trPr>
          <w:jc w:val="center"/>
        </w:trPr>
        <w:tc>
          <w:tcPr>
            <w:tcW w:w="6031"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Institut supérieur "Daniel  Reyes"</w:t>
            </w:r>
          </w:p>
        </w:tc>
        <w:tc>
          <w:tcPr>
            <w:tcW w:w="1652"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Imbabura </w:t>
            </w:r>
          </w:p>
        </w:tc>
        <w:tc>
          <w:tcPr>
            <w:tcW w:w="1616"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Ibarra  </w:t>
            </w:r>
          </w:p>
        </w:tc>
      </w:tr>
      <w:tr w:rsidR="00000000">
        <w:tblPrEx>
          <w:tblCellMar>
            <w:top w:w="0" w:type="dxa"/>
            <w:bottom w:w="0" w:type="dxa"/>
          </w:tblCellMar>
        </w:tblPrEx>
        <w:trPr>
          <w:jc w:val="center"/>
        </w:trPr>
        <w:tc>
          <w:tcPr>
            <w:tcW w:w="6031"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Institut supérieur "Juan Jose Plaza" </w:t>
            </w:r>
          </w:p>
        </w:tc>
        <w:tc>
          <w:tcPr>
            <w:tcW w:w="1652"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Guayas </w:t>
            </w:r>
          </w:p>
        </w:tc>
        <w:tc>
          <w:tcPr>
            <w:tcW w:w="1616"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Guayaquil  </w:t>
            </w:r>
          </w:p>
        </w:tc>
      </w:tr>
      <w:tr w:rsidR="00000000">
        <w:tblPrEx>
          <w:tblCellMar>
            <w:top w:w="0" w:type="dxa"/>
            <w:bottom w:w="0" w:type="dxa"/>
          </w:tblCellMar>
        </w:tblPrEx>
        <w:trPr>
          <w:jc w:val="center"/>
        </w:trPr>
        <w:tc>
          <w:tcPr>
            <w:tcW w:w="6031"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d'arts plastiques "Tohalí " </w:t>
            </w:r>
          </w:p>
        </w:tc>
        <w:tc>
          <w:tcPr>
            <w:tcW w:w="1652"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Manabí </w:t>
            </w:r>
          </w:p>
        </w:tc>
        <w:tc>
          <w:tcPr>
            <w:tcW w:w="1616"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Manta</w:t>
            </w:r>
          </w:p>
        </w:tc>
      </w:tr>
      <w:tr w:rsidR="00000000">
        <w:tblPrEx>
          <w:tblCellMar>
            <w:top w:w="0" w:type="dxa"/>
            <w:bottom w:w="0" w:type="dxa"/>
          </w:tblCellMar>
        </w:tblPrEx>
        <w:trPr>
          <w:jc w:val="center"/>
        </w:trPr>
        <w:tc>
          <w:tcPr>
            <w:tcW w:w="6031"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d'arts plastiques "La Pila" </w:t>
            </w:r>
          </w:p>
        </w:tc>
        <w:tc>
          <w:tcPr>
            <w:tcW w:w="1652"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Manabí </w:t>
            </w:r>
          </w:p>
        </w:tc>
        <w:tc>
          <w:tcPr>
            <w:tcW w:w="1616"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Montecristi  </w:t>
            </w:r>
          </w:p>
        </w:tc>
      </w:tr>
      <w:tr w:rsidR="00000000">
        <w:tblPrEx>
          <w:tblCellMar>
            <w:top w:w="0" w:type="dxa"/>
            <w:bottom w:w="0" w:type="dxa"/>
          </w:tblCellMar>
        </w:tblPrEx>
        <w:trPr>
          <w:jc w:val="center"/>
        </w:trPr>
        <w:tc>
          <w:tcPr>
            <w:tcW w:w="6031"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"Ciudad de Portovelo " </w:t>
            </w:r>
          </w:p>
        </w:tc>
        <w:tc>
          <w:tcPr>
            <w:tcW w:w="1652"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El Oro </w:t>
            </w:r>
          </w:p>
        </w:tc>
        <w:tc>
          <w:tcPr>
            <w:tcW w:w="1616"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Portovelo  </w:t>
            </w:r>
          </w:p>
        </w:tc>
      </w:tr>
      <w:tr w:rsidR="00000000">
        <w:tblPrEx>
          <w:tblCellMar>
            <w:top w:w="0" w:type="dxa"/>
            <w:bottom w:w="0" w:type="dxa"/>
          </w:tblCellMar>
        </w:tblPrEx>
        <w:trPr>
          <w:jc w:val="center"/>
        </w:trPr>
        <w:tc>
          <w:tcPr>
            <w:tcW w:w="6031"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"Miguel Angel Leon Ponton" </w:t>
            </w:r>
          </w:p>
        </w:tc>
        <w:tc>
          <w:tcPr>
            <w:tcW w:w="1652"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Chimborazo </w:t>
            </w:r>
          </w:p>
        </w:tc>
        <w:tc>
          <w:tcPr>
            <w:tcW w:w="1616"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Riobamba  </w:t>
            </w:r>
          </w:p>
        </w:tc>
      </w:tr>
      <w:tr w:rsidR="00000000">
        <w:tblPrEx>
          <w:tblCellMar>
            <w:top w:w="0" w:type="dxa"/>
            <w:bottom w:w="0" w:type="dxa"/>
          </w:tblCellMar>
        </w:tblPrEx>
        <w:trPr>
          <w:jc w:val="center"/>
        </w:trPr>
        <w:tc>
          <w:tcPr>
            <w:tcW w:w="6031"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Casa de la Cultura </w:t>
            </w:r>
          </w:p>
        </w:tc>
        <w:tc>
          <w:tcPr>
            <w:tcW w:w="1652"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Los Ríos </w:t>
            </w:r>
          </w:p>
        </w:tc>
        <w:tc>
          <w:tcPr>
            <w:tcW w:w="1616"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Babahoyo  </w:t>
            </w:r>
          </w:p>
        </w:tc>
      </w:tr>
      <w:tr w:rsidR="00000000">
        <w:tblPrEx>
          <w:tblCellMar>
            <w:top w:w="0" w:type="dxa"/>
            <w:bottom w:w="0" w:type="dxa"/>
          </w:tblCellMar>
        </w:tblPrEx>
        <w:trPr>
          <w:jc w:val="center"/>
        </w:trPr>
        <w:tc>
          <w:tcPr>
            <w:tcW w:w="6031"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"José Peralta " </w:t>
            </w:r>
          </w:p>
        </w:tc>
        <w:tc>
          <w:tcPr>
            <w:tcW w:w="1652"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Cañar </w:t>
            </w:r>
          </w:p>
        </w:tc>
        <w:tc>
          <w:tcPr>
            <w:tcW w:w="1616"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Azogues </w:t>
            </w:r>
          </w:p>
        </w:tc>
      </w:tr>
      <w:tr w:rsidR="00000000">
        <w:tblPrEx>
          <w:tblCellMar>
            <w:top w:w="0" w:type="dxa"/>
            <w:bottom w:w="0" w:type="dxa"/>
          </w:tblCellMar>
        </w:tblPrEx>
        <w:trPr>
          <w:jc w:val="center"/>
        </w:trPr>
        <w:tc>
          <w:tcPr>
            <w:tcW w:w="6031"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"Virgilio Abarca Montesinos" </w:t>
            </w:r>
          </w:p>
        </w:tc>
        <w:tc>
          <w:tcPr>
            <w:tcW w:w="1652"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Loja </w:t>
            </w:r>
          </w:p>
        </w:tc>
        <w:tc>
          <w:tcPr>
            <w:tcW w:w="1616"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Saraguro  </w:t>
            </w:r>
          </w:p>
        </w:tc>
      </w:tr>
      <w:tr w:rsidR="00000000">
        <w:tblPrEx>
          <w:tblCellMar>
            <w:top w:w="0" w:type="dxa"/>
            <w:bottom w:w="0" w:type="dxa"/>
          </w:tblCellMar>
        </w:tblPrEx>
        <w:trPr>
          <w:jc w:val="center"/>
        </w:trPr>
        <w:tc>
          <w:tcPr>
            <w:tcW w:w="6031"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de Beaux-Arts </w:t>
            </w:r>
          </w:p>
        </w:tc>
        <w:tc>
          <w:tcPr>
            <w:tcW w:w="1652"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Esmeraldas </w:t>
            </w:r>
          </w:p>
        </w:tc>
        <w:tc>
          <w:tcPr>
            <w:tcW w:w="1616"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Esmeraldas  </w:t>
            </w:r>
          </w:p>
        </w:tc>
      </w:tr>
      <w:tr w:rsidR="00000000">
        <w:tblPrEx>
          <w:tblCellMar>
            <w:top w:w="0" w:type="dxa"/>
            <w:bottom w:w="0" w:type="dxa"/>
          </w:tblCellMar>
        </w:tblPrEx>
        <w:trPr>
          <w:jc w:val="center"/>
        </w:trPr>
        <w:tc>
          <w:tcPr>
            <w:tcW w:w="6031"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d'arts plastiques de l'Université centrale de l'Équateur </w:t>
            </w:r>
          </w:p>
        </w:tc>
        <w:tc>
          <w:tcPr>
            <w:tcW w:w="1652"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Pichincha </w:t>
            </w:r>
          </w:p>
        </w:tc>
        <w:tc>
          <w:tcPr>
            <w:tcW w:w="1616"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Quito  </w:t>
            </w:r>
          </w:p>
        </w:tc>
      </w:tr>
      <w:tr w:rsidR="00000000">
        <w:tblPrEx>
          <w:tblCellMar>
            <w:top w:w="0" w:type="dxa"/>
            <w:bottom w:w="0" w:type="dxa"/>
          </w:tblCellMar>
        </w:tblPrEx>
        <w:trPr>
          <w:jc w:val="center"/>
        </w:trPr>
        <w:tc>
          <w:tcPr>
            <w:tcW w:w="6031"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Collège "Matilde Hidalgo de Prócel " </w:t>
            </w:r>
          </w:p>
        </w:tc>
        <w:tc>
          <w:tcPr>
            <w:tcW w:w="1652"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El Oro</w:t>
            </w:r>
          </w:p>
        </w:tc>
        <w:tc>
          <w:tcPr>
            <w:tcW w:w="1616" w:type="dxa"/>
          </w:tcPr>
          <w:p w:rsidR="00000000" w:rsidRDefault="00000000">
            <w:pPr>
              <w:autoSpaceDE w:val="0"/>
              <w:autoSpaceDN w:val="0"/>
              <w:adjustRightInd w:val="0"/>
              <w:spacing w:before="40" w:after="40"/>
              <w:rPr>
                <w:color w:val="000000"/>
                <w:sz w:val="21"/>
                <w:szCs w:val="22"/>
                <w:lang w:val="fr-FR"/>
              </w:rPr>
            </w:pPr>
            <w:r>
              <w:rPr>
                <w:color w:val="000000"/>
                <w:sz w:val="21"/>
                <w:szCs w:val="22"/>
                <w:lang w:val="fr-FR"/>
              </w:rPr>
              <w:t xml:space="preserve">Machala  </w:t>
            </w:r>
          </w:p>
        </w:tc>
      </w:tr>
    </w:tbl>
    <w:p w:rsidR="00000000" w:rsidRDefault="00000000">
      <w:pPr>
        <w:spacing w:after="240"/>
        <w:rPr>
          <w:iCs/>
          <w:lang w:val="fr-FR"/>
        </w:rPr>
      </w:pPr>
    </w:p>
    <w:p w:rsidR="00000000" w:rsidRDefault="00000000">
      <w:pPr>
        <w:spacing w:after="240"/>
        <w:rPr>
          <w:iCs/>
          <w:lang w:val="fr-FR"/>
        </w:rPr>
      </w:pPr>
      <w:r>
        <w:rPr>
          <w:iCs/>
          <w:lang w:val="fr-FR"/>
        </w:rPr>
        <w:t>576.</w:t>
      </w:r>
      <w:r>
        <w:rPr>
          <w:iCs/>
          <w:lang w:val="fr-FR"/>
        </w:rPr>
        <w:tab/>
        <w:t>Le Programme national Nouvelle orientation culturelle (1996) est une institution du secteur public dont la mission est de contribuer à la réaffirmation de l'identité culturelle nationale, à partir de la reconnaissance de la diversité culturelle, et en valorisant et renforçant les diverses manifestations de la culture populaire.  Il a pour principales fonctions l'exécution de projets de développement culturel dans les secteurs urbains marginaux et dans les zones rurales du pays, et le travail de promotion culturelle sur le terrain, avec la participation active d’étudiants de niveau moyen et des communautés locales.</w:t>
      </w:r>
    </w:p>
    <w:p w:rsidR="00000000" w:rsidRDefault="00000000">
      <w:pPr>
        <w:spacing w:after="240"/>
        <w:rPr>
          <w:iCs/>
          <w:lang w:val="fr-FR"/>
        </w:rPr>
      </w:pPr>
      <w:r>
        <w:rPr>
          <w:iCs/>
          <w:lang w:val="fr-FR"/>
        </w:rPr>
        <w:t>577.</w:t>
      </w:r>
      <w:r>
        <w:rPr>
          <w:iCs/>
          <w:lang w:val="fr-FR"/>
        </w:rPr>
        <w:tab/>
        <w:t>Divers projets ont été conçus en vue de promouvoir les expressions artistiques et de renforcer les expressions culturelles communautaires : Centre de la mémoire, Équateur profond, Pépinière d'art, Richesse métisse et production de films vidéo culturels et éducatifs.</w:t>
      </w:r>
    </w:p>
    <w:p w:rsidR="00000000" w:rsidRDefault="00000000">
      <w:pPr>
        <w:spacing w:after="240"/>
        <w:rPr>
          <w:iCs/>
          <w:lang w:val="fr-FR"/>
        </w:rPr>
      </w:pPr>
      <w:r>
        <w:rPr>
          <w:iCs/>
          <w:lang w:val="fr-FR"/>
        </w:rPr>
        <w:t>578.</w:t>
      </w:r>
      <w:r>
        <w:rPr>
          <w:iCs/>
          <w:lang w:val="fr-FR"/>
        </w:rPr>
        <w:tab/>
        <w:t>Afin de former et de spécialiser des ressources humaines dans le secteur culturel, on s'efforce de mettre en œuvre le projet de création du centre de formation et de conseils en matière artistique et culturelle.</w:t>
      </w:r>
    </w:p>
    <w:p w:rsidR="00000000" w:rsidRDefault="00000000">
      <w:pPr>
        <w:spacing w:after="240"/>
        <w:rPr>
          <w:iCs/>
          <w:lang w:val="fr-FR"/>
        </w:rPr>
      </w:pPr>
      <w:r>
        <w:rPr>
          <w:iCs/>
          <w:lang w:val="fr-FR"/>
        </w:rPr>
        <w:t>579.</w:t>
      </w:r>
      <w:r>
        <w:rPr>
          <w:iCs/>
          <w:lang w:val="fr-FR"/>
        </w:rPr>
        <w:tab/>
        <w:t>Dans la Loi relative aux personnes âgées (</w:t>
      </w:r>
      <w:r>
        <w:rPr>
          <w:i/>
          <w:iCs/>
          <w:lang w:val="fr-FR"/>
        </w:rPr>
        <w:t>Journal officiel</w:t>
      </w:r>
      <w:r>
        <w:rPr>
          <w:iCs/>
          <w:lang w:val="fr-FR"/>
        </w:rPr>
        <w:t xml:space="preserve"> N° 806), l'article 5 spécifie, à propos du traitement que la société et l’État doivent accorder aux personnes âgées : "Les institutions des secteurs publics et privés offrent des facilités aux personnes âgées qui souhaitent participer aux activités sociales, culturelles, économiques, sportives, artistiques et scientifiques".</w:t>
      </w:r>
    </w:p>
    <w:p w:rsidR="00000000" w:rsidRDefault="00000000">
      <w:pPr>
        <w:spacing w:after="240"/>
        <w:rPr>
          <w:iCs/>
          <w:lang w:val="fr-FR"/>
        </w:rPr>
      </w:pPr>
      <w:r>
        <w:rPr>
          <w:iCs/>
          <w:lang w:val="fr-FR"/>
        </w:rPr>
        <w:t>580.</w:t>
      </w:r>
      <w:r>
        <w:rPr>
          <w:iCs/>
          <w:lang w:val="fr-FR"/>
        </w:rPr>
        <w:tab/>
        <w:t>La Loi relative aux personnes handicapées proclame les droits fondamentaux de ces personnes ainsi que le rôle qu'elles sont appelées à jouer au sein de la société, et pour lesquelles il convient de créer des conditions d'égalité des chances dans la production et la création artistiques, scientifiques et culturelles.</w:t>
      </w:r>
    </w:p>
    <w:p w:rsidR="00000000" w:rsidRDefault="00000000">
      <w:pPr>
        <w:spacing w:after="240"/>
        <w:rPr>
          <w:iCs/>
          <w:lang w:val="fr-FR"/>
        </w:rPr>
      </w:pPr>
      <w:r>
        <w:rPr>
          <w:iCs/>
          <w:lang w:val="fr-FR"/>
        </w:rPr>
        <w:t>581.</w:t>
      </w:r>
      <w:r>
        <w:rPr>
          <w:iCs/>
          <w:lang w:val="fr-FR"/>
        </w:rPr>
        <w:tab/>
        <w:t>La Constitution (septième section, sur la culture, art. 62 et 63) définit la culture comme le patrimoine du peuple et l'essence de son identité, et mentionne expressément la nécessité d'élaborer des politiques qui tendent à protéger l'ensemble des valeurs et manifestations diverses qui composent l'identité nationale, à la fois pluriculturelle est multi-ethnique, en se fondant sur les principes de l'équité et de l’égalité des diverses cultures nationales.</w:t>
      </w:r>
    </w:p>
    <w:p w:rsidR="00000000" w:rsidRDefault="00000000">
      <w:pPr>
        <w:spacing w:after="240"/>
        <w:rPr>
          <w:lang w:val="fr-FR"/>
        </w:rPr>
      </w:pPr>
      <w:r>
        <w:rPr>
          <w:i/>
          <w:lang w:val="fr-FR"/>
        </w:rPr>
        <w:t>Science et technologie</w:t>
      </w:r>
    </w:p>
    <w:p w:rsidR="00000000" w:rsidRDefault="00000000">
      <w:pPr>
        <w:spacing w:after="240"/>
        <w:rPr>
          <w:iCs/>
          <w:lang w:val="fr-FR"/>
        </w:rPr>
      </w:pPr>
      <w:r>
        <w:rPr>
          <w:iCs/>
          <w:lang w:val="fr-FR"/>
        </w:rPr>
        <w:t>582.</w:t>
      </w:r>
      <w:r>
        <w:rPr>
          <w:iCs/>
          <w:lang w:val="fr-FR"/>
        </w:rPr>
        <w:tab/>
        <w:t>La Constitution traite, dans son article 80, de la science et de la technologie : "L’État encourage la science et la technologie, en particulier à tous les niveaux de l'éducation, en tant que moyen d'améliorer la productivité, la gestion durable des ressources naturelles et de satisfaire les besoins essentiels de la population.  Il garantit la liberté des activités scientifiques et technologiques et la protection juridique de leurs résultats, ainsi que les connaissances ancestrales collectives.  La recherche scientifique est menée dans les universités, les écoles polytechniques, les instituts supérieurs techniques et technologiques et les centres de recherche scientifique, en coordination avec les secteurs productifs, le cas échéant, et avec l’organisme public compétent qu’institue la loi, laquelle régit aussi le statut du chercheur scientifique".</w:t>
      </w:r>
    </w:p>
    <w:p w:rsidR="00000000" w:rsidRDefault="00000000">
      <w:pPr>
        <w:spacing w:after="240"/>
        <w:rPr>
          <w:iCs/>
          <w:lang w:val="fr-FR"/>
        </w:rPr>
      </w:pPr>
      <w:r>
        <w:rPr>
          <w:iCs/>
          <w:lang w:val="fr-FR"/>
        </w:rPr>
        <w:t>583.</w:t>
      </w:r>
      <w:r>
        <w:rPr>
          <w:iCs/>
          <w:lang w:val="fr-FR"/>
        </w:rPr>
        <w:tab/>
        <w:t>Le Décret exécutif N° 1605 (</w:t>
      </w:r>
      <w:r>
        <w:rPr>
          <w:i/>
          <w:iCs/>
          <w:lang w:val="fr-FR"/>
        </w:rPr>
        <w:t>Journal officiel</w:t>
      </w:r>
      <w:r>
        <w:rPr>
          <w:iCs/>
          <w:lang w:val="fr-FR"/>
        </w:rPr>
        <w:t xml:space="preserve"> N° 416 du 8 avril 1994), instituant la Fondation de la science et de la technologie (FUNDACYT), définit les fonctions de cette dernière et son domaine de compétence en ce qui concerne la production et la diffusion des connaissances et de ses applications technologiques.</w:t>
      </w:r>
    </w:p>
    <w:p w:rsidR="00000000" w:rsidRDefault="00000000">
      <w:pPr>
        <w:spacing w:after="240"/>
        <w:rPr>
          <w:iCs/>
          <w:lang w:val="fr-FR"/>
        </w:rPr>
      </w:pPr>
      <w:r>
        <w:rPr>
          <w:iCs/>
          <w:lang w:val="fr-FR"/>
        </w:rPr>
        <w:t>584.</w:t>
      </w:r>
      <w:r>
        <w:rPr>
          <w:iCs/>
          <w:lang w:val="fr-FR"/>
        </w:rPr>
        <w:tab/>
        <w:t>Le Gouvernement équatorien considère comme fondamental de la question du cadre légal de la défense et de la protection de l'environnement.  En 1979, il y a adopté la Loi relative à la protection de l'environnement et, en 1996, il a créé le Ministère de l'environnement qui, depuis 1988, n'avait que le statut de Commission consultative pour l'environnement rattachée à la Présidence de la République.</w:t>
      </w:r>
    </w:p>
    <w:p w:rsidR="00000000" w:rsidRDefault="00000000">
      <w:pPr>
        <w:spacing w:after="240"/>
        <w:rPr>
          <w:iCs/>
          <w:lang w:val="fr-FR"/>
        </w:rPr>
      </w:pPr>
      <w:r>
        <w:rPr>
          <w:iCs/>
          <w:lang w:val="fr-FR"/>
        </w:rPr>
        <w:t>585.</w:t>
      </w:r>
      <w:r>
        <w:rPr>
          <w:iCs/>
          <w:lang w:val="fr-FR"/>
        </w:rPr>
        <w:tab/>
        <w:t>La création de la Fondation de la science et de la technologie a été suivie de l'instauration du Système national de la science et de la technologie, qui travaille en collaboration avec les universités et les écoles polytechniques qui font partie du CONUEP, avec leurs centres respectifs de production et dégroupage de technologie et d'autres entités du secteur privé qui s'emploient à satisfaire les besoins de recherche des entreprises du pays, conformément aux termes des décrets pertinents.</w:t>
      </w:r>
    </w:p>
    <w:p w:rsidR="00000000" w:rsidRDefault="00000000">
      <w:pPr>
        <w:spacing w:after="240"/>
        <w:rPr>
          <w:iCs/>
          <w:lang w:val="fr-FR"/>
        </w:rPr>
      </w:pPr>
      <w:r>
        <w:rPr>
          <w:iCs/>
          <w:lang w:val="fr-FR"/>
        </w:rPr>
        <w:t>586.</w:t>
      </w:r>
      <w:r>
        <w:rPr>
          <w:iCs/>
          <w:lang w:val="fr-FR"/>
        </w:rPr>
        <w:tab/>
        <w:t>Le Décret exécutif N° 1603 (</w:t>
      </w:r>
      <w:r>
        <w:rPr>
          <w:i/>
          <w:iCs/>
          <w:lang w:val="fr-FR"/>
        </w:rPr>
        <w:t>Journal officiel</w:t>
      </w:r>
      <w:r>
        <w:rPr>
          <w:iCs/>
          <w:lang w:val="fr-FR"/>
        </w:rPr>
        <w:t xml:space="preserve"> N° 413 du 5 avril 1994) réorganise le Système national de la science et de la technologie et crée le Secrétariat national de la science et de la technologie, rattaché à la Vice-présidence de la République, en tant qu'organisme dirigeant du Système national de la science et de la technologie, dirigé par le Secrétaire national de la science et de la technologie qui est nommé par le Président de la République.</w:t>
      </w:r>
    </w:p>
    <w:p w:rsidR="00000000" w:rsidRDefault="00000000">
      <w:pPr>
        <w:spacing w:after="240"/>
        <w:rPr>
          <w:iCs/>
          <w:lang w:val="fr-FR"/>
        </w:rPr>
      </w:pPr>
      <w:r>
        <w:rPr>
          <w:iCs/>
          <w:lang w:val="fr-FR"/>
        </w:rPr>
        <w:t>587.</w:t>
      </w:r>
      <w:r>
        <w:rPr>
          <w:iCs/>
          <w:lang w:val="fr-FR"/>
        </w:rPr>
        <w:tab/>
        <w:t>Il convient de noter le travail réalisé par le Bureau de la coordination scientifique de l'Université centrale dans la mise au point de projets de recherche dans les différents facultés, écoles et instituts post-universitaires au service des secteurs productifs et les travaux d’instituts de recherche dans des domaines tels que l'agriculture, avec l’INIAP qui, dans le cadre du Plan d'action, se veut l’instrument dynamique de la transformation du secteur agro-industriel de la nation, et l’Institut océanographique de la Marine (INOCAR) dans la recherche aquicole.</w:t>
      </w:r>
    </w:p>
    <w:p w:rsidR="00000000" w:rsidRDefault="00000000">
      <w:pPr>
        <w:spacing w:after="240"/>
        <w:rPr>
          <w:lang w:val="fr-FR"/>
        </w:rPr>
      </w:pPr>
      <w:r>
        <w:rPr>
          <w:iCs/>
          <w:lang w:val="fr-FR"/>
        </w:rPr>
        <w:t>588.</w:t>
      </w:r>
      <w:r>
        <w:rPr>
          <w:iCs/>
          <w:lang w:val="fr-FR"/>
        </w:rPr>
        <w:tab/>
        <w:t xml:space="preserve">Chacun de ces centres et instituts diffusent l'information sur les progrès scientifiques à travers différents moyens : la Fondation pour la science et la technologie publie une revue périodique destinée à la communauté scientifique nationale et internationale et dispose d'une page Web.  Il en est de même de tous les autres centres de recherche.  L'Université centrale publie une revue centenaire </w:t>
      </w:r>
      <w:r>
        <w:rPr>
          <w:i/>
          <w:lang w:val="fr-FR"/>
        </w:rPr>
        <w:t>Anales</w:t>
      </w:r>
      <w:r>
        <w:rPr>
          <w:lang w:val="fr-FR"/>
        </w:rPr>
        <w:t>, qui est une des plus importantes publications scientifiques du pays.</w:t>
      </w:r>
    </w:p>
    <w:p w:rsidR="00000000" w:rsidRDefault="00000000">
      <w:pPr>
        <w:spacing w:after="240"/>
        <w:rPr>
          <w:iCs/>
          <w:lang w:val="fr-FR"/>
        </w:rPr>
      </w:pPr>
      <w:r>
        <w:rPr>
          <w:i/>
          <w:iCs/>
          <w:lang w:val="fr-FR"/>
        </w:rPr>
        <w:t>Propriété intellectuelle</w:t>
      </w:r>
    </w:p>
    <w:p w:rsidR="00000000" w:rsidRDefault="00000000">
      <w:pPr>
        <w:spacing w:after="240"/>
        <w:rPr>
          <w:iCs/>
          <w:lang w:val="fr-FR"/>
        </w:rPr>
      </w:pPr>
      <w:r>
        <w:rPr>
          <w:iCs/>
          <w:lang w:val="fr-FR"/>
        </w:rPr>
        <w:t>589.</w:t>
      </w:r>
      <w:r>
        <w:rPr>
          <w:iCs/>
          <w:lang w:val="fr-FR"/>
        </w:rPr>
        <w:tab/>
        <w:t>Conformément aux dispositions de l'article 75 de la Constitution, "la recherche, l'étude et la mise au point de solutions aux problèmes du pays" sont des fonctions essentielles des universités et écoles polytechniques, ce qui suppose de développer les connaissances par la publication et la diffusion des résultats par les moyens habituels, afin qu'ils servent à améliorer la qualité de vie des citoyens grâce à leur application à la mise au point de nouveaux produits ou processus.  La protection juridique des résultats de la recherche, comme la liberté des activités scientifiques et technologiques, sont garantis à l'article 80 de la Constitution.</w:t>
      </w:r>
    </w:p>
    <w:p w:rsidR="00000000" w:rsidRDefault="00000000">
      <w:pPr>
        <w:spacing w:after="240"/>
        <w:rPr>
          <w:iCs/>
          <w:lang w:val="fr-FR"/>
        </w:rPr>
      </w:pPr>
      <w:r>
        <w:rPr>
          <w:i/>
          <w:iCs/>
          <w:lang w:val="fr-FR"/>
        </w:rPr>
        <w:t>Diffusion de la science et de la culture</w:t>
      </w:r>
    </w:p>
    <w:p w:rsidR="00000000" w:rsidRDefault="00000000">
      <w:pPr>
        <w:spacing w:after="240"/>
        <w:rPr>
          <w:iCs/>
          <w:lang w:val="fr-FR"/>
        </w:rPr>
      </w:pPr>
      <w:r>
        <w:rPr>
          <w:iCs/>
          <w:lang w:val="fr-FR"/>
        </w:rPr>
        <w:t>590.</w:t>
      </w:r>
      <w:r>
        <w:rPr>
          <w:iCs/>
          <w:lang w:val="fr-FR"/>
        </w:rPr>
        <w:tab/>
        <w:t>La Constitution contient d’importantes dispositions concernant la science et la technologie et les questions connexes.  En fait, c'est la première constitution qui comporte une section spécifique consacrée à la science et la technologie.  Les dispositions pertinentes à cet égard sont mentionnées ci-après.</w:t>
      </w:r>
    </w:p>
    <w:p w:rsidR="00000000" w:rsidRDefault="00000000">
      <w:pPr>
        <w:spacing w:after="240"/>
        <w:rPr>
          <w:iCs/>
          <w:lang w:val="fr-FR"/>
        </w:rPr>
      </w:pPr>
      <w:r>
        <w:rPr>
          <w:iCs/>
          <w:lang w:val="fr-FR"/>
        </w:rPr>
        <w:t>591.</w:t>
      </w:r>
      <w:r>
        <w:rPr>
          <w:iCs/>
          <w:lang w:val="fr-FR"/>
        </w:rPr>
        <w:tab/>
        <w:t>Au titre III (droits, garanties et devoirs), chapitre II (droits civils), l'article 23 dispose que, sans préjudice des droits garantis dans la présente Constitution et dans les instruments internationaux en vigueur, l'État reconnaît et garantit à chacun : [...] l’intégrité de la personne.  Sont interdits les peines cruelles et les tortures, toute procédure inhumaine, dégradante ou faisant appel à la violence physique, psychologique, sexuelle ou à la contrainte morale, et l'application et l'utilisation illicite de matériel génétique humain.  [...] Le droit de vivre dans un environnement sain, écologiquement équilibré et non pollué est reconnu.  La loi définit les restrictions à l'exercice de certains droits et libertés en vue de protéger l'environnement.  [...] Le droit à une qualité de la vie assurant la santé, l'alimentation et la nutrition, l'eau potable, la salubrité de l’environnement, l'éducation, le travail, l'emploi, les loisirs, le logement, l'habillement et les autres services sociaux nécessaires est aussi garanti".</w:t>
      </w:r>
    </w:p>
    <w:p w:rsidR="00000000" w:rsidRDefault="00000000">
      <w:pPr>
        <w:spacing w:after="240"/>
        <w:rPr>
          <w:iCs/>
          <w:lang w:val="fr-FR"/>
        </w:rPr>
      </w:pPr>
      <w:r>
        <w:rPr>
          <w:iCs/>
          <w:lang w:val="fr-FR"/>
        </w:rPr>
        <w:t>592.</w:t>
      </w:r>
      <w:r>
        <w:rPr>
          <w:iCs/>
          <w:lang w:val="fr-FR"/>
        </w:rPr>
        <w:tab/>
        <w:t>Au chapitre IV (droits économiques, sociaux et culturels), première section (propriété), l'article 30 dispose : "La propriété intellectuelle, dans les conditions prévues par la loi et en conformité avec les conventions et traités en vigueur est reconnue et garantie".</w:t>
      </w:r>
    </w:p>
    <w:p w:rsidR="00000000" w:rsidRDefault="00000000">
      <w:pPr>
        <w:spacing w:after="240"/>
        <w:rPr>
          <w:iCs/>
          <w:lang w:val="fr-FR"/>
        </w:rPr>
      </w:pPr>
      <w:r>
        <w:rPr>
          <w:iCs/>
          <w:lang w:val="fr-FR"/>
        </w:rPr>
        <w:t>593.</w:t>
      </w:r>
      <w:r>
        <w:rPr>
          <w:iCs/>
          <w:lang w:val="fr-FR"/>
        </w:rPr>
        <w:tab/>
        <w:t>À la quatrième section (santé), l'article 44 dispose : "L'État formule la politique nationale en matière de santé et veille à son application; il contrôle le fonctionnement des entités du secteur de la santé; il reconnaît, respecte et encourage la mise au point de médicaments traditionnels et nouveaux, conformément aux dispositions de la loi, et encourage le progrès scientifique et technologique dans le domaine de la santé, sous réserve de l'application des principes de la bioéthique".</w:t>
      </w:r>
    </w:p>
    <w:p w:rsidR="00000000" w:rsidRDefault="00000000">
      <w:pPr>
        <w:spacing w:after="240"/>
        <w:rPr>
          <w:iCs/>
          <w:lang w:val="fr-FR"/>
        </w:rPr>
      </w:pPr>
      <w:r>
        <w:rPr>
          <w:iCs/>
          <w:lang w:val="fr-FR"/>
        </w:rPr>
        <w:t>594.</w:t>
      </w:r>
      <w:r>
        <w:rPr>
          <w:iCs/>
          <w:lang w:val="fr-FR"/>
        </w:rPr>
        <w:tab/>
        <w:t>À la huitième section (culture), l'article 62 dispose : "La culture est le patrimoine du peuple et constitue l'élément essentiel de son identité.  L'État encourage et stimule la culture, la création, la formation artistique et la recherche scientifique".</w:t>
      </w:r>
    </w:p>
    <w:p w:rsidR="00000000" w:rsidRDefault="00000000">
      <w:pPr>
        <w:spacing w:after="240"/>
        <w:rPr>
          <w:iCs/>
          <w:lang w:val="fr-FR"/>
        </w:rPr>
      </w:pPr>
      <w:r>
        <w:rPr>
          <w:iCs/>
          <w:lang w:val="fr-FR"/>
        </w:rPr>
        <w:t>595.</w:t>
      </w:r>
      <w:r>
        <w:rPr>
          <w:iCs/>
          <w:lang w:val="fr-FR"/>
        </w:rPr>
        <w:tab/>
        <w:t>À la huitième section (éducation), l'article 66 dispose : "L'éducation est un droit inaliénable de la personne, une obligation absolue de l'État, de la société et de la famille; elle est un domaine prioritaire du point de vue de l'investissement public, une condition essentielle du développement national et la garantie de l'équité sociale.  L'État a pour responsabilité de définir et d'appliquer les politiques permettant d'atteindre ces objectifs.  L’éducation, fondée sur les principes éthiques, pluralistes, démocratiques, humanistes et scientifiques, encourage le respect des droits de l'homme, développe une pensée critique, encourage le civisme; elle forme des compétences qui améliorent l'efficacité du travail et de la production, stimule la créativité et le plein épanouissement de la personnalité et des aptitudes spéciales de chaque personne; elle favorise l'interculturalité, la solidarité et la paix".</w:t>
      </w:r>
    </w:p>
    <w:p w:rsidR="00000000" w:rsidRDefault="00000000">
      <w:pPr>
        <w:spacing w:after="240"/>
        <w:rPr>
          <w:iCs/>
          <w:lang w:val="fr-FR"/>
        </w:rPr>
      </w:pPr>
      <w:r>
        <w:rPr>
          <w:iCs/>
          <w:lang w:val="fr-FR"/>
        </w:rPr>
        <w:t>596.</w:t>
      </w:r>
      <w:r>
        <w:rPr>
          <w:iCs/>
          <w:lang w:val="fr-FR"/>
        </w:rPr>
        <w:tab/>
        <w:t>L'article 72 dispose : "Les personnes naturelles et juridiques peuvent fournir pour l'équipement du secteur éducatif en infrastructures, mobilier et matériel pédagogique, des contributions économiques qui sont susceptibles de déduction fiscales, dans les conditions déterminées par la loi".</w:t>
      </w:r>
    </w:p>
    <w:p w:rsidR="00000000" w:rsidRDefault="00000000">
      <w:pPr>
        <w:spacing w:after="240"/>
        <w:rPr>
          <w:iCs/>
          <w:lang w:val="fr-FR"/>
        </w:rPr>
      </w:pPr>
      <w:r>
        <w:rPr>
          <w:iCs/>
          <w:lang w:val="fr-FR"/>
        </w:rPr>
        <w:t>597.</w:t>
      </w:r>
      <w:r>
        <w:rPr>
          <w:iCs/>
          <w:lang w:val="fr-FR"/>
        </w:rPr>
        <w:tab/>
        <w:t>L'article 75 dispose : "Les universités et écoles polytechniques ont comme fonctions principales la recherche scientifique, la formation professionnelle et technique, la création et le développement de la culture nationale et sa diffusion dans les secteurs populaires, ainsi que l'étude et la mise au point de solutions aux problèmes du pays, en vue de contribuer à créer une nouvelle société équatorienne plus juste, sur la base de méthodes et orientations spécialement adaptées à ces fins".</w:t>
      </w:r>
    </w:p>
    <w:p w:rsidR="00000000" w:rsidRDefault="00000000">
      <w:pPr>
        <w:spacing w:after="240"/>
        <w:rPr>
          <w:iCs/>
          <w:lang w:val="fr-FR"/>
        </w:rPr>
      </w:pPr>
      <w:r>
        <w:rPr>
          <w:iCs/>
          <w:lang w:val="fr-FR"/>
        </w:rPr>
        <w:t>598.</w:t>
      </w:r>
      <w:r>
        <w:rPr>
          <w:iCs/>
          <w:lang w:val="fr-FR"/>
        </w:rPr>
        <w:tab/>
        <w:t>À la neuvième section (science et technologie), l'article 80 dispose : "L'État encourage la science et la technologie, en particulier à tous les niveaux de l'éducation, en vue d'améliorer la productivité, la compétitivité, la gestion durable des ressources naturelles et de satisfaire les besoins essentiels de la population.  Il garantit la liberté des activités scientifiques et technologiques et la protection juridique de leurs résultats, ainsi que des connaissances ancestrales collectives".</w:t>
      </w:r>
    </w:p>
    <w:p w:rsidR="00000000" w:rsidRDefault="00000000">
      <w:pPr>
        <w:spacing w:after="240"/>
        <w:rPr>
          <w:iCs/>
          <w:lang w:val="fr-FR"/>
        </w:rPr>
      </w:pPr>
      <w:r>
        <w:rPr>
          <w:iCs/>
          <w:lang w:val="fr-FR"/>
        </w:rPr>
        <w:t>599.</w:t>
      </w:r>
      <w:r>
        <w:rPr>
          <w:iCs/>
          <w:lang w:val="fr-FR"/>
        </w:rPr>
        <w:tab/>
        <w:t>Au chapitre 5 (droits collectifs), première section (peuples autochtones et noirs ou afro-équatoriens), l'article 84 dispose que l'État reconnaît et garantit aux peuples autochtones, conformément à la présente Constitution et à la loi, le respect de l'ordre public et des droits de l'homme, et des droits collectifs suivants : [...] "La propriété intellectuelle collective de leur savoir ancestral, sa valorisation, son utilisation et son développement conformément à la loi.  [...] Leurs systèmes, connaissances et pratiques de médecine traditionnelle, y compris le droit à la protection des lieux rituels et sacrés, des plantes, animaux, minéraux et écosystèmes présentant à cet égard un intérêt vital".</w:t>
      </w:r>
    </w:p>
    <w:p w:rsidR="00000000" w:rsidRDefault="00000000">
      <w:pPr>
        <w:spacing w:after="240"/>
        <w:rPr>
          <w:iCs/>
          <w:lang w:val="fr-FR"/>
        </w:rPr>
      </w:pPr>
      <w:r>
        <w:rPr>
          <w:iCs/>
          <w:lang w:val="fr-FR"/>
        </w:rPr>
        <w:t>600.</w:t>
      </w:r>
      <w:r>
        <w:rPr>
          <w:iCs/>
          <w:lang w:val="fr-FR"/>
        </w:rPr>
        <w:tab/>
        <w:t>À la deuxième section (environnement), l'article 86 dispose : "L'État protège le droit de la population de vivre dans un environnement sain et écologiquement équilibré, qui assure un développement durable.  Il veille à ce que ce droit ne soit pas enfreint et garantit la préservation de nature.  Sont déclarées d'intérêt public et régies par la loi : la préservation de l'environnement, la conservation des écosystèmes, la biodiversité, l'intégrité du patrimoine génétique du pays.  La prévention de la pollution de l'environnement, la restauration des espaces naturels dégradés, la gestion durable des ressources naturelles et les conditions auxquelles les activités publiques et privées doivent se soumettre à cet égard".</w:t>
      </w:r>
    </w:p>
    <w:p w:rsidR="00000000" w:rsidRDefault="00000000">
      <w:pPr>
        <w:spacing w:after="240"/>
        <w:rPr>
          <w:iCs/>
          <w:lang w:val="fr-FR"/>
        </w:rPr>
      </w:pPr>
      <w:r>
        <w:rPr>
          <w:iCs/>
          <w:lang w:val="fr-FR"/>
        </w:rPr>
        <w:t>601.</w:t>
      </w:r>
      <w:r>
        <w:rPr>
          <w:iCs/>
          <w:lang w:val="fr-FR"/>
        </w:rPr>
        <w:tab/>
        <w:t>Conformément à l'article 89, l'État prend des mesures visant à assurer la réalisation des objectifs suivants : "Promouvoir dans le secteur public et privé l'utilisation de technologies propres du point de vue de l'environnement et d'énergies nouvelles non polluantes.  [...] Réglementer, sur la base de normes strictes en matière de biosécurité, la propagation dans l'environnement, l'expérimentation, l'utilisation, la commercialisation et l'importation d'organismes génétiquement modifiés".</w:t>
      </w:r>
    </w:p>
    <w:p w:rsidR="00000000" w:rsidRDefault="00000000">
      <w:pPr>
        <w:spacing w:after="240"/>
        <w:rPr>
          <w:iCs/>
          <w:lang w:val="fr-FR"/>
        </w:rPr>
      </w:pPr>
      <w:r>
        <w:rPr>
          <w:iCs/>
          <w:lang w:val="fr-FR"/>
        </w:rPr>
        <w:t>602.</w:t>
      </w:r>
      <w:r>
        <w:rPr>
          <w:iCs/>
          <w:lang w:val="fr-FR"/>
        </w:rPr>
        <w:tab/>
        <w:t>Au titre XII (système économique), chapitre I (Principes généraux), l'article 244 prévoit que, dans le cadre du système d’économie sociale de marché, il incombe à l’État de : "Créer une infrastructure physique, scientifique et technologique; et mettre en place des services de base pour le développement".</w:t>
      </w:r>
    </w:p>
    <w:p w:rsidR="00000000" w:rsidRDefault="00000000">
      <w:pPr>
        <w:spacing w:after="240"/>
        <w:rPr>
          <w:iCs/>
          <w:lang w:val="fr-FR"/>
        </w:rPr>
      </w:pPr>
      <w:r>
        <w:rPr>
          <w:iCs/>
          <w:lang w:val="fr-FR"/>
        </w:rPr>
        <w:t>603.</w:t>
      </w:r>
      <w:r>
        <w:rPr>
          <w:iCs/>
          <w:lang w:val="fr-FR"/>
        </w:rPr>
        <w:tab/>
        <w:t>Suivant l'article 248, "l’État s'exerce un droit souverain sur la diversité biologique, les réserves naturelles, les zones protégées et les parcs nationaux".</w:t>
      </w:r>
    </w:p>
    <w:p w:rsidR="00000000" w:rsidRDefault="00000000">
      <w:pPr>
        <w:spacing w:after="240"/>
        <w:rPr>
          <w:iCs/>
          <w:lang w:val="fr-FR"/>
        </w:rPr>
      </w:pPr>
      <w:r>
        <w:rPr>
          <w:iCs/>
          <w:lang w:val="fr-FR"/>
        </w:rPr>
        <w:t>604.</w:t>
      </w:r>
      <w:r>
        <w:rPr>
          <w:iCs/>
          <w:lang w:val="fr-FR"/>
        </w:rPr>
        <w:tab/>
        <w:t>Au chapitre VI (régime agricole), l'article 266 dispose : "L'État a pour mission permanente le développement prioritaire intégral et soutenu des activités de l’agriculture, de l'élevage, de l’aquiculture, de la pêche et de l'agro-industrie qui fournissent des produits de qualité pour le marché interne et externe, la mise en place d'infrastructures, la bonification et la restauration des sols, la recherche scientifique et le transfert de technologie".</w:t>
      </w:r>
    </w:p>
    <w:p w:rsidR="00000000" w:rsidRDefault="00000000">
      <w:pPr>
        <w:spacing w:after="240"/>
        <w:rPr>
          <w:iCs/>
          <w:lang w:val="fr-FR"/>
        </w:rPr>
      </w:pPr>
      <w:r>
        <w:rPr>
          <w:iCs/>
          <w:lang w:val="fr-FR"/>
        </w:rPr>
        <w:t>605.</w:t>
      </w:r>
      <w:r>
        <w:rPr>
          <w:iCs/>
          <w:lang w:val="fr-FR"/>
        </w:rPr>
        <w:tab/>
        <w:t>Conformément à l'article 270 : "L'État accorde la priorité à la recherche agronomique, qui constitue une base fondamentale pour la nutrition et la sécurité alimentaire de la population et pour le développement de la compétitivité internationale du pays".</w:t>
      </w:r>
    </w:p>
    <w:p w:rsidR="00000000" w:rsidRDefault="00000000">
      <w:pPr>
        <w:spacing w:after="240"/>
        <w:rPr>
          <w:iCs/>
          <w:lang w:val="fr-FR"/>
        </w:rPr>
      </w:pPr>
      <w:r>
        <w:rPr>
          <w:i/>
          <w:iCs/>
          <w:lang w:val="fr-FR"/>
        </w:rPr>
        <w:t>Système scientifique et technologique</w:t>
      </w:r>
    </w:p>
    <w:p w:rsidR="00000000" w:rsidRDefault="00000000">
      <w:pPr>
        <w:spacing w:after="240"/>
        <w:rPr>
          <w:iCs/>
          <w:lang w:val="fr-FR"/>
        </w:rPr>
      </w:pPr>
      <w:r>
        <w:rPr>
          <w:iCs/>
          <w:lang w:val="fr-FR"/>
        </w:rPr>
        <w:t>606.</w:t>
      </w:r>
      <w:r>
        <w:rPr>
          <w:iCs/>
          <w:lang w:val="fr-FR"/>
        </w:rPr>
        <w:tab/>
        <w:t>Le cadre juridique de la promotion de la science et de la technologie repose sur la Loi relative au système scientifique et technologique national (système qui a été réorganisé par le Décret exécutif N° 1603).</w:t>
      </w:r>
    </w:p>
    <w:p w:rsidR="00000000" w:rsidRDefault="00000000">
      <w:pPr>
        <w:spacing w:after="240"/>
        <w:rPr>
          <w:iCs/>
          <w:lang w:val="fr-FR"/>
        </w:rPr>
      </w:pPr>
      <w:r>
        <w:rPr>
          <w:iCs/>
          <w:lang w:val="fr-FR"/>
        </w:rPr>
        <w:t>607.</w:t>
      </w:r>
      <w:r>
        <w:rPr>
          <w:iCs/>
          <w:lang w:val="fr-FR"/>
        </w:rPr>
        <w:tab/>
        <w:t>La Loi sur les marchés publics (articles 117 et 118) prévoit une importante source de financement pour l'activité scientifique et technologique en Équateur : tous les contrats visés par le ladite loi dont la valeur est égale ou supérieure à 1500 salaires minimums vitaux généraux sont assujettis à une contribution de 0,25 % de cette valeur, et de 0,125 % du montant des réajustements de prix de ces contrats, les entrepreneurs de l’État étant sujets passifs.  Ces contributions sont remises au Secrétariat national de la science et de la technologie pour le financement des activités scientifiques et technologiques, par l'intermédiaire de la Fondation pour la science et la technologie.</w:t>
      </w:r>
    </w:p>
    <w:p w:rsidR="00000000" w:rsidRDefault="00000000">
      <w:pPr>
        <w:spacing w:after="240"/>
        <w:rPr>
          <w:iCs/>
          <w:lang w:val="fr-FR"/>
        </w:rPr>
      </w:pPr>
      <w:r>
        <w:rPr>
          <w:iCs/>
          <w:lang w:val="fr-FR"/>
        </w:rPr>
        <w:t>608.</w:t>
      </w:r>
      <w:r>
        <w:rPr>
          <w:iCs/>
          <w:lang w:val="fr-FR"/>
        </w:rPr>
        <w:tab/>
        <w:t>L’état de la question en ce qui concerne la propriété intellectuelle et la propriété littéraire et artistique en Équateur mérite d'être examiné.  La propriété intellectuelle comporte deux principaux domaines ou branches : la propriété industrielle, essentiellement les inventions, les marques de fabrique ou de commerce, les dessins ou modèles industriels, d'une part, et le droit d'auteur, essentiellement sur les oeuvres littéraires, musicales, artistiques, phonographique et audiovisuelles, d’autre part.</w:t>
      </w:r>
    </w:p>
    <w:p w:rsidR="00000000" w:rsidRDefault="00000000">
      <w:pPr>
        <w:spacing w:after="240"/>
        <w:rPr>
          <w:iCs/>
          <w:lang w:val="fr-FR"/>
        </w:rPr>
      </w:pPr>
      <w:r>
        <w:rPr>
          <w:iCs/>
          <w:lang w:val="fr-FR"/>
        </w:rPr>
        <w:t>609.</w:t>
      </w:r>
      <w:r>
        <w:rPr>
          <w:iCs/>
          <w:lang w:val="fr-FR"/>
        </w:rPr>
        <w:tab/>
        <w:t>Les principaux instruments internationaux relatifs à la propriété intellectuelle qui ont force de loi en Équateur sont la Convention de Paris pour la protection de la propriété industrielle du 20 mars 1883, dont la dernière révision remonte à 1979; l'Arrangement de Madrid concernant la répression des indications de provenance fausses ou fallacieuses sur les produits du 14 avril 1891.  Il convient aussi de citer le Traité de coopération en matière de brevets du 19 juillet 1970, révisé en 1984; le Traité de Budapest sur la reconnaissance internationale du dépôt des micro-organismes aux fins de la procédure en matière de brevets du 28 avril 1977.  En ce qui concerne les marques, l’Équateur applique l'arrangement de Madrid concernant l'enregistrement international des marques du 14 avril 1891.  Enfin, l'Arrangement de Lisbonne concernant la protection des appellations d'origine et leur enregistrement international du 31 octobre 1958, révisé en 1979.</w:t>
      </w:r>
    </w:p>
    <w:p w:rsidR="00000000" w:rsidRDefault="00000000">
      <w:pPr>
        <w:spacing w:after="240"/>
        <w:rPr>
          <w:iCs/>
          <w:lang w:val="fr-FR"/>
        </w:rPr>
      </w:pPr>
      <w:r>
        <w:rPr>
          <w:iCs/>
          <w:lang w:val="fr-FR"/>
        </w:rPr>
        <w:t>610.</w:t>
      </w:r>
      <w:r>
        <w:rPr>
          <w:iCs/>
          <w:lang w:val="fr-FR"/>
        </w:rPr>
        <w:tab/>
        <w:t>En ce qui concerne les dessins et modèles industriels, sont applicables : l'Arrangement de La Haye concernant le dépôt international des dessins et modèles industriels du 6 novembre 1925, révisé en 1979; l'Arrangement de Strasbourg concernant la classification internationale des brevets du 24 mars 1971, révisé en 1979; l'Arrangement de Nice concernant la classification internationale des produits et des services aux fins de l'enregistrement des marques du 15 juin 1957, révisé en 1979.  Il convient aussi de mentionner l'Arrangement de Locarno instituant une classification internationale pour les dessins et modèles industriels du 8 octobre 1968, révisé 1979; l'Arrangement de Vienne instituant une classification internationale des éléments figuratifs des marques du 12 juin 1973; la Convention internationale pour la protection des obtentions végétales, Paris, 1961, et Genève, 1978; et l’Accord de l'OMC sur la propriété intellectuelle.</w:t>
      </w:r>
    </w:p>
    <w:p w:rsidR="00000000" w:rsidRDefault="00000000">
      <w:pPr>
        <w:spacing w:after="240"/>
        <w:rPr>
          <w:iCs/>
          <w:lang w:val="fr-FR"/>
        </w:rPr>
      </w:pPr>
      <w:r>
        <w:rPr>
          <w:iCs/>
          <w:lang w:val="fr-FR"/>
        </w:rPr>
        <w:t>611.</w:t>
      </w:r>
      <w:r>
        <w:rPr>
          <w:iCs/>
          <w:lang w:val="fr-FR"/>
        </w:rPr>
        <w:tab/>
        <w:t>En ce qui concerne la propriété littéraire et artistique, on se fonde sur la reconnaissance au niveau national d'un des principes fondamentaux de la Loi sur le droit d'auteur : le principe juridique selon lequel il n'existe pas de forme de propriété aussi légitime que la propriété sur des créations de l'esprit revient à affirmer que les auteurs, et notamment les écrivains, jouissent du droit de propriété sur leurs oeuvres.  Ces auteurs jouissent du droit à la protection contre l'utilisation non autorisée de leurs créations et du droit de percevoir une partie des bénéfices découlant de l'utilisation publique de ces créations.  Le droit d'auteur protège aussi une série d'aspects essentiels, comme la reconnaissance de la paternité de l’œuvre et le respect de l'intégrité de la création intellectuelle.</w:t>
      </w:r>
    </w:p>
    <w:p w:rsidR="00000000" w:rsidRDefault="00000000">
      <w:pPr>
        <w:spacing w:after="240"/>
        <w:rPr>
          <w:bCs/>
          <w:iCs/>
          <w:lang w:val="fr-FR"/>
        </w:rPr>
      </w:pPr>
      <w:r>
        <w:rPr>
          <w:b/>
          <w:bCs/>
          <w:iCs/>
          <w:lang w:val="fr-FR"/>
        </w:rPr>
        <w:t>Recherche scientifique.  Cadre légal</w:t>
      </w:r>
    </w:p>
    <w:p w:rsidR="00000000" w:rsidRDefault="00000000">
      <w:pPr>
        <w:spacing w:after="240"/>
        <w:rPr>
          <w:bCs/>
          <w:iCs/>
          <w:lang w:val="fr-FR"/>
        </w:rPr>
      </w:pPr>
      <w:r>
        <w:rPr>
          <w:bCs/>
          <w:iCs/>
          <w:lang w:val="fr-FR"/>
        </w:rPr>
        <w:t>612.</w:t>
      </w:r>
      <w:r>
        <w:rPr>
          <w:bCs/>
          <w:iCs/>
          <w:lang w:val="fr-FR"/>
        </w:rPr>
        <w:tab/>
        <w:t>La Constitution garantit, en son article 80, la liberté de l'activité scientifique et technologique : "L'État encourage la science et la technologie, en particulier à tous les niveaux de l'éducation, en vue d'améliorer la productivité, la compétitivité, la gestion rationnelle des ressources naturelles et la satisfaction des besoins essentiels de la population.  Il garantit la liberté des activités scientifiques et technologiques et la protection juridique de leurs résultats, ainsi que le savoir ancestral collectif".</w:t>
      </w:r>
    </w:p>
    <w:p w:rsidR="00000000" w:rsidRDefault="00000000">
      <w:pPr>
        <w:spacing w:after="240"/>
        <w:rPr>
          <w:bCs/>
          <w:iCs/>
          <w:lang w:val="fr-FR"/>
        </w:rPr>
      </w:pPr>
      <w:r>
        <w:rPr>
          <w:bCs/>
          <w:iCs/>
          <w:lang w:val="fr-FR"/>
        </w:rPr>
        <w:t>613.</w:t>
      </w:r>
      <w:r>
        <w:rPr>
          <w:bCs/>
          <w:iCs/>
          <w:lang w:val="fr-FR"/>
        </w:rPr>
        <w:tab/>
        <w:t>La communauté scientifique équatorienne s’est constituée juridiquement en mai 1895 et réunit de façon organisée à l'échelle nationale les chercheurs scientifiques du pays.  En 1996, elle a été dotée du statut d'Académie nationale des sciences, composée de membres titulaires, honoraires et associés, ainsi que de membres d’office.  L'Académie est organisée par section; tout candidat à la qualité de membre titulaire doit en faire la demande écrite au Président de l'Académie, en envoyant son curriculum vitae et la copie de travaux de recherche qu’il devra exposer à la date et au lieu que décidera l'Académie.  Les travaux présentés à l'un des Congrès scientifiques organisés deux fois par an sont considérés comme valides pour l'acquisition de la qualité de membre.  L'Académie a des centres provinciaux, notamment à Quito, à Cuenca, à Guayaquil et à Loja, et d'autres sont en voie de formation.</w:t>
      </w:r>
    </w:p>
    <w:p w:rsidR="00000000" w:rsidRDefault="00000000">
      <w:pPr>
        <w:spacing w:after="240"/>
        <w:rPr>
          <w:bCs/>
          <w:lang w:val="fr-FR"/>
        </w:rPr>
      </w:pPr>
      <w:r>
        <w:rPr>
          <w:bCs/>
          <w:i/>
          <w:lang w:val="fr-FR"/>
        </w:rPr>
        <w:t>Coopération internationale dans le domaine de la culture</w:t>
      </w:r>
    </w:p>
    <w:p w:rsidR="00000000" w:rsidRDefault="00000000">
      <w:pPr>
        <w:spacing w:after="240"/>
        <w:rPr>
          <w:bCs/>
          <w:iCs/>
          <w:lang w:val="fr-FR"/>
        </w:rPr>
      </w:pPr>
      <w:r>
        <w:rPr>
          <w:bCs/>
          <w:iCs/>
          <w:lang w:val="fr-FR"/>
        </w:rPr>
        <w:t>614.</w:t>
      </w:r>
      <w:r>
        <w:rPr>
          <w:bCs/>
          <w:iCs/>
          <w:lang w:val="fr-FR"/>
        </w:rPr>
        <w:tab/>
        <w:t>L'Équateur a conclu avec divers pays et institutions des accords d'échanges scientifiques et culturels.  Ces accords offrent des possibilités intéressantes, mais dont le pays ne tire souvent pas pleinement parti, notamment en raison de la difficulté de la diffusion de l'information, du manque de communication directe avec les secteurs qui devraient bénéficier de ces accords et du manque de soutien nécessaire pour concrétiser l'impulsion donnée à la science, à la technologie, à la culture et à l'art.</w:t>
      </w:r>
    </w:p>
    <w:p w:rsidR="00000000" w:rsidRDefault="00000000">
      <w:pPr>
        <w:numPr>
          <w:ilvl w:val="1"/>
          <w:numId w:val="119"/>
        </w:numPr>
        <w:spacing w:after="240"/>
        <w:rPr>
          <w:bCs/>
          <w:iCs/>
          <w:sz w:val="23"/>
          <w:lang w:val="fr-FR"/>
        </w:rPr>
      </w:pPr>
      <w:r>
        <w:rPr>
          <w:bCs/>
          <w:iCs/>
          <w:lang w:val="fr-FR"/>
        </w:rPr>
        <w:t xml:space="preserve">Projet de préservation et </w:t>
      </w:r>
      <w:r>
        <w:rPr>
          <w:bCs/>
          <w:iCs/>
          <w:sz w:val="23"/>
          <w:lang w:val="fr-FR"/>
        </w:rPr>
        <w:t>de promotion du patrimoine culturel de l’Équateur.</w:t>
      </w:r>
    </w:p>
    <w:p w:rsidR="00000000" w:rsidRDefault="00000000">
      <w:pPr>
        <w:numPr>
          <w:ilvl w:val="1"/>
          <w:numId w:val="119"/>
        </w:numPr>
        <w:spacing w:after="240"/>
        <w:rPr>
          <w:bCs/>
          <w:iCs/>
          <w:sz w:val="23"/>
          <w:lang w:val="fr-FR"/>
        </w:rPr>
      </w:pPr>
      <w:r>
        <w:rPr>
          <w:bCs/>
          <w:iCs/>
          <w:sz w:val="23"/>
          <w:lang w:val="fr-FR"/>
        </w:rPr>
        <w:t>Plan d'action pour l'étude des cultures communes précolombiennes frontalières.</w:t>
      </w:r>
    </w:p>
    <w:p w:rsidR="00000000" w:rsidRDefault="00000000">
      <w:pPr>
        <w:numPr>
          <w:ilvl w:val="1"/>
          <w:numId w:val="119"/>
        </w:numPr>
        <w:spacing w:after="240"/>
        <w:rPr>
          <w:bCs/>
          <w:iCs/>
          <w:sz w:val="23"/>
          <w:lang w:val="fr-FR"/>
        </w:rPr>
      </w:pPr>
      <w:r>
        <w:rPr>
          <w:bCs/>
          <w:iCs/>
          <w:sz w:val="23"/>
          <w:lang w:val="fr-FR"/>
        </w:rPr>
        <w:t>Programme d'échanges culturels entre le Gouvernement de la République équatorienne et le Gouvernement de la République populaire de Chine.</w:t>
      </w:r>
    </w:p>
    <w:p w:rsidR="00000000" w:rsidRDefault="00000000">
      <w:pPr>
        <w:numPr>
          <w:ilvl w:val="1"/>
          <w:numId w:val="119"/>
        </w:numPr>
        <w:spacing w:after="240"/>
        <w:rPr>
          <w:bCs/>
          <w:iCs/>
          <w:sz w:val="23"/>
          <w:lang w:val="fr-FR"/>
        </w:rPr>
      </w:pPr>
      <w:r>
        <w:rPr>
          <w:bCs/>
          <w:iCs/>
          <w:sz w:val="23"/>
          <w:lang w:val="fr-FR"/>
        </w:rPr>
        <w:t>Accord partiel de coopération et d'échanges de biens dans les domaines culturel, éducatif et scientifique (Protocole d'adhésion de Cuba).</w:t>
      </w:r>
    </w:p>
    <w:p w:rsidR="00000000" w:rsidRDefault="00000000">
      <w:pPr>
        <w:numPr>
          <w:ilvl w:val="1"/>
          <w:numId w:val="119"/>
        </w:numPr>
        <w:spacing w:after="240"/>
        <w:rPr>
          <w:bCs/>
          <w:iCs/>
          <w:sz w:val="23"/>
          <w:lang w:val="fr-FR"/>
        </w:rPr>
      </w:pPr>
      <w:r>
        <w:rPr>
          <w:bCs/>
          <w:iCs/>
          <w:sz w:val="23"/>
          <w:lang w:val="fr-FR"/>
        </w:rPr>
        <w:t>Accord partiel de coopération et d’échanges de biens dans les domaines culturel, éducatif et scientifique (Protocole d'adhésion de la République du Chili).</w:t>
      </w:r>
    </w:p>
    <w:p w:rsidR="00000000" w:rsidRDefault="00000000">
      <w:pPr>
        <w:numPr>
          <w:ilvl w:val="1"/>
          <w:numId w:val="119"/>
        </w:numPr>
        <w:spacing w:after="240"/>
        <w:rPr>
          <w:bCs/>
          <w:iCs/>
          <w:sz w:val="23"/>
          <w:lang w:val="fr-FR"/>
        </w:rPr>
      </w:pPr>
      <w:r>
        <w:rPr>
          <w:bCs/>
          <w:iCs/>
          <w:sz w:val="23"/>
          <w:lang w:val="fr-FR"/>
        </w:rPr>
        <w:t>Accord d'organisation du Traité Andrés Bello dans le domaine éducatif, scientifique, technologique et culturel.</w:t>
      </w:r>
    </w:p>
    <w:p w:rsidR="00000000" w:rsidRDefault="00000000">
      <w:pPr>
        <w:numPr>
          <w:ilvl w:val="1"/>
          <w:numId w:val="119"/>
        </w:numPr>
        <w:spacing w:after="240"/>
        <w:rPr>
          <w:bCs/>
          <w:iCs/>
          <w:sz w:val="23"/>
          <w:lang w:val="fr-FR"/>
        </w:rPr>
      </w:pPr>
      <w:r>
        <w:rPr>
          <w:bCs/>
          <w:iCs/>
          <w:sz w:val="23"/>
          <w:lang w:val="fr-FR"/>
        </w:rPr>
        <w:t>Accord de donation de 47 millions de yens octroyés par le Japon pour la restauration et la préservation de toutes les oeuvres d'art et monuments du patrimoine culturel équatorienne.</w:t>
      </w:r>
    </w:p>
    <w:p w:rsidR="00000000" w:rsidRDefault="00000000">
      <w:pPr>
        <w:numPr>
          <w:ilvl w:val="1"/>
          <w:numId w:val="119"/>
        </w:numPr>
        <w:spacing w:after="240"/>
        <w:rPr>
          <w:bCs/>
          <w:iCs/>
          <w:sz w:val="23"/>
          <w:lang w:val="fr-FR"/>
        </w:rPr>
      </w:pPr>
      <w:r>
        <w:rPr>
          <w:bCs/>
          <w:iCs/>
          <w:sz w:val="23"/>
          <w:lang w:val="fr-FR"/>
        </w:rPr>
        <w:t>Programme de coopération et d'échanges culturels et scientifiques entre la République équatorienne et la Fédération de Russie.</w:t>
      </w:r>
    </w:p>
    <w:p w:rsidR="00000000" w:rsidRDefault="00000000">
      <w:pPr>
        <w:numPr>
          <w:ilvl w:val="1"/>
          <w:numId w:val="119"/>
        </w:numPr>
        <w:spacing w:after="240"/>
        <w:rPr>
          <w:bCs/>
          <w:iCs/>
          <w:sz w:val="23"/>
          <w:lang w:val="fr-FR"/>
        </w:rPr>
      </w:pPr>
      <w:r>
        <w:rPr>
          <w:bCs/>
          <w:iCs/>
          <w:sz w:val="23"/>
          <w:lang w:val="fr-FR"/>
        </w:rPr>
        <w:t>Programme d'échanges culturels entre l’Équateur et le Paraguay.</w:t>
      </w:r>
    </w:p>
    <w:p w:rsidR="00000000" w:rsidRDefault="00000000">
      <w:pPr>
        <w:numPr>
          <w:ilvl w:val="1"/>
          <w:numId w:val="119"/>
        </w:numPr>
        <w:spacing w:after="240"/>
        <w:rPr>
          <w:bCs/>
          <w:iCs/>
          <w:sz w:val="23"/>
          <w:lang w:val="fr-FR"/>
        </w:rPr>
      </w:pPr>
      <w:r>
        <w:rPr>
          <w:bCs/>
          <w:iCs/>
          <w:sz w:val="23"/>
          <w:lang w:val="fr-FR"/>
        </w:rPr>
        <w:t>Accord culturel entre le Gouvernement de la République équatorienne et le Gouvernement de la République arabe d'Égypte.</w:t>
      </w:r>
    </w:p>
    <w:p w:rsidR="00000000" w:rsidRDefault="00000000">
      <w:pPr>
        <w:numPr>
          <w:ilvl w:val="1"/>
          <w:numId w:val="119"/>
        </w:numPr>
        <w:spacing w:after="240"/>
        <w:rPr>
          <w:bCs/>
          <w:iCs/>
          <w:sz w:val="23"/>
          <w:lang w:val="fr-FR"/>
        </w:rPr>
      </w:pPr>
      <w:r>
        <w:rPr>
          <w:bCs/>
          <w:iCs/>
          <w:sz w:val="23"/>
          <w:lang w:val="fr-FR"/>
        </w:rPr>
        <w:t>Accord de services de gestion entre le Programme des Nations Unies pour le développement et le Gouvernement de la République équatorienne.</w:t>
      </w:r>
    </w:p>
    <w:p w:rsidR="00000000" w:rsidRDefault="00000000">
      <w:pPr>
        <w:numPr>
          <w:ilvl w:val="1"/>
          <w:numId w:val="119"/>
        </w:numPr>
        <w:spacing w:after="240"/>
        <w:rPr>
          <w:bCs/>
          <w:iCs/>
          <w:sz w:val="23"/>
          <w:lang w:val="fr-FR"/>
        </w:rPr>
      </w:pPr>
      <w:r>
        <w:rPr>
          <w:bCs/>
          <w:iCs/>
          <w:sz w:val="23"/>
          <w:lang w:val="fr-FR"/>
        </w:rPr>
        <w:t>Accord de coopération culturelle dans le domaine des arts martiaux entre la République populaire de Chine et l'armée équatorienne.</w:t>
      </w:r>
    </w:p>
    <w:p w:rsidR="00000000" w:rsidRDefault="00000000">
      <w:pPr>
        <w:numPr>
          <w:ilvl w:val="1"/>
          <w:numId w:val="119"/>
        </w:numPr>
        <w:spacing w:after="240"/>
        <w:rPr>
          <w:bCs/>
          <w:iCs/>
          <w:sz w:val="23"/>
          <w:lang w:val="fr-FR"/>
        </w:rPr>
      </w:pPr>
      <w:r>
        <w:rPr>
          <w:bCs/>
          <w:iCs/>
          <w:sz w:val="23"/>
          <w:lang w:val="fr-FR"/>
        </w:rPr>
        <w:t>Accord administratif entre le Ministère de l'éducation et de la culture de la République équatorienne et le Ministère des affaires étrangères de la République française sur les statuts de la fondation culturelle et le lycée La Condamine.</w:t>
      </w:r>
    </w:p>
    <w:p w:rsidR="00000000" w:rsidRDefault="00000000">
      <w:pPr>
        <w:numPr>
          <w:ilvl w:val="1"/>
          <w:numId w:val="119"/>
        </w:numPr>
        <w:spacing w:after="240"/>
        <w:rPr>
          <w:bCs/>
          <w:iCs/>
          <w:sz w:val="23"/>
          <w:lang w:val="fr-FR"/>
        </w:rPr>
      </w:pPr>
      <w:r>
        <w:rPr>
          <w:bCs/>
          <w:iCs/>
          <w:sz w:val="23"/>
          <w:lang w:val="fr-FR"/>
        </w:rPr>
        <w:t>Accord de coopération du Gouvernement japonais pour la fourniture d'équipements pour microfilms à la Bibliothèque nationale Eugenio Espejo de la Maison de la culture.</w:t>
      </w:r>
    </w:p>
    <w:p w:rsidR="00000000" w:rsidRDefault="00000000">
      <w:pPr>
        <w:numPr>
          <w:ilvl w:val="1"/>
          <w:numId w:val="119"/>
        </w:numPr>
        <w:spacing w:after="240"/>
        <w:rPr>
          <w:bCs/>
          <w:iCs/>
          <w:sz w:val="23"/>
          <w:lang w:val="fr-FR"/>
        </w:rPr>
      </w:pPr>
      <w:r>
        <w:rPr>
          <w:bCs/>
          <w:iCs/>
          <w:sz w:val="23"/>
          <w:lang w:val="fr-FR"/>
        </w:rPr>
        <w:t>Accord fondamental de coopération culturelle entre l’Équateur et El Salvador.</w:t>
      </w:r>
    </w:p>
    <w:p w:rsidR="00000000" w:rsidRDefault="00000000">
      <w:pPr>
        <w:numPr>
          <w:ilvl w:val="1"/>
          <w:numId w:val="119"/>
        </w:numPr>
        <w:spacing w:after="240"/>
        <w:rPr>
          <w:bCs/>
          <w:iCs/>
          <w:sz w:val="23"/>
          <w:lang w:val="fr-FR"/>
        </w:rPr>
      </w:pPr>
      <w:r>
        <w:rPr>
          <w:bCs/>
          <w:iCs/>
          <w:sz w:val="23"/>
          <w:lang w:val="fr-FR"/>
        </w:rPr>
        <w:t>Accord de coopération en matière de tourisme entre le Ministère du commerce et du tourisme de l'Espagne et le Ministère du tourisme de l’Équateur.</w:t>
      </w:r>
    </w:p>
    <w:p w:rsidR="00000000" w:rsidRDefault="00000000">
      <w:pPr>
        <w:numPr>
          <w:ilvl w:val="1"/>
          <w:numId w:val="119"/>
        </w:numPr>
        <w:spacing w:after="240"/>
        <w:rPr>
          <w:bCs/>
          <w:iCs/>
          <w:sz w:val="23"/>
          <w:lang w:val="fr-FR"/>
        </w:rPr>
      </w:pPr>
      <w:r>
        <w:rPr>
          <w:bCs/>
          <w:iCs/>
          <w:sz w:val="23"/>
          <w:lang w:val="fr-FR"/>
        </w:rPr>
        <w:t>Accords d'échanges scientifiques, culturels et technologiques entre le Ministère de l'enseignement supérieur de Cuba et le Conseil national des écoles polytechniques de l’Équateur.</w:t>
      </w:r>
    </w:p>
    <w:p w:rsidR="00000000" w:rsidRDefault="00000000">
      <w:pPr>
        <w:numPr>
          <w:ilvl w:val="1"/>
          <w:numId w:val="119"/>
        </w:numPr>
        <w:spacing w:after="240"/>
        <w:rPr>
          <w:bCs/>
          <w:iCs/>
          <w:sz w:val="23"/>
          <w:lang w:val="fr-FR"/>
        </w:rPr>
      </w:pPr>
      <w:r>
        <w:rPr>
          <w:bCs/>
          <w:iCs/>
          <w:sz w:val="23"/>
          <w:lang w:val="fr-FR"/>
        </w:rPr>
        <w:t>Échange de notes entre les Gouvernements équatorien et japonais sur une donation culturelle destinée à l'équipement de l'Orchestre symphonique de l’Équateur.</w:t>
      </w:r>
    </w:p>
    <w:p w:rsidR="00000000" w:rsidRDefault="00000000">
      <w:pPr>
        <w:numPr>
          <w:ilvl w:val="1"/>
          <w:numId w:val="119"/>
        </w:numPr>
        <w:spacing w:after="240"/>
        <w:rPr>
          <w:bCs/>
          <w:iCs/>
          <w:sz w:val="23"/>
          <w:lang w:val="fr-FR"/>
        </w:rPr>
      </w:pPr>
      <w:r>
        <w:rPr>
          <w:bCs/>
          <w:iCs/>
          <w:sz w:val="23"/>
          <w:lang w:val="fr-FR"/>
        </w:rPr>
        <w:t>Échange de notes entre l’Équateur et la Belgique concernant la donation de matériel à l’Institut national du patrimoine culturel.</w:t>
      </w:r>
    </w:p>
    <w:p w:rsidR="00000000" w:rsidRDefault="00000000">
      <w:pPr>
        <w:numPr>
          <w:ilvl w:val="1"/>
          <w:numId w:val="119"/>
        </w:numPr>
        <w:spacing w:after="240"/>
        <w:rPr>
          <w:bCs/>
          <w:iCs/>
          <w:sz w:val="23"/>
          <w:lang w:val="fr-FR"/>
        </w:rPr>
      </w:pPr>
      <w:r>
        <w:rPr>
          <w:bCs/>
          <w:iCs/>
          <w:sz w:val="23"/>
          <w:lang w:val="fr-FR"/>
        </w:rPr>
        <w:t>Accord de coopération culturelle et technologique entre le Gouvernement équatorien et le Gouvernement italien.</w:t>
      </w:r>
    </w:p>
    <w:p w:rsidR="00000000" w:rsidRDefault="00000000">
      <w:pPr>
        <w:numPr>
          <w:ilvl w:val="1"/>
          <w:numId w:val="119"/>
        </w:numPr>
        <w:spacing w:after="240"/>
        <w:rPr>
          <w:bCs/>
          <w:iCs/>
          <w:sz w:val="23"/>
          <w:lang w:val="fr-FR"/>
        </w:rPr>
      </w:pPr>
      <w:r>
        <w:rPr>
          <w:bCs/>
          <w:iCs/>
          <w:sz w:val="23"/>
          <w:lang w:val="fr-FR"/>
        </w:rPr>
        <w:t>Accord de coopération entre le Ministère des relations extérieures et la Représentation de l'organisation des Nations unies pour l'éducation, la science et la culture (Unesco) en Équateur.</w:t>
      </w:r>
    </w:p>
    <w:p w:rsidR="00000000" w:rsidRDefault="00000000">
      <w:pPr>
        <w:numPr>
          <w:ilvl w:val="1"/>
          <w:numId w:val="119"/>
        </w:numPr>
        <w:spacing w:after="240"/>
        <w:rPr>
          <w:bCs/>
          <w:iCs/>
          <w:sz w:val="23"/>
          <w:lang w:val="fr-FR"/>
        </w:rPr>
      </w:pPr>
      <w:r>
        <w:rPr>
          <w:bCs/>
          <w:iCs/>
          <w:sz w:val="23"/>
          <w:lang w:val="fr-FR"/>
        </w:rPr>
        <w:t>Accord entre le Ministère des relations extérieures et la Fondation Centre d'études latino-américaines.</w:t>
      </w:r>
    </w:p>
    <w:p w:rsidR="00000000" w:rsidRDefault="00000000">
      <w:pPr>
        <w:spacing w:after="240"/>
        <w:rPr>
          <w:bCs/>
          <w:iCs/>
          <w:sz w:val="23"/>
          <w:lang w:val="fr-FR"/>
        </w:rPr>
      </w:pPr>
      <w:r>
        <w:rPr>
          <w:bCs/>
          <w:i/>
          <w:iCs/>
          <w:sz w:val="23"/>
          <w:lang w:val="fr-FR"/>
        </w:rPr>
        <w:t>Assistance internationale</w:t>
      </w:r>
    </w:p>
    <w:p w:rsidR="00000000" w:rsidRDefault="00000000">
      <w:pPr>
        <w:spacing w:after="240"/>
        <w:rPr>
          <w:bCs/>
          <w:iCs/>
          <w:sz w:val="23"/>
          <w:lang w:val="fr-FR"/>
        </w:rPr>
      </w:pPr>
      <w:r>
        <w:rPr>
          <w:bCs/>
          <w:iCs/>
          <w:sz w:val="23"/>
          <w:lang w:val="fr-FR"/>
        </w:rPr>
        <w:t>615.</w:t>
      </w:r>
      <w:r>
        <w:rPr>
          <w:bCs/>
          <w:iCs/>
          <w:sz w:val="23"/>
          <w:lang w:val="fr-FR"/>
        </w:rPr>
        <w:tab/>
        <w:t>L'élaboration des politiques officielles d'aide à l'innovation technologique dans la communauté nationale n'est pas homogène.  Dans ce contexte, l'assistance internationale vise à renforcer les capacités d'innovation technologique dans le pays pour concrétiser les possibilités de développement économique et social en fournissant un appui aux secteurs productifs dans différents domaines : ressources humaines, gestion de la technologie, innovation scientifique et financière dans l'agriculture, l'industrie, les services, en vue de répondre aux principaux besoins sociaux du pays et de promouvoir le transfert de connaissances et des résultats de la recherche.  Cette politique vise à élargir la base scientifique et technologique nationale et à tirer le meilleur parti des capacités existant dans la communauté internationale pour créer des équipes de recherche-développement et les renforcer conformément aux priorités nationales et pour obtenir, par une coordination étroite entre les pays, la mise au point de plans visant à structurer et perfectionner les systèmes nationaux de science, de technologie et d'innovation, tout en assurant la promotion de la culture et des droits des peuples dans le cadre d'un rapprochement mutuel pour la paix et dans l'intérêt commun.</w:t>
      </w:r>
    </w:p>
    <w:p w:rsidR="00000000" w:rsidRDefault="00000000">
      <w:pPr>
        <w:spacing w:after="240"/>
        <w:jc w:val="center"/>
        <w:rPr>
          <w:bCs/>
          <w:iCs/>
          <w:sz w:val="23"/>
          <w:lang w:val="fr-FR"/>
        </w:rPr>
      </w:pPr>
      <w:r>
        <w:rPr>
          <w:bCs/>
          <w:iCs/>
          <w:sz w:val="23"/>
          <w:lang w:val="fr-FR"/>
        </w:rPr>
        <w:t>-----</w:t>
      </w:r>
    </w:p>
    <w:p w:rsidR="00000000" w:rsidRDefault="00000000">
      <w:pPr>
        <w:spacing w:after="240"/>
        <w:rPr>
          <w:bCs/>
          <w:lang w:val="fr-FR"/>
        </w:rPr>
      </w:pPr>
    </w:p>
    <w:sectPr w:rsidR="00000000">
      <w:headerReference w:type="even" r:id="rId8"/>
      <w:headerReference w:type="default" r:id="rId9"/>
      <w:footerReference w:type="first" r:id="rId10"/>
      <w:pgSz w:w="11907" w:h="16840" w:code="9"/>
      <w:pgMar w:top="851" w:right="1247" w:bottom="1701" w:left="1247" w:header="720" w:footer="96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lang w:val="fr-FR"/>
      </w:rPr>
      <w:t>GE.02-46411 (EXT)</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lang w:val="fr-CH"/>
        </w:rPr>
      </w:pPr>
      <w:r>
        <w:rPr>
          <w:lang w:val="fr-CH"/>
        </w:rPr>
        <w:t>–––––––––––––––</w:t>
      </w:r>
    </w:p>
  </w:footnote>
  <w:footnote w:type="continuationSeparator" w:id="0">
    <w:p w:rsidR="00000000" w:rsidRDefault="00000000">
      <w:r>
        <w:continuationSeparator/>
      </w:r>
    </w:p>
  </w:footnote>
  <w:footnote w:id="1">
    <w:p w:rsidR="00000000" w:rsidRDefault="00000000">
      <w:pPr>
        <w:autoSpaceDE w:val="0"/>
        <w:autoSpaceDN w:val="0"/>
        <w:adjustRightInd w:val="0"/>
        <w:spacing w:after="40"/>
        <w:ind w:firstLine="567"/>
        <w:rPr>
          <w:sz w:val="22"/>
          <w:lang w:val="fr-FR"/>
        </w:rPr>
      </w:pPr>
      <w:r>
        <w:rPr>
          <w:rStyle w:val="FootnoteReference"/>
          <w:b/>
          <w:sz w:val="22"/>
          <w:lang w:val="fr-FR"/>
        </w:rPr>
        <w:footnoteRef/>
      </w:r>
      <w:r>
        <w:rPr>
          <w:sz w:val="22"/>
          <w:lang w:val="fr-FR"/>
        </w:rPr>
        <w:t xml:space="preserve">  Deuxièmes rapports présentés en application de la résolution 1988 (LX) du Conseil des États parties au Pacte sur les droits visées aux articles 6 à 9 (E/1984/WG.1/SR.22); rapports des États parties présentés en vertu des articles 16 et 17 du Pacte; E/C.1/1990/SR.37 (articles 10 à 12); E/C.12/1990/SR.38 (article 13 à 15); E/C.12/1990/SR.39, E/C.12/1990/SR.42 (avril 1991).</w:t>
      </w:r>
    </w:p>
  </w:footnote>
  <w:footnote w:id="2">
    <w:p w:rsidR="00000000" w:rsidRDefault="00000000">
      <w:pPr>
        <w:autoSpaceDE w:val="0"/>
        <w:autoSpaceDN w:val="0"/>
        <w:adjustRightInd w:val="0"/>
        <w:spacing w:after="40"/>
        <w:ind w:firstLine="567"/>
        <w:rPr>
          <w:sz w:val="22"/>
          <w:lang w:val="fr-FR"/>
        </w:rPr>
      </w:pPr>
      <w:r>
        <w:rPr>
          <w:b/>
          <w:bCs/>
          <w:sz w:val="22"/>
          <w:lang w:val="fr-FR"/>
        </w:rPr>
        <w:t>²</w:t>
      </w:r>
      <w:r>
        <w:rPr>
          <w:sz w:val="22"/>
          <w:lang w:val="fr-FR"/>
        </w:rPr>
        <w:t xml:space="preserve">  L'information rassemblée dans le présent document a été compilée essentiellement à partir des statistiques de l'Institut équatorien de la statistique et des recensements (INEC), qui est la source de l'information officielle de l'État équatorien.  On a pris comme base le recensement national de 1990 et l'enquête urbaine nationale : emploi, chômage et sous-emploi, deuxième série, de novembre 1990, 1995 et 1998.  La seule information disponible relative au secteur rural remontant à l'année 1990, l'INEC a réalisé le Recensement agricole national en 2001.</w:t>
      </w:r>
    </w:p>
  </w:footnote>
  <w:footnote w:id="3">
    <w:p w:rsidR="00000000" w:rsidRDefault="00000000">
      <w:pPr>
        <w:spacing w:after="40"/>
        <w:ind w:firstLine="567"/>
        <w:rPr>
          <w:sz w:val="22"/>
          <w:lang w:val="fr-FR"/>
        </w:rPr>
      </w:pPr>
      <w:r>
        <w:rPr>
          <w:rStyle w:val="FootnoteReference"/>
          <w:b/>
          <w:sz w:val="22"/>
          <w:lang w:val="fr-FR"/>
        </w:rPr>
        <w:footnoteRef/>
      </w:r>
      <w:r>
        <w:rPr>
          <w:sz w:val="22"/>
          <w:lang w:val="fr-FR"/>
        </w:rPr>
        <w:t xml:space="preserve">  "Retrato de mujeres.  Indicatores sociales sobre la situación de las campesinas indígenas del Ecuador rural", </w:t>
      </w:r>
      <w:r>
        <w:rPr>
          <w:i/>
          <w:iCs/>
          <w:sz w:val="22"/>
          <w:lang w:val="fr-FR"/>
        </w:rPr>
        <w:t>El desarollo social en el Ecuador 2</w:t>
      </w:r>
      <w:r>
        <w:rPr>
          <w:sz w:val="22"/>
          <w:lang w:val="fr-FR"/>
        </w:rPr>
        <w:t>, Quito, StFs, UNIFEM y PMS, 1998.</w:t>
      </w:r>
    </w:p>
  </w:footnote>
  <w:footnote w:id="4">
    <w:p w:rsidR="00000000" w:rsidRDefault="00000000">
      <w:pPr>
        <w:autoSpaceDE w:val="0"/>
        <w:autoSpaceDN w:val="0"/>
        <w:adjustRightInd w:val="0"/>
        <w:spacing w:after="40"/>
        <w:ind w:firstLine="567"/>
        <w:rPr>
          <w:sz w:val="22"/>
          <w:lang w:val="fr-FR"/>
        </w:rPr>
      </w:pPr>
      <w:r>
        <w:rPr>
          <w:rStyle w:val="FootnoteReference"/>
          <w:b/>
          <w:sz w:val="22"/>
          <w:lang w:val="fr-FR"/>
        </w:rPr>
        <w:footnoteRef/>
      </w:r>
      <w:r>
        <w:rPr>
          <w:sz w:val="22"/>
          <w:lang w:val="fr-FR"/>
        </w:rPr>
        <w:t xml:space="preserve">  Centre d’études sur la population et le développement social (CEPAR), rapport préliminaire, ENDEMAIN-99.</w:t>
      </w:r>
    </w:p>
  </w:footnote>
  <w:footnote w:id="5">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V</w:t>
      </w:r>
      <w:r>
        <w:rPr>
          <w:sz w:val="22"/>
          <w:szCs w:val="28"/>
          <w:lang w:val="fr-FR"/>
        </w:rPr>
        <w:t>oir plus haut note 3.</w:t>
      </w:r>
    </w:p>
  </w:footnote>
  <w:footnote w:id="6">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sz w:val="22"/>
          <w:szCs w:val="28"/>
          <w:lang w:val="fr-FR"/>
        </w:rPr>
        <w:t>Conseil national des femmes (CONAMU), Indicateurs par sexe.</w:t>
      </w:r>
    </w:p>
  </w:footnote>
  <w:footnote w:id="7">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color w:val="000000"/>
          <w:sz w:val="22"/>
          <w:szCs w:val="28"/>
          <w:lang w:val="fr-FR"/>
        </w:rPr>
        <w:t>Ibid.</w:t>
      </w:r>
    </w:p>
  </w:footnote>
  <w:footnote w:id="8">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Constitution (art. 93).</w:t>
      </w:r>
    </w:p>
  </w:footnote>
  <w:footnote w:id="9">
    <w:p w:rsidR="00000000" w:rsidRDefault="00000000">
      <w:pPr>
        <w:widowControl w:val="0"/>
        <w:autoSpaceDE w:val="0"/>
        <w:autoSpaceDN w:val="0"/>
        <w:adjustRightInd w:val="0"/>
        <w:spacing w:after="40"/>
        <w:ind w:firstLine="567"/>
        <w:rPr>
          <w:sz w:val="22"/>
          <w:lang w:val="fr-FR"/>
        </w:rPr>
      </w:pPr>
      <w:r>
        <w:rPr>
          <w:rStyle w:val="FootnoteReference"/>
          <w:b/>
          <w:sz w:val="22"/>
          <w:lang w:val="fr-FR"/>
        </w:rPr>
        <w:footnoteRef/>
      </w:r>
      <w:r>
        <w:rPr>
          <w:sz w:val="22"/>
          <w:lang w:val="fr-FR"/>
        </w:rPr>
        <w:t xml:space="preserve">  Ibid.  (art. 94).</w:t>
      </w:r>
    </w:p>
  </w:footnote>
  <w:footnote w:id="10">
    <w:p w:rsidR="00000000" w:rsidRDefault="00000000">
      <w:pPr>
        <w:widowControl w:val="0"/>
        <w:autoSpaceDE w:val="0"/>
        <w:autoSpaceDN w:val="0"/>
        <w:adjustRightInd w:val="0"/>
        <w:spacing w:after="40"/>
        <w:ind w:firstLine="567"/>
        <w:rPr>
          <w:sz w:val="22"/>
          <w:lang w:val="fr-FR"/>
        </w:rPr>
      </w:pPr>
      <w:r>
        <w:rPr>
          <w:rStyle w:val="FootnoteReference"/>
          <w:b/>
          <w:sz w:val="22"/>
          <w:lang w:val="fr-FR"/>
        </w:rPr>
        <w:footnoteRef/>
      </w:r>
      <w:r>
        <w:rPr>
          <w:sz w:val="22"/>
          <w:lang w:val="fr-FR"/>
        </w:rPr>
        <w:t xml:space="preserve">  Ibid.  (art. 95).</w:t>
      </w:r>
    </w:p>
  </w:footnote>
  <w:footnote w:id="11">
    <w:p w:rsidR="00000000" w:rsidRDefault="00000000">
      <w:pPr>
        <w:widowControl w:val="0"/>
        <w:autoSpaceDE w:val="0"/>
        <w:autoSpaceDN w:val="0"/>
        <w:adjustRightInd w:val="0"/>
        <w:spacing w:after="40"/>
        <w:ind w:firstLine="567"/>
        <w:rPr>
          <w:sz w:val="22"/>
          <w:lang w:val="fr-FR"/>
        </w:rPr>
      </w:pPr>
      <w:r>
        <w:rPr>
          <w:rStyle w:val="FootnoteReference"/>
          <w:b/>
          <w:sz w:val="22"/>
          <w:lang w:val="fr-FR"/>
        </w:rPr>
        <w:footnoteRef/>
      </w:r>
      <w:r>
        <w:rPr>
          <w:sz w:val="22"/>
          <w:lang w:val="fr-FR"/>
        </w:rPr>
        <w:t xml:space="preserve">  Ibid.  (art. 96).</w:t>
      </w:r>
    </w:p>
  </w:footnote>
  <w:footnote w:id="12">
    <w:p w:rsidR="00000000" w:rsidRDefault="00000000">
      <w:pPr>
        <w:widowControl w:val="0"/>
        <w:autoSpaceDE w:val="0"/>
        <w:autoSpaceDN w:val="0"/>
        <w:adjustRightInd w:val="0"/>
        <w:spacing w:after="40"/>
        <w:ind w:firstLine="567"/>
        <w:rPr>
          <w:sz w:val="22"/>
          <w:lang w:val="fr-FR"/>
        </w:rPr>
      </w:pPr>
      <w:r>
        <w:rPr>
          <w:rStyle w:val="FootnoteReference"/>
          <w:b/>
          <w:sz w:val="22"/>
          <w:lang w:val="fr-FR"/>
        </w:rPr>
        <w:footnoteRef/>
      </w:r>
      <w:r>
        <w:rPr>
          <w:sz w:val="22"/>
          <w:lang w:val="fr-FR"/>
        </w:rPr>
        <w:t xml:space="preserve">  Bureau du défenseur du peuple (octobre 1999).</w:t>
      </w:r>
    </w:p>
  </w:footnote>
  <w:footnote w:id="13">
    <w:p w:rsidR="00000000" w:rsidRDefault="00000000">
      <w:pPr>
        <w:widowControl w:val="0"/>
        <w:autoSpaceDE w:val="0"/>
        <w:autoSpaceDN w:val="0"/>
        <w:adjustRightInd w:val="0"/>
        <w:spacing w:after="40"/>
        <w:ind w:firstLine="567"/>
        <w:rPr>
          <w:sz w:val="22"/>
          <w:lang w:val="fr-FR"/>
        </w:rPr>
      </w:pPr>
      <w:r>
        <w:rPr>
          <w:rStyle w:val="FootnoteReference"/>
          <w:b/>
          <w:sz w:val="22"/>
          <w:lang w:val="fr-FR"/>
        </w:rPr>
        <w:footnoteRef/>
      </w:r>
      <w:r>
        <w:rPr>
          <w:sz w:val="22"/>
          <w:lang w:val="fr-FR"/>
        </w:rPr>
        <w:t xml:space="preserve">  Géographie de la pauvreté en Équateur, Quito, STFS et PNUD, 1996.</w:t>
      </w:r>
    </w:p>
  </w:footnote>
  <w:footnote w:id="14">
    <w:p w:rsidR="00000000" w:rsidRDefault="00000000">
      <w:pPr>
        <w:widowControl w:val="0"/>
        <w:autoSpaceDE w:val="0"/>
        <w:autoSpaceDN w:val="0"/>
        <w:adjustRightInd w:val="0"/>
        <w:spacing w:after="40"/>
        <w:ind w:firstLine="567"/>
        <w:rPr>
          <w:sz w:val="22"/>
          <w:lang w:val="fr-FR"/>
        </w:rPr>
      </w:pPr>
      <w:r>
        <w:rPr>
          <w:rStyle w:val="FootnoteReference"/>
          <w:b/>
          <w:sz w:val="22"/>
          <w:lang w:val="fr-FR"/>
        </w:rPr>
        <w:footnoteRef/>
      </w:r>
      <w:r>
        <w:rPr>
          <w:sz w:val="22"/>
          <w:lang w:val="fr-FR"/>
        </w:rPr>
        <w:t xml:space="preserve">  Voir plus haut la note 3.</w:t>
      </w:r>
    </w:p>
  </w:footnote>
  <w:footnote w:id="15">
    <w:p w:rsidR="00000000" w:rsidRDefault="00000000">
      <w:pPr>
        <w:widowControl w:val="0"/>
        <w:autoSpaceDE w:val="0"/>
        <w:autoSpaceDN w:val="0"/>
        <w:adjustRightInd w:val="0"/>
        <w:spacing w:after="40"/>
        <w:ind w:firstLine="567"/>
        <w:rPr>
          <w:sz w:val="22"/>
          <w:lang w:val="fr-FR"/>
        </w:rPr>
      </w:pPr>
      <w:r>
        <w:rPr>
          <w:rStyle w:val="FootnoteReference"/>
          <w:b/>
          <w:sz w:val="22"/>
          <w:lang w:val="fr-FR"/>
        </w:rPr>
        <w:footnoteRef/>
      </w:r>
      <w:r>
        <w:rPr>
          <w:sz w:val="22"/>
          <w:lang w:val="fr-FR"/>
        </w:rPr>
        <w:t xml:space="preserve">  "La </w:t>
      </w:r>
      <w:r>
        <w:rPr>
          <w:sz w:val="22"/>
          <w:szCs w:val="22"/>
          <w:lang w:val="fr-FR"/>
        </w:rPr>
        <w:t>situación</w:t>
      </w:r>
      <w:r>
        <w:rPr>
          <w:sz w:val="22"/>
          <w:lang w:val="fr-FR"/>
        </w:rPr>
        <w:t xml:space="preserve"> de los discapacidades en el Ecuador", CONADIS.</w:t>
      </w:r>
    </w:p>
  </w:footnote>
  <w:footnote w:id="16">
    <w:p w:rsidR="00000000" w:rsidRDefault="00000000">
      <w:pPr>
        <w:pStyle w:val="BodyText"/>
        <w:spacing w:after="40"/>
        <w:ind w:firstLine="567"/>
        <w:jc w:val="left"/>
        <w:rPr>
          <w:sz w:val="22"/>
          <w:u w:val="none"/>
          <w:lang w:val="fr-FR"/>
        </w:rPr>
      </w:pPr>
      <w:r>
        <w:rPr>
          <w:rStyle w:val="FootnoteReference"/>
          <w:b/>
          <w:sz w:val="22"/>
          <w:u w:val="none"/>
          <w:lang w:val="fr-FR"/>
        </w:rPr>
        <w:footnoteRef/>
      </w:r>
      <w:r>
        <w:rPr>
          <w:sz w:val="22"/>
          <w:lang w:val="fr-FR"/>
        </w:rPr>
        <w:t xml:space="preserve">  </w:t>
      </w:r>
      <w:r>
        <w:rPr>
          <w:sz w:val="22"/>
          <w:u w:val="none"/>
          <w:lang w:val="fr-FR"/>
        </w:rPr>
        <w:t>Constitution (art. 3).</w:t>
      </w:r>
    </w:p>
  </w:footnote>
  <w:footnote w:id="17">
    <w:p w:rsidR="00000000" w:rsidRDefault="00000000">
      <w:pPr>
        <w:pStyle w:val="BodyText"/>
        <w:spacing w:after="40"/>
        <w:ind w:firstLine="567"/>
        <w:jc w:val="left"/>
        <w:rPr>
          <w:sz w:val="22"/>
          <w:u w:val="none"/>
          <w:lang w:val="fr-FR"/>
        </w:rPr>
      </w:pPr>
      <w:r>
        <w:rPr>
          <w:rStyle w:val="FootnoteReference"/>
          <w:b/>
          <w:sz w:val="22"/>
          <w:u w:val="none"/>
          <w:lang w:val="fr-FR"/>
        </w:rPr>
        <w:footnoteRef/>
      </w:r>
      <w:r>
        <w:rPr>
          <w:sz w:val="22"/>
          <w:u w:val="none"/>
          <w:lang w:val="fr-FR"/>
        </w:rPr>
        <w:t xml:space="preserve">  Ibid.  (art. 23).</w:t>
      </w:r>
    </w:p>
  </w:footnote>
  <w:footnote w:id="18">
    <w:p w:rsidR="00000000" w:rsidRDefault="00000000">
      <w:pPr>
        <w:pStyle w:val="BodyText"/>
        <w:spacing w:after="40"/>
        <w:ind w:firstLine="567"/>
        <w:jc w:val="left"/>
        <w:rPr>
          <w:sz w:val="22"/>
          <w:u w:val="none"/>
          <w:lang w:val="fr-FR"/>
        </w:rPr>
      </w:pPr>
      <w:r>
        <w:rPr>
          <w:rStyle w:val="FootnoteReference"/>
          <w:b/>
          <w:sz w:val="22"/>
          <w:u w:val="none"/>
          <w:lang w:val="fr-FR"/>
        </w:rPr>
        <w:footnoteRef/>
      </w:r>
      <w:r>
        <w:rPr>
          <w:sz w:val="22"/>
          <w:u w:val="none"/>
          <w:lang w:val="fr-FR"/>
        </w:rPr>
        <w:t xml:space="preserve">  Ibid.  (art. 35).</w:t>
      </w:r>
    </w:p>
  </w:footnote>
  <w:footnote w:id="19">
    <w:p w:rsidR="00000000" w:rsidRDefault="00000000">
      <w:pPr>
        <w:pStyle w:val="BodyText"/>
        <w:spacing w:after="40"/>
        <w:ind w:firstLine="567"/>
        <w:jc w:val="left"/>
        <w:rPr>
          <w:sz w:val="22"/>
          <w:u w:val="none"/>
          <w:lang w:val="fr-FR"/>
        </w:rPr>
      </w:pPr>
      <w:r>
        <w:rPr>
          <w:rStyle w:val="FootnoteReference"/>
          <w:b/>
          <w:sz w:val="22"/>
          <w:u w:val="none"/>
          <w:lang w:val="fr-FR"/>
        </w:rPr>
        <w:footnoteRef/>
      </w:r>
      <w:r>
        <w:rPr>
          <w:sz w:val="22"/>
          <w:u w:val="none"/>
          <w:lang w:val="fr-FR"/>
        </w:rPr>
        <w:t xml:space="preserve">  Ibid.  (art. 36).</w:t>
      </w:r>
    </w:p>
  </w:footnote>
  <w:footnote w:id="20">
    <w:p w:rsidR="00000000" w:rsidRDefault="00000000">
      <w:pPr>
        <w:pStyle w:val="BodyText"/>
        <w:spacing w:after="40"/>
        <w:ind w:firstLine="567"/>
        <w:jc w:val="left"/>
        <w:rPr>
          <w:sz w:val="22"/>
          <w:u w:val="none"/>
          <w:lang w:val="fr-FR"/>
        </w:rPr>
      </w:pPr>
      <w:r>
        <w:rPr>
          <w:rStyle w:val="FootnoteReference"/>
          <w:b/>
          <w:sz w:val="22"/>
          <w:u w:val="none"/>
          <w:lang w:val="fr-FR"/>
        </w:rPr>
        <w:footnoteRef/>
      </w:r>
      <w:r>
        <w:rPr>
          <w:sz w:val="22"/>
          <w:u w:val="none"/>
          <w:lang w:val="fr-FR"/>
        </w:rPr>
        <w:t xml:space="preserve">  Code du travail (art. 3).</w:t>
      </w:r>
    </w:p>
  </w:footnote>
  <w:footnote w:id="21">
    <w:p w:rsidR="00000000" w:rsidRDefault="00000000">
      <w:pPr>
        <w:pStyle w:val="BodyText"/>
        <w:spacing w:after="40"/>
        <w:ind w:firstLine="567"/>
        <w:jc w:val="left"/>
        <w:rPr>
          <w:sz w:val="22"/>
          <w:lang w:val="fr-FR"/>
        </w:rPr>
      </w:pPr>
      <w:r>
        <w:rPr>
          <w:rStyle w:val="FootnoteReference"/>
          <w:b/>
          <w:sz w:val="22"/>
          <w:u w:val="none"/>
          <w:lang w:val="fr-FR"/>
        </w:rPr>
        <w:footnoteRef/>
      </w:r>
      <w:r>
        <w:rPr>
          <w:sz w:val="22"/>
          <w:u w:val="none"/>
          <w:lang w:val="fr-FR"/>
        </w:rPr>
        <w:t xml:space="preserve">  Code du travail (art. 50).</w:t>
      </w:r>
    </w:p>
  </w:footnote>
  <w:footnote w:id="22">
    <w:p w:rsidR="00000000" w:rsidRDefault="00000000">
      <w:pPr>
        <w:pStyle w:val="BodyText"/>
        <w:spacing w:after="40"/>
        <w:ind w:firstLine="567"/>
        <w:jc w:val="left"/>
        <w:rPr>
          <w:sz w:val="22"/>
          <w:lang w:val="fr-FR"/>
        </w:rPr>
      </w:pPr>
      <w:r>
        <w:rPr>
          <w:rStyle w:val="FootnoteReference"/>
          <w:b/>
          <w:sz w:val="22"/>
          <w:u w:val="none"/>
          <w:lang w:val="fr-FR"/>
        </w:rPr>
        <w:footnoteRef/>
      </w:r>
      <w:r>
        <w:rPr>
          <w:sz w:val="22"/>
          <w:u w:val="none"/>
          <w:lang w:val="fr-FR"/>
        </w:rPr>
        <w:t xml:space="preserve">  Ibid.  (art. 53).</w:t>
      </w:r>
    </w:p>
  </w:footnote>
  <w:footnote w:id="23">
    <w:p w:rsidR="00000000" w:rsidRDefault="00000000">
      <w:pPr>
        <w:spacing w:after="40"/>
        <w:ind w:firstLine="567"/>
        <w:rPr>
          <w:sz w:val="22"/>
          <w:lang w:val="fr-FR"/>
        </w:rPr>
      </w:pPr>
      <w:r>
        <w:rPr>
          <w:rStyle w:val="FootnoteReference"/>
          <w:b/>
          <w:sz w:val="22"/>
          <w:lang w:val="fr-FR"/>
        </w:rPr>
        <w:footnoteRef/>
      </w:r>
      <w:r>
        <w:rPr>
          <w:sz w:val="22"/>
          <w:lang w:val="fr-FR"/>
        </w:rPr>
        <w:t xml:space="preserve">  Rapport technique sur la réforme de l'assurance sociale obligatoire.</w:t>
      </w:r>
    </w:p>
  </w:footnote>
  <w:footnote w:id="24">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bCs/>
          <w:sz w:val="22"/>
          <w:lang w:val="fr-FR"/>
        </w:rPr>
        <w:t>Constitution (art. 37).</w:t>
      </w:r>
    </w:p>
  </w:footnote>
  <w:footnote w:id="25">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bCs/>
          <w:sz w:val="22"/>
          <w:lang w:val="fr-FR"/>
        </w:rPr>
        <w:t>Ibid.  (art. 39).</w:t>
      </w:r>
    </w:p>
  </w:footnote>
  <w:footnote w:id="26">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bCs/>
          <w:sz w:val="22"/>
          <w:lang w:val="fr-FR"/>
        </w:rPr>
        <w:t xml:space="preserve">Voir </w:t>
      </w:r>
      <w:r>
        <w:rPr>
          <w:bCs/>
          <w:i/>
          <w:sz w:val="22"/>
          <w:lang w:val="fr-FR"/>
        </w:rPr>
        <w:t>Les enfants équatoriens dix ans après la Convention relative aux droits de l'enfance</w:t>
      </w:r>
      <w:r>
        <w:rPr>
          <w:bCs/>
          <w:sz w:val="22"/>
          <w:lang w:val="fr-FR"/>
        </w:rPr>
        <w:t>, Quito, INNFA-Secrétariat du développement humain-SINIÑEZ-SIISE, 1999.</w:t>
      </w:r>
    </w:p>
  </w:footnote>
  <w:footnote w:id="27">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bCs/>
          <w:sz w:val="22"/>
          <w:lang w:val="fr-FR"/>
        </w:rPr>
        <w:t>Ibid.</w:t>
      </w:r>
    </w:p>
  </w:footnote>
  <w:footnote w:id="28">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Ibid.</w:t>
      </w:r>
    </w:p>
  </w:footnote>
  <w:footnote w:id="29">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SIISE-SINIÑEZ, 1999.</w:t>
      </w:r>
    </w:p>
  </w:footnote>
  <w:footnote w:id="30">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color w:val="000000"/>
          <w:sz w:val="22"/>
          <w:lang w:val="fr-FR"/>
        </w:rPr>
        <w:t>Code des mineurs (art. 92).</w:t>
      </w:r>
    </w:p>
  </w:footnote>
  <w:footnote w:id="31">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color w:val="000000"/>
          <w:sz w:val="22"/>
          <w:lang w:val="fr-FR"/>
        </w:rPr>
        <w:t>INNFA.</w:t>
      </w:r>
    </w:p>
  </w:footnote>
  <w:footnote w:id="32">
    <w:p w:rsidR="00000000" w:rsidRDefault="00000000">
      <w:pPr>
        <w:spacing w:after="40"/>
        <w:ind w:firstLine="567"/>
        <w:rPr>
          <w:sz w:val="22"/>
          <w:lang w:val="fr-FR"/>
        </w:rPr>
      </w:pPr>
      <w:r>
        <w:rPr>
          <w:rStyle w:val="FootnoteReference"/>
          <w:b/>
          <w:sz w:val="22"/>
          <w:lang w:val="fr-FR"/>
        </w:rPr>
        <w:footnoteRef/>
      </w:r>
      <w:r>
        <w:rPr>
          <w:sz w:val="22"/>
          <w:lang w:val="fr-FR"/>
        </w:rPr>
        <w:t xml:space="preserve">  INEC, février 2000.  Pour 2002, le nombre de membres du foyer type a été ramené de 5 à 4, correspondant à un récipiendaire de salaire minimum vital.</w:t>
      </w:r>
    </w:p>
  </w:footnote>
  <w:footnote w:id="33">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color w:val="000000"/>
          <w:sz w:val="22"/>
          <w:lang w:val="fr-FR"/>
        </w:rPr>
        <w:t>CEDATOS ESTUDIOS &amp; DATOS : L’Équateur en perspective, novembre 1999.bb</w:t>
      </w:r>
    </w:p>
  </w:footnote>
  <w:footnote w:id="34">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color w:val="000000"/>
          <w:sz w:val="22"/>
          <w:lang w:val="fr-FR"/>
        </w:rPr>
        <w:t>Le panier de base pour un foyer type de cinq membres est l'ensemble des articles les plus représentatifs consommés ou utilisés par les foyers.  Le panier de pauvreté est composé essentiellement de produits alimentaires.</w:t>
      </w:r>
    </w:p>
  </w:footnote>
  <w:footnote w:id="35">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color w:val="000000"/>
          <w:sz w:val="22"/>
          <w:lang w:val="fr-FR"/>
        </w:rPr>
        <w:t>INEC, février 2000.</w:t>
      </w:r>
    </w:p>
  </w:footnote>
  <w:footnote w:id="36">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color w:val="000000"/>
          <w:sz w:val="22"/>
          <w:lang w:val="fr-FR"/>
        </w:rPr>
        <w:t>SIISE.</w:t>
      </w:r>
    </w:p>
  </w:footnote>
  <w:footnote w:id="37">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color w:val="000000"/>
          <w:sz w:val="22"/>
          <w:lang w:val="fr-FR"/>
        </w:rPr>
        <w:t>Équateur-BID, Analyse des programmes nutritionnels de la population maternelle</w:t>
      </w:r>
      <w:r>
        <w:rPr>
          <w:color w:val="000000"/>
          <w:sz w:val="22"/>
          <w:lang w:val="fr-FR"/>
        </w:rPr>
        <w:br/>
        <w:t xml:space="preserve"> et infantile, 1999.</w:t>
      </w:r>
    </w:p>
  </w:footnote>
  <w:footnote w:id="38">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color w:val="000000"/>
          <w:sz w:val="22"/>
          <w:lang w:val="fr-FR"/>
        </w:rPr>
        <w:t>Ministère de l'agriculture et de l'élevage, fiches de bilan alimentaire.</w:t>
      </w:r>
    </w:p>
  </w:footnote>
  <w:footnote w:id="39">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color w:val="000000"/>
          <w:sz w:val="22"/>
          <w:lang w:val="fr-FR"/>
        </w:rPr>
        <w:t>Données préliminaires, 2002.</w:t>
      </w:r>
    </w:p>
  </w:footnote>
  <w:footnote w:id="40">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color w:val="000000"/>
          <w:sz w:val="22"/>
          <w:lang w:val="fr-FR"/>
        </w:rPr>
        <w:t xml:space="preserve">Valeurs d'hémoglobine dans la population équatorienne, </w:t>
      </w:r>
      <w:r>
        <w:rPr>
          <w:i/>
          <w:iCs/>
          <w:color w:val="000000"/>
          <w:sz w:val="22"/>
          <w:lang w:val="fr-FR"/>
        </w:rPr>
        <w:t>Boletín Informativo del ICT</w:t>
      </w:r>
      <w:r>
        <w:rPr>
          <w:color w:val="000000"/>
          <w:sz w:val="22"/>
          <w:lang w:val="fr-FR"/>
        </w:rPr>
        <w:t>, nº 3, Institut national de la séance et de la technologie-Ministère de la santé.</w:t>
      </w:r>
    </w:p>
  </w:footnote>
  <w:footnote w:id="41">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sz w:val="22"/>
          <w:szCs w:val="28"/>
          <w:lang w:val="fr-FR"/>
        </w:rPr>
        <w:t>Le critère le plus utilisé pour le diagnostic de la malnutrition est un poids inférieur de deux écarts type (ET) par rapport à la valeur médiane de référence pour l'âge chronologique du sujet.</w:t>
      </w:r>
    </w:p>
  </w:footnote>
  <w:footnote w:id="42">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sz w:val="22"/>
          <w:szCs w:val="28"/>
          <w:lang w:val="fr-FR"/>
        </w:rPr>
        <w:t>Équateur : Analyse des programmes nutritionnels en faveur de la population maternelle et infantile.  Átalah S.  BID, décembre 1999.</w:t>
      </w:r>
    </w:p>
  </w:footnote>
  <w:footnote w:id="43">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color w:val="000000"/>
          <w:sz w:val="22"/>
          <w:szCs w:val="22"/>
          <w:lang w:val="fr-FR"/>
        </w:rPr>
        <w:t>Ibid.</w:t>
      </w:r>
    </w:p>
  </w:footnote>
  <w:footnote w:id="44">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iCs/>
          <w:sz w:val="22"/>
          <w:lang w:val="fr-FR"/>
        </w:rPr>
        <w:t>INIAP, Plan stratégique.  Technologies pour le développement agricole.</w:t>
      </w:r>
    </w:p>
  </w:footnote>
  <w:footnote w:id="45">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iCs/>
          <w:color w:val="000000"/>
          <w:sz w:val="22"/>
          <w:lang w:val="fr-FR"/>
        </w:rPr>
        <w:t>Evaluación Regional Agraria Ecuatoriana 1963-1964",</w:t>
      </w:r>
      <w:r>
        <w:rPr>
          <w:i/>
          <w:iCs/>
          <w:color w:val="000000"/>
          <w:sz w:val="22"/>
          <w:lang w:val="fr-FR"/>
        </w:rPr>
        <w:t xml:space="preserve"> Resumen Informe General</w:t>
      </w:r>
      <w:r>
        <w:rPr>
          <w:iCs/>
          <w:color w:val="000000"/>
          <w:sz w:val="22"/>
          <w:lang w:val="fr-FR"/>
        </w:rPr>
        <w:t>, MAG-JUNAPLA-IERAC, 1977.</w:t>
      </w:r>
    </w:p>
  </w:footnote>
  <w:footnote w:id="46">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iCs/>
          <w:color w:val="000000"/>
          <w:sz w:val="22"/>
          <w:lang w:val="fr-FR"/>
        </w:rPr>
        <w:t>Programme national de formation paysanne, Ministère de l’agriculture-INCCA, 1998.</w:t>
      </w:r>
    </w:p>
  </w:footnote>
  <w:footnote w:id="47">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iCs/>
          <w:color w:val="000000"/>
          <w:sz w:val="22"/>
          <w:lang w:val="fr-FR"/>
        </w:rPr>
        <w:t>CONADIS.</w:t>
      </w:r>
    </w:p>
  </w:footnote>
  <w:footnote w:id="48">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iCs/>
          <w:color w:val="000000"/>
          <w:sz w:val="22"/>
          <w:lang w:val="fr-FR"/>
        </w:rPr>
        <w:t>Cours de la Banque centrale de l’Équateur au 31 décembre 1999.</w:t>
      </w:r>
    </w:p>
  </w:footnote>
  <w:footnote w:id="49">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Document de fonds de l’ISP de la PUCE, </w:t>
      </w:r>
      <w:r>
        <w:rPr>
          <w:i/>
          <w:iCs/>
          <w:sz w:val="22"/>
          <w:lang w:val="fr-FR"/>
        </w:rPr>
        <w:t>Boletín APS No.  2</w:t>
      </w:r>
      <w:r>
        <w:rPr>
          <w:sz w:val="22"/>
          <w:lang w:val="fr-FR"/>
        </w:rPr>
        <w:t>, Ministère de la santé, décembre 1998.</w:t>
      </w:r>
    </w:p>
  </w:footnote>
  <w:footnote w:id="50">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Ministère de la santé, Plan national pour la santé mentale, novembre 1999.</w:t>
      </w:r>
    </w:p>
  </w:footnote>
  <w:footnote w:id="51">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CEPAR, Correo Poblacional y de la Salud, 1997.</w:t>
      </w:r>
    </w:p>
  </w:footnote>
  <w:footnote w:id="52">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Secrétariat technique de la protection sociale, SIISE, Plan gouvernemental pour la santé - Les grandes orientations 1998-2002.</w:t>
      </w:r>
    </w:p>
  </w:footnote>
  <w:footnote w:id="53">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color w:val="000000"/>
          <w:sz w:val="22"/>
          <w:lang w:val="fr-FR"/>
        </w:rPr>
        <w:t>Voir plus haut la note 50.</w:t>
      </w:r>
    </w:p>
  </w:footnote>
  <w:footnote w:id="54">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iCs/>
          <w:color w:val="000000"/>
          <w:sz w:val="22"/>
          <w:lang w:val="fr-FR"/>
        </w:rPr>
        <w:t>ENDEMAIN-94, Équateur, Enquête démographique et de santé maternelle est infantile.</w:t>
      </w:r>
    </w:p>
  </w:footnote>
  <w:footnote w:id="55">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iCs/>
          <w:color w:val="000000"/>
          <w:sz w:val="22"/>
          <w:lang w:val="fr-FR"/>
        </w:rPr>
        <w:t>ENDEMAIN-99, rapport préliminaire.</w:t>
      </w:r>
    </w:p>
  </w:footnote>
  <w:footnote w:id="56">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iCs/>
          <w:color w:val="000000"/>
          <w:sz w:val="22"/>
          <w:lang w:val="fr-FR"/>
        </w:rPr>
        <w:t>Ibid.</w:t>
      </w:r>
    </w:p>
  </w:footnote>
  <w:footnote w:id="57">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iCs/>
          <w:color w:val="000000"/>
          <w:sz w:val="22"/>
          <w:lang w:val="fr-FR"/>
        </w:rPr>
        <w:t>INEC, Enquête sur les conditions de vie, 1994-1999.</w:t>
      </w:r>
    </w:p>
  </w:footnote>
  <w:footnote w:id="58">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iCs/>
          <w:color w:val="000000"/>
          <w:sz w:val="22"/>
          <w:lang w:val="fr-FR"/>
        </w:rPr>
        <w:t>Programme national de santé génésique, Ministère de la santé, 1999.</w:t>
      </w:r>
    </w:p>
  </w:footnote>
  <w:footnote w:id="59">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iCs/>
          <w:color w:val="000000"/>
          <w:sz w:val="22"/>
          <w:lang w:val="fr-FR"/>
        </w:rPr>
        <w:t>INEC – Statistiques vitales 1997.</w:t>
      </w:r>
    </w:p>
  </w:footnote>
  <w:footnote w:id="60">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iCs/>
          <w:color w:val="000000"/>
          <w:sz w:val="22"/>
          <w:lang w:val="fr-FR"/>
        </w:rPr>
        <w:t>Ministère de la santé - Division de statistiques, Production de services.</w:t>
      </w:r>
    </w:p>
  </w:footnote>
  <w:footnote w:id="61">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iCs/>
          <w:color w:val="000000"/>
          <w:sz w:val="22"/>
          <w:lang w:val="fr-FR"/>
        </w:rPr>
        <w:t>ENDEMAIN-99, rapport préliminaire.</w:t>
      </w:r>
    </w:p>
  </w:footnote>
  <w:footnote w:id="62">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iCs/>
          <w:color w:val="000000"/>
          <w:sz w:val="22"/>
          <w:lang w:val="fr-FR"/>
        </w:rPr>
        <w:t>Voir A.  Zabala, B.  "La santé mentale entre la crise les espérances-la santé mentale parmi les autochtones", Ministère de la santé.</w:t>
      </w:r>
    </w:p>
  </w:footnote>
  <w:footnote w:id="63">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iCs/>
          <w:color w:val="000000"/>
          <w:sz w:val="22"/>
          <w:lang w:val="fr-FR"/>
        </w:rPr>
        <w:t>Ibid.</w:t>
      </w:r>
    </w:p>
  </w:footnote>
  <w:footnote w:id="64">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iCs/>
          <w:color w:val="000000"/>
          <w:sz w:val="22"/>
          <w:lang w:val="fr-FR"/>
        </w:rPr>
        <w:t>Ministère de la santé, Rôle de l’État, Politiques nationales de santé et réforme constitutionnelle.</w:t>
      </w:r>
    </w:p>
  </w:footnote>
  <w:footnote w:id="65">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Voir J. Suarez, "Los proyectos locales de promoción de la salud", APS, nº 3, Ministère de</w:t>
      </w:r>
      <w:r>
        <w:rPr>
          <w:sz w:val="22"/>
          <w:lang w:val="fr-FR"/>
        </w:rPr>
        <w:br/>
        <w:t>la santé.</w:t>
      </w:r>
    </w:p>
  </w:footnote>
  <w:footnote w:id="66">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Voir plus haut la note 64.</w:t>
      </w:r>
    </w:p>
  </w:footnote>
  <w:footnote w:id="67">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Ministère de la santé, Plan national de la santé 2000-2005.</w:t>
      </w:r>
    </w:p>
  </w:footnote>
  <w:footnote w:id="68">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Constitution (art. 66).</w:t>
      </w:r>
    </w:p>
  </w:footnote>
  <w:footnote w:id="69">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bCs/>
          <w:sz w:val="22"/>
          <w:lang w:val="fr-FR"/>
        </w:rPr>
        <w:t>INEC, Enquête sur les conditions de vie, série statistique 1994-1999.</w:t>
      </w:r>
    </w:p>
  </w:footnote>
  <w:footnote w:id="70">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bCs/>
          <w:sz w:val="22"/>
          <w:lang w:val="fr-FR"/>
        </w:rPr>
        <w:t>Ibid.</w:t>
      </w:r>
    </w:p>
  </w:footnote>
  <w:footnote w:id="71">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bCs/>
          <w:sz w:val="22"/>
          <w:lang w:val="fr-FR"/>
        </w:rPr>
        <w:t>Ministère de l'éducation et de la culture - Programme Réseaux amis.</w:t>
      </w:r>
    </w:p>
  </w:footnote>
  <w:footnote w:id="72">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bCs/>
          <w:sz w:val="22"/>
          <w:lang w:val="fr-FR"/>
        </w:rPr>
        <w:t>Recensement national, 21 novembre 2001.</w:t>
      </w:r>
    </w:p>
  </w:footnote>
  <w:footnote w:id="73">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bCs/>
          <w:iCs/>
          <w:color w:val="000000"/>
          <w:sz w:val="22"/>
          <w:lang w:val="fr-FR"/>
        </w:rPr>
        <w:t>Plan national de développement social de l’Équateur 1996-2005, Secrétariat à l'action sociale.</w:t>
      </w:r>
    </w:p>
  </w:footnote>
  <w:footnote w:id="74">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bCs/>
          <w:iCs/>
          <w:color w:val="000000"/>
          <w:sz w:val="22"/>
          <w:lang w:val="fr-FR"/>
        </w:rPr>
        <w:t>Voir Anuario Estadístico de Educación Intercultural Bilingüe - années scolaires 1989-1998, Ministère de l'éducation et de la culture, Projet EBI/GTC DINEIB.</w:t>
      </w:r>
    </w:p>
  </w:footnote>
  <w:footnote w:id="75">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w:t>
      </w:r>
      <w:r>
        <w:rPr>
          <w:bCs/>
          <w:iCs/>
          <w:color w:val="000000"/>
          <w:sz w:val="22"/>
          <w:lang w:val="fr-FR"/>
        </w:rPr>
        <w:t>Ibid.</w:t>
      </w:r>
    </w:p>
  </w:footnote>
  <w:footnote w:id="76">
    <w:p w:rsidR="00000000" w:rsidRDefault="00000000">
      <w:pPr>
        <w:pStyle w:val="FootnoteText"/>
        <w:spacing w:after="40"/>
        <w:ind w:firstLine="567"/>
        <w:rPr>
          <w:sz w:val="22"/>
          <w:lang w:val="fr-FR"/>
        </w:rPr>
      </w:pPr>
      <w:r>
        <w:rPr>
          <w:rStyle w:val="FootnoteReference"/>
          <w:b/>
          <w:sz w:val="22"/>
          <w:lang w:val="fr-FR"/>
        </w:rPr>
        <w:footnoteRef/>
      </w:r>
      <w:r>
        <w:rPr>
          <w:sz w:val="22"/>
          <w:lang w:val="fr-FR"/>
        </w:rPr>
        <w:t xml:space="preserve">  Voir plus haut la note 73.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E/1990/6/Add.36</w:t>
    </w:r>
  </w:p>
  <w:p w:rsidR="00000000" w:rsidRDefault="00000000">
    <w:pPr>
      <w:pStyle w:val="Header"/>
      <w:rPr>
        <w:lang w:val="fr-FR"/>
      </w:rPr>
    </w:pPr>
    <w:r>
      <w:rPr>
        <w:lang w:val="fr-FR"/>
      </w:rPr>
      <w:t xml:space="preserve">page </w:t>
    </w:r>
    <w:r>
      <w:rPr>
        <w:rStyle w:val="PageNumber"/>
        <w:lang w:val="fr-FR"/>
      </w:rPr>
      <w:fldChar w:fldCharType="begin"/>
    </w:r>
    <w:r>
      <w:rPr>
        <w:rStyle w:val="PageNumber"/>
        <w:lang w:val="fr-FR"/>
      </w:rPr>
      <w:instrText xml:space="preserve"> PAGE </w:instrText>
    </w:r>
    <w:r>
      <w:rPr>
        <w:rStyle w:val="PageNumber"/>
        <w:lang w:val="fr-FR"/>
      </w:rPr>
      <w:fldChar w:fldCharType="separate"/>
    </w:r>
    <w:r>
      <w:rPr>
        <w:rStyle w:val="PageNumber"/>
        <w:noProof/>
        <w:lang w:val="fr-FR"/>
      </w:rPr>
      <w:t>134</w:t>
    </w:r>
    <w:r>
      <w:rPr>
        <w:rStyle w:val="PageNumber"/>
        <w:lang w:val="fr-FR"/>
      </w:rPr>
      <w:fldChar w:fldCharType="end"/>
    </w:r>
  </w:p>
  <w:p w:rsidR="00000000" w:rsidRDefault="00000000">
    <w:pPr>
      <w:pStyle w:val="Header"/>
      <w:rPr>
        <w:lang w:val="fr-FR"/>
      </w:rPr>
    </w:pP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711"/>
      </w:tabs>
      <w:rPr>
        <w:lang w:val="it-IT"/>
      </w:rPr>
    </w:pPr>
    <w:r>
      <w:rPr>
        <w:lang w:val="it-IT"/>
      </w:rPr>
      <w:tab/>
      <w:t>E/1990/6/Add.36</w:t>
    </w:r>
  </w:p>
  <w:p w:rsidR="00000000" w:rsidRDefault="00000000">
    <w:pPr>
      <w:pStyle w:val="Header"/>
      <w:tabs>
        <w:tab w:val="clear" w:pos="4320"/>
        <w:tab w:val="clear" w:pos="8640"/>
        <w:tab w:val="left" w:pos="7711"/>
      </w:tabs>
      <w:rPr>
        <w:lang w:val="pt-PT"/>
      </w:rPr>
    </w:pPr>
    <w:r>
      <w:rPr>
        <w:lang w:val="it-IT"/>
      </w:rPr>
      <w:tab/>
    </w:r>
    <w:r>
      <w:rPr>
        <w:lang w:val="pt-PT"/>
      </w:rPr>
      <w:t xml:space="preserve">page </w:t>
    </w:r>
    <w:r>
      <w:rPr>
        <w:rStyle w:val="PageNumber"/>
      </w:rPr>
      <w:fldChar w:fldCharType="begin"/>
    </w:r>
    <w:r>
      <w:rPr>
        <w:rStyle w:val="PageNumber"/>
        <w:lang w:val="pt-PT"/>
      </w:rPr>
      <w:instrText xml:space="preserve"> PAGE </w:instrText>
    </w:r>
    <w:r>
      <w:rPr>
        <w:rStyle w:val="PageNumber"/>
      </w:rPr>
      <w:fldChar w:fldCharType="separate"/>
    </w:r>
    <w:r>
      <w:rPr>
        <w:rStyle w:val="PageNumber"/>
        <w:noProof/>
        <w:lang w:val="pt-PT"/>
      </w:rPr>
      <w:t>135</w:t>
    </w:r>
    <w:r>
      <w:rPr>
        <w:rStyle w:val="PageNumber"/>
      </w:rPr>
      <w:fldChar w:fldCharType="end"/>
    </w:r>
  </w:p>
  <w:p w:rsidR="00000000" w:rsidRDefault="00000000">
    <w:pPr>
      <w:pStyle w:val="Header"/>
      <w:tabs>
        <w:tab w:val="clear" w:pos="4320"/>
        <w:tab w:val="clear" w:pos="8640"/>
        <w:tab w:val="left" w:pos="7598"/>
      </w:tabs>
      <w:rPr>
        <w:lang w:val="pt-PT"/>
      </w:rPr>
    </w:pPr>
  </w:p>
  <w:p w:rsidR="00000000" w:rsidRDefault="00000000">
    <w:pPr>
      <w:pStyle w:val="Header"/>
      <w:tabs>
        <w:tab w:val="clear" w:pos="4320"/>
        <w:tab w:val="clear" w:pos="8640"/>
        <w:tab w:val="left" w:pos="7598"/>
      </w:tabs>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673FE"/>
    <w:multiLevelType w:val="hybridMultilevel"/>
    <w:tmpl w:val="758C0B44"/>
    <w:lvl w:ilvl="0" w:tplc="13B0AF3E">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22856D2"/>
    <w:multiLevelType w:val="hybridMultilevel"/>
    <w:tmpl w:val="FEACC47C"/>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30E54DF"/>
    <w:multiLevelType w:val="hybridMultilevel"/>
    <w:tmpl w:val="5B58AB2E"/>
    <w:lvl w:ilvl="0" w:tplc="23A25AA0">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3910C07"/>
    <w:multiLevelType w:val="hybridMultilevel"/>
    <w:tmpl w:val="25E2B6D2"/>
    <w:lvl w:ilvl="0" w:tplc="8FB6CF2E">
      <w:start w:val="1"/>
      <w:numFmt w:val="bullet"/>
      <w:lvlText w:val=""/>
      <w:lvlJc w:val="left"/>
      <w:pPr>
        <w:tabs>
          <w:tab w:val="num" w:pos="360"/>
        </w:tabs>
        <w:ind w:left="340" w:hanging="340"/>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4C93D6F"/>
    <w:multiLevelType w:val="hybridMultilevel"/>
    <w:tmpl w:val="2E722414"/>
    <w:lvl w:ilvl="0" w:tplc="8FB6CF2E">
      <w:start w:val="1"/>
      <w:numFmt w:val="bullet"/>
      <w:lvlText w:val=""/>
      <w:lvlJc w:val="left"/>
      <w:pPr>
        <w:tabs>
          <w:tab w:val="num" w:pos="720"/>
        </w:tabs>
        <w:ind w:left="700" w:hanging="340"/>
      </w:pPr>
      <w:rPr>
        <w:rFonts w:ascii="Symbol" w:hAnsi="Symbol"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
    <w:nsid w:val="06830706"/>
    <w:multiLevelType w:val="hybridMultilevel"/>
    <w:tmpl w:val="20A4AAA4"/>
    <w:lvl w:ilvl="0" w:tplc="A4305BB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08264E5E"/>
    <w:multiLevelType w:val="hybridMultilevel"/>
    <w:tmpl w:val="40288932"/>
    <w:lvl w:ilvl="0" w:tplc="D020E9D4">
      <w:start w:val="1"/>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9775834"/>
    <w:multiLevelType w:val="hybridMultilevel"/>
    <w:tmpl w:val="3D600912"/>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09A24EFC"/>
    <w:multiLevelType w:val="hybridMultilevel"/>
    <w:tmpl w:val="9F36795C"/>
    <w:lvl w:ilvl="0" w:tplc="A010FA58">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0A952083"/>
    <w:multiLevelType w:val="hybridMultilevel"/>
    <w:tmpl w:val="ED4ABF10"/>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0B100F37"/>
    <w:multiLevelType w:val="hybridMultilevel"/>
    <w:tmpl w:val="2F400F84"/>
    <w:lvl w:ilvl="0" w:tplc="A4305BB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0E5E5076"/>
    <w:multiLevelType w:val="hybridMultilevel"/>
    <w:tmpl w:val="D2FC9708"/>
    <w:lvl w:ilvl="0" w:tplc="BDEA30F6">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0F3932B9"/>
    <w:multiLevelType w:val="hybridMultilevel"/>
    <w:tmpl w:val="5344BB7C"/>
    <w:lvl w:ilvl="0" w:tplc="BE30A86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0D57612"/>
    <w:multiLevelType w:val="hybridMultilevel"/>
    <w:tmpl w:val="EB7EDCF2"/>
    <w:lvl w:ilvl="0" w:tplc="DA6E559E">
      <w:start w:val="1"/>
      <w:numFmt w:val="lowerRoman"/>
      <w:lvlText w:val="%1)"/>
      <w:lvlJc w:val="left"/>
      <w:pPr>
        <w:tabs>
          <w:tab w:val="num" w:pos="1701"/>
        </w:tabs>
        <w:ind w:left="1701" w:hanging="567"/>
      </w:pPr>
      <w:rPr>
        <w:rFonts w:hint="default"/>
      </w:rPr>
    </w:lvl>
    <w:lvl w:ilvl="1" w:tplc="E9B8CF7E">
      <w:start w:val="1"/>
      <w:numFmt w:val="lowerLetter"/>
      <w:lvlText w:val="%2)"/>
      <w:lvlJc w:val="left"/>
      <w:pPr>
        <w:tabs>
          <w:tab w:val="num" w:pos="1650"/>
        </w:tabs>
        <w:ind w:left="1650" w:hanging="57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1B92740"/>
    <w:multiLevelType w:val="hybridMultilevel"/>
    <w:tmpl w:val="D9C63DC0"/>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25F6C58"/>
    <w:multiLevelType w:val="hybridMultilevel"/>
    <w:tmpl w:val="7408C51C"/>
    <w:lvl w:ilvl="0" w:tplc="F244997A">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1340388C"/>
    <w:multiLevelType w:val="hybridMultilevel"/>
    <w:tmpl w:val="84A07AE6"/>
    <w:lvl w:ilvl="0" w:tplc="EB6ACD88">
      <w:start w:val="10"/>
      <w:numFmt w:val="bullet"/>
      <w:lvlText w:val=""/>
      <w:lvlJc w:val="left"/>
      <w:pPr>
        <w:tabs>
          <w:tab w:val="num" w:pos="720"/>
        </w:tabs>
        <w:ind w:left="720" w:hanging="360"/>
      </w:pPr>
      <w:rPr>
        <w:rFonts w:ascii="Symbol" w:eastAsia="Times New Roman" w:hAnsi="Symbol" w:cs="Times New Roman" w:hint="default"/>
        <w: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3F436E2"/>
    <w:multiLevelType w:val="hybridMultilevel"/>
    <w:tmpl w:val="5EC628B4"/>
    <w:lvl w:ilvl="0" w:tplc="B1242A68">
      <w:start w:val="1"/>
      <w:numFmt w:val="lowerLetter"/>
      <w:lvlText w:val="%1)"/>
      <w:lvlJc w:val="left"/>
      <w:pPr>
        <w:tabs>
          <w:tab w:val="num" w:pos="1134"/>
        </w:tabs>
        <w:ind w:left="1134"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162B142F"/>
    <w:multiLevelType w:val="hybridMultilevel"/>
    <w:tmpl w:val="20A4AAA4"/>
    <w:lvl w:ilvl="0" w:tplc="9E78FFA2">
      <w:start w:val="1"/>
      <w:numFmt w:val="bullet"/>
      <w:lvlText w:val="–"/>
      <w:lvlJc w:val="left"/>
      <w:pPr>
        <w:tabs>
          <w:tab w:val="num" w:pos="1134"/>
        </w:tabs>
        <w:ind w:left="1134" w:hanging="567"/>
      </w:pPr>
      <w:rPr>
        <w:rFonts w:ascii="Times New Roman" w:cs="Times New Roman"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16987107"/>
    <w:multiLevelType w:val="hybridMultilevel"/>
    <w:tmpl w:val="CEF2ADCC"/>
    <w:lvl w:ilvl="0" w:tplc="7E505DAA">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16FD2032"/>
    <w:multiLevelType w:val="hybridMultilevel"/>
    <w:tmpl w:val="A142F3EE"/>
    <w:lvl w:ilvl="0" w:tplc="8B7C938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187C788D"/>
    <w:multiLevelType w:val="hybridMultilevel"/>
    <w:tmpl w:val="3678188E"/>
    <w:lvl w:ilvl="0" w:tplc="FA54FE2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1DE344BF"/>
    <w:multiLevelType w:val="hybridMultilevel"/>
    <w:tmpl w:val="4A980F62"/>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1EAC595A"/>
    <w:multiLevelType w:val="hybridMultilevel"/>
    <w:tmpl w:val="08C277F4"/>
    <w:lvl w:ilvl="0" w:tplc="B76C4038">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1F121BDF"/>
    <w:multiLevelType w:val="hybridMultilevel"/>
    <w:tmpl w:val="2AE876B6"/>
    <w:lvl w:ilvl="0" w:tplc="EDC8C9F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1F2D26E5"/>
    <w:multiLevelType w:val="hybridMultilevel"/>
    <w:tmpl w:val="F53EE524"/>
    <w:lvl w:ilvl="0" w:tplc="7D547348">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1FE4310A"/>
    <w:multiLevelType w:val="hybridMultilevel"/>
    <w:tmpl w:val="C596B5C4"/>
    <w:lvl w:ilvl="0" w:tplc="3176C5F8">
      <w:start w:val="2"/>
      <w:numFmt w:val="bullet"/>
      <w:lvlText w:val="–"/>
      <w:lvlJc w:val="left"/>
      <w:pPr>
        <w:tabs>
          <w:tab w:val="num" w:pos="1701"/>
        </w:tabs>
        <w:ind w:left="1701" w:hanging="567"/>
      </w:pPr>
      <w:rPr>
        <w:rFonts w:ascii="Times New Roman" w:cs="Times New Roman" w:hint="default"/>
      </w:rPr>
    </w:lvl>
    <w:lvl w:ilvl="1" w:tplc="935831E6">
      <w:start w:val="3"/>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20CB4BD1"/>
    <w:multiLevelType w:val="hybridMultilevel"/>
    <w:tmpl w:val="4EA44088"/>
    <w:lvl w:ilvl="0" w:tplc="B1242A68">
      <w:start w:val="1"/>
      <w:numFmt w:val="lowerLetter"/>
      <w:lvlText w:val="%1)"/>
      <w:lvlJc w:val="left"/>
      <w:pPr>
        <w:tabs>
          <w:tab w:val="num" w:pos="1134"/>
        </w:tabs>
        <w:ind w:left="1134" w:hanging="567"/>
      </w:pPr>
      <w:rPr>
        <w:rFonts w:hint="default"/>
      </w:rPr>
    </w:lvl>
    <w:lvl w:ilvl="1" w:tplc="1B76EF54">
      <w:start w:val="2"/>
      <w:numFmt w:val="low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237D3C52"/>
    <w:multiLevelType w:val="hybridMultilevel"/>
    <w:tmpl w:val="B1F461C6"/>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244C3B6E"/>
    <w:multiLevelType w:val="hybridMultilevel"/>
    <w:tmpl w:val="33B88068"/>
    <w:lvl w:ilvl="0" w:tplc="F4481342">
      <w:start w:val="1"/>
      <w:numFmt w:val="lowerLetter"/>
      <w:lvlText w:val="%1)"/>
      <w:lvlJc w:val="left"/>
      <w:pPr>
        <w:tabs>
          <w:tab w:val="num" w:pos="1134"/>
        </w:tabs>
        <w:ind w:left="1134" w:hanging="567"/>
      </w:pPr>
      <w:rPr>
        <w:rFonts w:hint="default"/>
      </w:rPr>
    </w:lvl>
    <w:lvl w:ilvl="1" w:tplc="97DC76B4">
      <w:start w:val="1"/>
      <w:numFmt w:val="lowerLetter"/>
      <w:lvlText w:val="%2)"/>
      <w:lvlJc w:val="left"/>
      <w:pPr>
        <w:tabs>
          <w:tab w:val="num" w:pos="1134"/>
        </w:tabs>
        <w:ind w:left="1134"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247C52A2"/>
    <w:multiLevelType w:val="hybridMultilevel"/>
    <w:tmpl w:val="A24E1266"/>
    <w:lvl w:ilvl="0" w:tplc="215AF9DA">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2529601C"/>
    <w:multiLevelType w:val="hybridMultilevel"/>
    <w:tmpl w:val="A8F2EFAC"/>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256A067D"/>
    <w:multiLevelType w:val="hybridMultilevel"/>
    <w:tmpl w:val="EB8E38E0"/>
    <w:lvl w:ilvl="0" w:tplc="A428391A">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25D347AD"/>
    <w:multiLevelType w:val="hybridMultilevel"/>
    <w:tmpl w:val="068EED32"/>
    <w:lvl w:ilvl="0" w:tplc="B1242A68">
      <w:start w:val="1"/>
      <w:numFmt w:val="lowerLetter"/>
      <w:lvlText w:val="%1)"/>
      <w:lvlJc w:val="left"/>
      <w:pPr>
        <w:tabs>
          <w:tab w:val="num" w:pos="1134"/>
        </w:tabs>
        <w:ind w:left="1134"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2702276B"/>
    <w:multiLevelType w:val="hybridMultilevel"/>
    <w:tmpl w:val="BF826682"/>
    <w:lvl w:ilvl="0" w:tplc="D020E9D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273260F2"/>
    <w:multiLevelType w:val="hybridMultilevel"/>
    <w:tmpl w:val="F70E6F42"/>
    <w:lvl w:ilvl="0" w:tplc="B1242A68">
      <w:start w:val="1"/>
      <w:numFmt w:val="lowerLetter"/>
      <w:lvlText w:val="%1)"/>
      <w:lvlJc w:val="left"/>
      <w:pPr>
        <w:tabs>
          <w:tab w:val="num" w:pos="1134"/>
        </w:tabs>
        <w:ind w:left="1134"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27CE3AA8"/>
    <w:multiLevelType w:val="hybridMultilevel"/>
    <w:tmpl w:val="05B8E162"/>
    <w:lvl w:ilvl="0" w:tplc="8FB6CF2E">
      <w:start w:val="1"/>
      <w:numFmt w:val="bullet"/>
      <w:lvlText w:val=""/>
      <w:lvlJc w:val="left"/>
      <w:pPr>
        <w:tabs>
          <w:tab w:val="num" w:pos="360"/>
        </w:tabs>
        <w:ind w:left="340" w:hanging="340"/>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29067E85"/>
    <w:multiLevelType w:val="hybridMultilevel"/>
    <w:tmpl w:val="DB7A60C8"/>
    <w:lvl w:ilvl="0" w:tplc="27F6530E">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29880628"/>
    <w:multiLevelType w:val="hybridMultilevel"/>
    <w:tmpl w:val="99F2539E"/>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2A5E0957"/>
    <w:multiLevelType w:val="hybridMultilevel"/>
    <w:tmpl w:val="DF681D76"/>
    <w:lvl w:ilvl="0" w:tplc="83F8267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0">
    <w:nsid w:val="2E552C9A"/>
    <w:multiLevelType w:val="hybridMultilevel"/>
    <w:tmpl w:val="3AECED64"/>
    <w:lvl w:ilvl="0" w:tplc="DF0C8218">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2F7B39E7"/>
    <w:multiLevelType w:val="hybridMultilevel"/>
    <w:tmpl w:val="344CB6B6"/>
    <w:lvl w:ilvl="0" w:tplc="B1242A68">
      <w:start w:val="1"/>
      <w:numFmt w:val="lowerLetter"/>
      <w:lvlText w:val="%1)"/>
      <w:lvlJc w:val="left"/>
      <w:pPr>
        <w:tabs>
          <w:tab w:val="num" w:pos="1134"/>
        </w:tabs>
        <w:ind w:left="1134"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304B73BF"/>
    <w:multiLevelType w:val="hybridMultilevel"/>
    <w:tmpl w:val="0E042A5E"/>
    <w:lvl w:ilvl="0" w:tplc="B50C0E68">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33737845"/>
    <w:multiLevelType w:val="hybridMultilevel"/>
    <w:tmpl w:val="E0CA3014"/>
    <w:lvl w:ilvl="0" w:tplc="F7202CB0">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nsid w:val="343F0FBE"/>
    <w:multiLevelType w:val="hybridMultilevel"/>
    <w:tmpl w:val="15ACC018"/>
    <w:lvl w:ilvl="0" w:tplc="A1861746">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35315357"/>
    <w:multiLevelType w:val="hybridMultilevel"/>
    <w:tmpl w:val="E82C9FD4"/>
    <w:lvl w:ilvl="0" w:tplc="73F88FC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35704B8D"/>
    <w:multiLevelType w:val="hybridMultilevel"/>
    <w:tmpl w:val="8D78E0AE"/>
    <w:lvl w:ilvl="0" w:tplc="CC429098">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37CC42F3"/>
    <w:multiLevelType w:val="hybridMultilevel"/>
    <w:tmpl w:val="502889F2"/>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
    <w:nsid w:val="38962402"/>
    <w:multiLevelType w:val="hybridMultilevel"/>
    <w:tmpl w:val="4BE042F4"/>
    <w:lvl w:ilvl="0" w:tplc="5DAC2AC0">
      <w:start w:val="1"/>
      <w:numFmt w:val="lowerRoman"/>
      <w:lvlText w:val="%1."/>
      <w:lvlJc w:val="left"/>
      <w:pPr>
        <w:tabs>
          <w:tab w:val="num" w:pos="1701"/>
        </w:tabs>
        <w:ind w:left="1701"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38E30FA3"/>
    <w:multiLevelType w:val="hybridMultilevel"/>
    <w:tmpl w:val="1EA037F8"/>
    <w:lvl w:ilvl="0" w:tplc="8FB6CF2E">
      <w:start w:val="1"/>
      <w:numFmt w:val="bullet"/>
      <w:lvlText w:val=""/>
      <w:lvlJc w:val="left"/>
      <w:pPr>
        <w:tabs>
          <w:tab w:val="num" w:pos="360"/>
        </w:tabs>
        <w:ind w:left="340" w:hanging="340"/>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39325FA2"/>
    <w:multiLevelType w:val="hybridMultilevel"/>
    <w:tmpl w:val="9F3A09BA"/>
    <w:lvl w:ilvl="0" w:tplc="04090001">
      <w:start w:val="30"/>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9C500E1"/>
    <w:multiLevelType w:val="hybridMultilevel"/>
    <w:tmpl w:val="29DC44FE"/>
    <w:lvl w:ilvl="0" w:tplc="2B548A4C">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3AE11B48"/>
    <w:multiLevelType w:val="hybridMultilevel"/>
    <w:tmpl w:val="8D7A0978"/>
    <w:lvl w:ilvl="0" w:tplc="842E5D3E">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
    <w:nsid w:val="3C0D0EF6"/>
    <w:multiLevelType w:val="hybridMultilevel"/>
    <w:tmpl w:val="4A2E2834"/>
    <w:lvl w:ilvl="0" w:tplc="E688937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4">
    <w:nsid w:val="3D907C95"/>
    <w:multiLevelType w:val="hybridMultilevel"/>
    <w:tmpl w:val="8D1CFAE0"/>
    <w:lvl w:ilvl="0" w:tplc="73F88FC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
    <w:nsid w:val="3DBD35E4"/>
    <w:multiLevelType w:val="hybridMultilevel"/>
    <w:tmpl w:val="A5E49908"/>
    <w:lvl w:ilvl="0" w:tplc="4DC045F2">
      <w:start w:val="2"/>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6">
    <w:nsid w:val="3F79342A"/>
    <w:multiLevelType w:val="hybridMultilevel"/>
    <w:tmpl w:val="1E96E552"/>
    <w:lvl w:ilvl="0" w:tplc="EBB4D8DC">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409E3D4C"/>
    <w:multiLevelType w:val="hybridMultilevel"/>
    <w:tmpl w:val="D8C0BB18"/>
    <w:lvl w:ilvl="0" w:tplc="B5D4392C">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41A62EF9"/>
    <w:multiLevelType w:val="hybridMultilevel"/>
    <w:tmpl w:val="9CC8373E"/>
    <w:lvl w:ilvl="0" w:tplc="B1242A68">
      <w:start w:val="1"/>
      <w:numFmt w:val="lowerLetter"/>
      <w:lvlText w:val="%1)"/>
      <w:lvlJc w:val="left"/>
      <w:pPr>
        <w:tabs>
          <w:tab w:val="num" w:pos="1134"/>
        </w:tabs>
        <w:ind w:left="1134"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
    <w:nsid w:val="45A05714"/>
    <w:multiLevelType w:val="hybridMultilevel"/>
    <w:tmpl w:val="D128A3C0"/>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0">
    <w:nsid w:val="45A51196"/>
    <w:multiLevelType w:val="hybridMultilevel"/>
    <w:tmpl w:val="D72C5EBA"/>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46AC0978"/>
    <w:multiLevelType w:val="hybridMultilevel"/>
    <w:tmpl w:val="5B58AB2E"/>
    <w:lvl w:ilvl="0" w:tplc="23A25AA0">
      <w:start w:val="1"/>
      <w:numFmt w:val="bullet"/>
      <w:lvlText w:val="–"/>
      <w:lvlJc w:val="left"/>
      <w:pPr>
        <w:tabs>
          <w:tab w:val="num" w:pos="1134"/>
        </w:tabs>
        <w:ind w:left="1134" w:hanging="567"/>
      </w:pPr>
      <w:rPr>
        <w:rFonts w:ascii="Times New Roman" w:cs="Times New Roman" w:hint="default"/>
      </w:rPr>
    </w:lvl>
    <w:lvl w:ilvl="1" w:tplc="9E78FFA2">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48121ECA"/>
    <w:multiLevelType w:val="hybridMultilevel"/>
    <w:tmpl w:val="D8887FC0"/>
    <w:lvl w:ilvl="0" w:tplc="73F88FC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48AC2F82"/>
    <w:multiLevelType w:val="hybridMultilevel"/>
    <w:tmpl w:val="92B26154"/>
    <w:lvl w:ilvl="0" w:tplc="3B8258D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4">
    <w:nsid w:val="49866C0A"/>
    <w:multiLevelType w:val="hybridMultilevel"/>
    <w:tmpl w:val="41DC1C26"/>
    <w:lvl w:ilvl="0" w:tplc="34B69422">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498D60AE"/>
    <w:multiLevelType w:val="hybridMultilevel"/>
    <w:tmpl w:val="607274F8"/>
    <w:lvl w:ilvl="0" w:tplc="A7D66F8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6">
    <w:nsid w:val="49A51617"/>
    <w:multiLevelType w:val="hybridMultilevel"/>
    <w:tmpl w:val="34D2A58E"/>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7">
    <w:nsid w:val="49DB176A"/>
    <w:multiLevelType w:val="hybridMultilevel"/>
    <w:tmpl w:val="2C701292"/>
    <w:lvl w:ilvl="0" w:tplc="62781440">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
    <w:nsid w:val="49F86F2E"/>
    <w:multiLevelType w:val="hybridMultilevel"/>
    <w:tmpl w:val="1764D1AE"/>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9">
    <w:nsid w:val="4A0D281D"/>
    <w:multiLevelType w:val="hybridMultilevel"/>
    <w:tmpl w:val="5398714A"/>
    <w:lvl w:ilvl="0" w:tplc="E6889370">
      <w:start w:val="1"/>
      <w:numFmt w:val="lowerLetter"/>
      <w:lvlText w:val="%1)"/>
      <w:lvlJc w:val="left"/>
      <w:pPr>
        <w:tabs>
          <w:tab w:val="num" w:pos="1134"/>
        </w:tabs>
        <w:ind w:left="1134" w:hanging="567"/>
      </w:pPr>
      <w:rPr>
        <w:rFonts w:hint="default"/>
      </w:rPr>
    </w:lvl>
    <w:lvl w:ilvl="1" w:tplc="E6889370">
      <w:start w:val="1"/>
      <w:numFmt w:val="lowerLetter"/>
      <w:lvlText w:val="%2)"/>
      <w:lvlJc w:val="left"/>
      <w:pPr>
        <w:tabs>
          <w:tab w:val="num" w:pos="1134"/>
        </w:tabs>
        <w:ind w:left="1134"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0">
    <w:nsid w:val="4CBB7A39"/>
    <w:multiLevelType w:val="hybridMultilevel"/>
    <w:tmpl w:val="930240CA"/>
    <w:lvl w:ilvl="0" w:tplc="76B470CA">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1">
    <w:nsid w:val="4CE41500"/>
    <w:multiLevelType w:val="hybridMultilevel"/>
    <w:tmpl w:val="9E188D90"/>
    <w:lvl w:ilvl="0" w:tplc="F572965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2">
    <w:nsid w:val="4D4921E3"/>
    <w:multiLevelType w:val="hybridMultilevel"/>
    <w:tmpl w:val="FCC81052"/>
    <w:lvl w:ilvl="0" w:tplc="3176C5F8">
      <w:start w:val="2"/>
      <w:numFmt w:val="bullet"/>
      <w:lvlText w:val="–"/>
      <w:lvlJc w:val="left"/>
      <w:pPr>
        <w:tabs>
          <w:tab w:val="num" w:pos="1134"/>
        </w:tabs>
        <w:ind w:left="1134" w:hanging="567"/>
      </w:pPr>
      <w:rPr>
        <w:rFonts w:ascii="Times New Roman" w:cs="Times New Roman" w:hint="default"/>
      </w:rPr>
    </w:lvl>
    <w:lvl w:ilvl="1" w:tplc="7D76ACE2">
      <w:start w:val="2"/>
      <w:numFmt w:val="low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4D4A58FE"/>
    <w:multiLevelType w:val="hybridMultilevel"/>
    <w:tmpl w:val="A82C1602"/>
    <w:lvl w:ilvl="0" w:tplc="DDFC85A6">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4DD660C5"/>
    <w:multiLevelType w:val="hybridMultilevel"/>
    <w:tmpl w:val="03C02AB8"/>
    <w:lvl w:ilvl="0" w:tplc="DB30807E">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5">
    <w:nsid w:val="4E1B1ACF"/>
    <w:multiLevelType w:val="hybridMultilevel"/>
    <w:tmpl w:val="155478AC"/>
    <w:lvl w:ilvl="0" w:tplc="E6889370">
      <w:start w:val="1"/>
      <w:numFmt w:val="lowerLetter"/>
      <w:lvlText w:val="%1)"/>
      <w:lvlJc w:val="left"/>
      <w:pPr>
        <w:tabs>
          <w:tab w:val="num" w:pos="1134"/>
        </w:tabs>
        <w:ind w:left="1134" w:hanging="567"/>
      </w:pPr>
      <w:rPr>
        <w:rFonts w:hint="default"/>
      </w:rPr>
    </w:lvl>
    <w:lvl w:ilvl="1" w:tplc="7D76ACE2">
      <w:start w:val="2"/>
      <w:numFmt w:val="lowerRoman"/>
      <w:lvlText w:val="(%2)"/>
      <w:lvlJc w:val="left"/>
      <w:pPr>
        <w:tabs>
          <w:tab w:val="num" w:pos="1800"/>
        </w:tabs>
        <w:ind w:left="1800" w:hanging="720"/>
      </w:pPr>
      <w:rPr>
        <w:rFonts w:hint="default"/>
      </w:rPr>
    </w:lvl>
    <w:lvl w:ilvl="2" w:tplc="BE4297E6">
      <w:start w:val="371"/>
      <w:numFmt w:val="decimal"/>
      <w:lvlText w:val="%3."/>
      <w:lvlJc w:val="left"/>
      <w:pPr>
        <w:tabs>
          <w:tab w:val="num" w:pos="2550"/>
        </w:tabs>
        <w:ind w:left="2550" w:hanging="57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6">
    <w:nsid w:val="4E961BFB"/>
    <w:multiLevelType w:val="hybridMultilevel"/>
    <w:tmpl w:val="4242428E"/>
    <w:lvl w:ilvl="0" w:tplc="8B7C938E">
      <w:start w:val="1"/>
      <w:numFmt w:val="lowerLetter"/>
      <w:lvlText w:val="%1)"/>
      <w:lvlJc w:val="left"/>
      <w:pPr>
        <w:tabs>
          <w:tab w:val="num" w:pos="1134"/>
        </w:tabs>
        <w:ind w:left="1134" w:hanging="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7">
    <w:nsid w:val="4EB00702"/>
    <w:multiLevelType w:val="hybridMultilevel"/>
    <w:tmpl w:val="055622A0"/>
    <w:lvl w:ilvl="0" w:tplc="452046C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50D95646"/>
    <w:multiLevelType w:val="hybridMultilevel"/>
    <w:tmpl w:val="1EC4A1DA"/>
    <w:lvl w:ilvl="0" w:tplc="13F05FE4">
      <w:start w:val="3"/>
      <w:numFmt w:val="bullet"/>
      <w:lvlText w:val="-"/>
      <w:lvlJc w:val="left"/>
      <w:pPr>
        <w:tabs>
          <w:tab w:val="num" w:pos="930"/>
        </w:tabs>
        <w:ind w:left="930" w:hanging="36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79">
    <w:nsid w:val="522820B3"/>
    <w:multiLevelType w:val="hybridMultilevel"/>
    <w:tmpl w:val="572E018E"/>
    <w:lvl w:ilvl="0" w:tplc="DEEE0D6E">
      <w:start w:val="1"/>
      <w:numFmt w:val="lowerLetter"/>
      <w:lvlText w:val="%1)"/>
      <w:lvlJc w:val="left"/>
      <w:pPr>
        <w:tabs>
          <w:tab w:val="num" w:pos="1134"/>
        </w:tabs>
        <w:ind w:left="1134" w:hanging="567"/>
      </w:pPr>
      <w:rPr>
        <w:rFonts w:hint="default"/>
      </w:rPr>
    </w:lvl>
    <w:lvl w:ilvl="1" w:tplc="05028B18">
      <w:start w:val="1"/>
      <w:numFmt w:val="bullet"/>
      <w:lvlText w:val="–"/>
      <w:lvlJc w:val="left"/>
      <w:pPr>
        <w:tabs>
          <w:tab w:val="num" w:pos="1134"/>
        </w:tabs>
        <w:ind w:left="1134" w:hanging="567"/>
      </w:pPr>
      <w:rPr>
        <w:rFonts w:ascii="Times New Roman" w:cs="Times New Roman"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nsid w:val="5256703F"/>
    <w:multiLevelType w:val="hybridMultilevel"/>
    <w:tmpl w:val="DE30607A"/>
    <w:lvl w:ilvl="0" w:tplc="8FB6CF2E">
      <w:start w:val="1"/>
      <w:numFmt w:val="bullet"/>
      <w:lvlText w:val=""/>
      <w:lvlJc w:val="left"/>
      <w:pPr>
        <w:tabs>
          <w:tab w:val="num" w:pos="360"/>
        </w:tabs>
        <w:ind w:left="340" w:hanging="340"/>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52914C11"/>
    <w:multiLevelType w:val="hybridMultilevel"/>
    <w:tmpl w:val="D39ECF00"/>
    <w:lvl w:ilvl="0" w:tplc="2782F15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2">
    <w:nsid w:val="539B21E6"/>
    <w:multiLevelType w:val="hybridMultilevel"/>
    <w:tmpl w:val="5C06D932"/>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3">
    <w:nsid w:val="55166488"/>
    <w:multiLevelType w:val="hybridMultilevel"/>
    <w:tmpl w:val="C4CC54F4"/>
    <w:lvl w:ilvl="0" w:tplc="1C8A1FBC">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4">
    <w:nsid w:val="55377094"/>
    <w:multiLevelType w:val="hybridMultilevel"/>
    <w:tmpl w:val="3536B872"/>
    <w:lvl w:ilvl="0" w:tplc="8FB6CF2E">
      <w:start w:val="1"/>
      <w:numFmt w:val="bullet"/>
      <w:lvlText w:val=""/>
      <w:lvlJc w:val="left"/>
      <w:pPr>
        <w:tabs>
          <w:tab w:val="num" w:pos="360"/>
        </w:tabs>
        <w:ind w:left="340" w:hanging="340"/>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55FF5936"/>
    <w:multiLevelType w:val="hybridMultilevel"/>
    <w:tmpl w:val="79CC0FD8"/>
    <w:lvl w:ilvl="0" w:tplc="083C36F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6">
    <w:nsid w:val="57EB2C63"/>
    <w:multiLevelType w:val="hybridMultilevel"/>
    <w:tmpl w:val="15BC1C6E"/>
    <w:lvl w:ilvl="0" w:tplc="9918AC8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7">
    <w:nsid w:val="592D5E04"/>
    <w:multiLevelType w:val="multilevel"/>
    <w:tmpl w:val="DCAEB3EA"/>
    <w:lvl w:ilvl="0">
      <w:start w:val="1"/>
      <w:numFmt w:val="lowerRoman"/>
      <w:lvlText w:val="%1)"/>
      <w:lvlJc w:val="left"/>
      <w:pPr>
        <w:tabs>
          <w:tab w:val="num" w:pos="1701"/>
        </w:tabs>
        <w:ind w:left="1701" w:hanging="567"/>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44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88">
    <w:nsid w:val="5AC74D98"/>
    <w:multiLevelType w:val="hybridMultilevel"/>
    <w:tmpl w:val="05C0138A"/>
    <w:lvl w:ilvl="0" w:tplc="5A828946">
      <w:start w:val="2"/>
      <w:numFmt w:val="bullet"/>
      <w:lvlText w:val="–"/>
      <w:lvlJc w:val="left"/>
      <w:pPr>
        <w:tabs>
          <w:tab w:val="num" w:pos="1134"/>
        </w:tabs>
        <w:ind w:left="1134"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5D00149D"/>
    <w:multiLevelType w:val="hybridMultilevel"/>
    <w:tmpl w:val="6664A8DE"/>
    <w:lvl w:ilvl="0" w:tplc="F76A57B0">
      <w:start w:val="4"/>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0">
    <w:nsid w:val="5E082DB6"/>
    <w:multiLevelType w:val="hybridMultilevel"/>
    <w:tmpl w:val="9AC60D94"/>
    <w:lvl w:ilvl="0" w:tplc="C9B8394C">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1">
    <w:nsid w:val="5E8D1D26"/>
    <w:multiLevelType w:val="hybridMultilevel"/>
    <w:tmpl w:val="0768680A"/>
    <w:lvl w:ilvl="0" w:tplc="E688937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2">
    <w:nsid w:val="5F975BB4"/>
    <w:multiLevelType w:val="hybridMultilevel"/>
    <w:tmpl w:val="94FAA40A"/>
    <w:lvl w:ilvl="0" w:tplc="3176C5F8">
      <w:start w:val="2"/>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61CB0237"/>
    <w:multiLevelType w:val="hybridMultilevel"/>
    <w:tmpl w:val="7090ADA2"/>
    <w:lvl w:ilvl="0" w:tplc="3FCA79AE">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4">
    <w:nsid w:val="62244162"/>
    <w:multiLevelType w:val="hybridMultilevel"/>
    <w:tmpl w:val="34B0AE38"/>
    <w:lvl w:ilvl="0" w:tplc="39F2545C">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5">
    <w:nsid w:val="62720AF7"/>
    <w:multiLevelType w:val="hybridMultilevel"/>
    <w:tmpl w:val="94FAA40A"/>
    <w:lvl w:ilvl="0" w:tplc="3176C5F8">
      <w:start w:val="2"/>
      <w:numFmt w:val="bullet"/>
      <w:lvlText w:val="–"/>
      <w:lvlJc w:val="left"/>
      <w:pPr>
        <w:tabs>
          <w:tab w:val="num" w:pos="1701"/>
        </w:tabs>
        <w:ind w:left="1701" w:hanging="56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62E23D51"/>
    <w:multiLevelType w:val="hybridMultilevel"/>
    <w:tmpl w:val="1130AFBA"/>
    <w:lvl w:ilvl="0" w:tplc="E688937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7">
    <w:nsid w:val="64CB7F4B"/>
    <w:multiLevelType w:val="hybridMultilevel"/>
    <w:tmpl w:val="4F6659BA"/>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8">
    <w:nsid w:val="64DC1011"/>
    <w:multiLevelType w:val="hybridMultilevel"/>
    <w:tmpl w:val="7A523CA4"/>
    <w:lvl w:ilvl="0" w:tplc="B1185A3C">
      <w:start w:val="130"/>
      <w:numFmt w:val="decimal"/>
      <w:lvlText w:val="%1."/>
      <w:lvlJc w:val="left"/>
      <w:pPr>
        <w:tabs>
          <w:tab w:val="num" w:pos="930"/>
        </w:tabs>
        <w:ind w:left="930" w:hanging="570"/>
      </w:pPr>
      <w:rPr>
        <w:rFonts w:hint="default"/>
      </w:rPr>
    </w:lvl>
    <w:lvl w:ilvl="1" w:tplc="B742D6DA">
      <w:start w:val="1"/>
      <w:numFmt w:val="lowerLetter"/>
      <w:lvlText w:val="%2)"/>
      <w:lvlJc w:val="left"/>
      <w:pPr>
        <w:tabs>
          <w:tab w:val="num" w:pos="1650"/>
        </w:tabs>
        <w:ind w:left="1650" w:hanging="57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9">
    <w:nsid w:val="657C07C1"/>
    <w:multiLevelType w:val="hybridMultilevel"/>
    <w:tmpl w:val="72CC93DC"/>
    <w:lvl w:ilvl="0" w:tplc="8FB6CF2E">
      <w:start w:val="1"/>
      <w:numFmt w:val="bullet"/>
      <w:lvlText w:val=""/>
      <w:lvlJc w:val="left"/>
      <w:pPr>
        <w:tabs>
          <w:tab w:val="num" w:pos="720"/>
        </w:tabs>
        <w:ind w:left="700" w:hanging="340"/>
      </w:pPr>
      <w:rPr>
        <w:rFonts w:ascii="Symbol" w:hAnsi="Symbol"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0">
    <w:nsid w:val="67154D04"/>
    <w:multiLevelType w:val="hybridMultilevel"/>
    <w:tmpl w:val="8E98BE26"/>
    <w:lvl w:ilvl="0" w:tplc="D25EE09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1">
    <w:nsid w:val="67DB0815"/>
    <w:multiLevelType w:val="hybridMultilevel"/>
    <w:tmpl w:val="7B1ED120"/>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2">
    <w:nsid w:val="68821D59"/>
    <w:multiLevelType w:val="hybridMultilevel"/>
    <w:tmpl w:val="688EA6EA"/>
    <w:lvl w:ilvl="0" w:tplc="D81EA3C6">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3">
    <w:nsid w:val="692A4FF4"/>
    <w:multiLevelType w:val="hybridMultilevel"/>
    <w:tmpl w:val="40288932"/>
    <w:lvl w:ilvl="0" w:tplc="D020E9D4">
      <w:start w:val="1"/>
      <w:numFmt w:val="bullet"/>
      <w:lvlText w:val="–"/>
      <w:lvlJc w:val="left"/>
      <w:pPr>
        <w:tabs>
          <w:tab w:val="num" w:pos="1134"/>
        </w:tabs>
        <w:ind w:left="1134" w:hanging="567"/>
      </w:pPr>
      <w:rPr>
        <w:rFonts w:ascii="Times New Roman" w:cs="Times New Roman" w:hint="default"/>
      </w:rPr>
    </w:lvl>
    <w:lvl w:ilvl="1" w:tplc="D020E9D4">
      <w:start w:val="1"/>
      <w:numFmt w:val="bullet"/>
      <w:lvlText w:val="–"/>
      <w:lvlJc w:val="left"/>
      <w:pPr>
        <w:tabs>
          <w:tab w:val="num" w:pos="1647"/>
        </w:tabs>
        <w:ind w:left="1647"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69F77EDA"/>
    <w:multiLevelType w:val="hybridMultilevel"/>
    <w:tmpl w:val="7062FE80"/>
    <w:lvl w:ilvl="0" w:tplc="57BC4E12">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5">
    <w:nsid w:val="6A0046AD"/>
    <w:multiLevelType w:val="hybridMultilevel"/>
    <w:tmpl w:val="593CAB06"/>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6">
    <w:nsid w:val="6B695BF6"/>
    <w:multiLevelType w:val="hybridMultilevel"/>
    <w:tmpl w:val="05C0138A"/>
    <w:lvl w:ilvl="0" w:tplc="5A828946">
      <w:start w:val="2"/>
      <w:numFmt w:val="bullet"/>
      <w:lvlText w:val="–"/>
      <w:lvlJc w:val="left"/>
      <w:pPr>
        <w:tabs>
          <w:tab w:val="num" w:pos="1134"/>
        </w:tabs>
        <w:ind w:left="1134" w:hanging="567"/>
      </w:pPr>
      <w:rPr>
        <w:rFonts w:ascii="Times New Roman" w:cs="Times New Roman" w:hint="default"/>
      </w:rPr>
    </w:lvl>
    <w:lvl w:ilvl="1" w:tplc="D736C1EA">
      <w:start w:val="2"/>
      <w:numFmt w:val="bullet"/>
      <w:lvlText w:val="–"/>
      <w:lvlJc w:val="left"/>
      <w:pPr>
        <w:tabs>
          <w:tab w:val="num" w:pos="1134"/>
        </w:tabs>
        <w:ind w:left="1134" w:hanging="567"/>
      </w:pPr>
      <w:rPr>
        <w:rFonts w:ascii="Times New Roman" w:cs="Times New Roman" w:hint="default"/>
      </w:rPr>
    </w:lvl>
    <w:lvl w:ilvl="2" w:tplc="38300CBC">
      <w:start w:val="1"/>
      <w:numFmt w:val="lowerLetter"/>
      <w:lvlText w:val="%3)"/>
      <w:lvlJc w:val="left"/>
      <w:pPr>
        <w:tabs>
          <w:tab w:val="num" w:pos="1134"/>
        </w:tabs>
        <w:ind w:left="1134" w:hanging="567"/>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6B7D7434"/>
    <w:multiLevelType w:val="hybridMultilevel"/>
    <w:tmpl w:val="B680DE26"/>
    <w:lvl w:ilvl="0" w:tplc="3EA227C2">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8">
    <w:nsid w:val="6BD87BFA"/>
    <w:multiLevelType w:val="hybridMultilevel"/>
    <w:tmpl w:val="0BCA9908"/>
    <w:lvl w:ilvl="0" w:tplc="B1242A68">
      <w:start w:val="1"/>
      <w:numFmt w:val="lowerLetter"/>
      <w:lvlText w:val="%1)"/>
      <w:lvlJc w:val="left"/>
      <w:pPr>
        <w:tabs>
          <w:tab w:val="num" w:pos="1134"/>
        </w:tabs>
        <w:ind w:left="1134" w:hanging="567"/>
      </w:pPr>
      <w:rPr>
        <w:rFonts w:hint="default"/>
      </w:rPr>
    </w:lvl>
    <w:lvl w:ilvl="1" w:tplc="558E8874">
      <w:start w:val="1"/>
      <w:numFmt w:val="lowerRoman"/>
      <w:lvlText w:val="%2."/>
      <w:lvlJc w:val="left"/>
      <w:pPr>
        <w:tabs>
          <w:tab w:val="num" w:pos="1854"/>
        </w:tabs>
        <w:ind w:left="1647" w:hanging="513"/>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9">
    <w:nsid w:val="6CA703CC"/>
    <w:multiLevelType w:val="hybridMultilevel"/>
    <w:tmpl w:val="D3B67302"/>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0">
    <w:nsid w:val="6CF42E0F"/>
    <w:multiLevelType w:val="hybridMultilevel"/>
    <w:tmpl w:val="4CDAC400"/>
    <w:lvl w:ilvl="0" w:tplc="81D41108">
      <w:start w:val="4"/>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1">
    <w:nsid w:val="6D1D4D61"/>
    <w:multiLevelType w:val="hybridMultilevel"/>
    <w:tmpl w:val="91504978"/>
    <w:lvl w:ilvl="0" w:tplc="8FB6CF2E">
      <w:start w:val="1"/>
      <w:numFmt w:val="bullet"/>
      <w:lvlText w:val=""/>
      <w:lvlJc w:val="left"/>
      <w:pPr>
        <w:tabs>
          <w:tab w:val="num" w:pos="360"/>
        </w:tabs>
        <w:ind w:left="340" w:hanging="340"/>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6DA70192"/>
    <w:multiLevelType w:val="hybridMultilevel"/>
    <w:tmpl w:val="3E0A7034"/>
    <w:lvl w:ilvl="0" w:tplc="ACB08114">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3">
    <w:nsid w:val="6E7B36B3"/>
    <w:multiLevelType w:val="hybridMultilevel"/>
    <w:tmpl w:val="6EEE0132"/>
    <w:lvl w:ilvl="0" w:tplc="A7D66F8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4">
    <w:nsid w:val="6F556B24"/>
    <w:multiLevelType w:val="hybridMultilevel"/>
    <w:tmpl w:val="0BCE1A4E"/>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5">
    <w:nsid w:val="719943F4"/>
    <w:multiLevelType w:val="hybridMultilevel"/>
    <w:tmpl w:val="C9A687C2"/>
    <w:lvl w:ilvl="0" w:tplc="27683BE2">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6">
    <w:nsid w:val="74E13290"/>
    <w:multiLevelType w:val="hybridMultilevel"/>
    <w:tmpl w:val="E4BC7DFA"/>
    <w:lvl w:ilvl="0" w:tplc="DA6E559E">
      <w:start w:val="1"/>
      <w:numFmt w:val="lowerRoman"/>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7">
    <w:nsid w:val="79D07CFC"/>
    <w:multiLevelType w:val="hybridMultilevel"/>
    <w:tmpl w:val="2E0248DA"/>
    <w:lvl w:ilvl="0" w:tplc="E688937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8">
    <w:nsid w:val="7A707ABC"/>
    <w:multiLevelType w:val="hybridMultilevel"/>
    <w:tmpl w:val="C03A013C"/>
    <w:lvl w:ilvl="0" w:tplc="47FE6AC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9">
    <w:nsid w:val="7C2B4ABB"/>
    <w:multiLevelType w:val="hybridMultilevel"/>
    <w:tmpl w:val="60F06854"/>
    <w:lvl w:ilvl="0" w:tplc="B1242A6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0">
    <w:nsid w:val="7E491C1D"/>
    <w:multiLevelType w:val="hybridMultilevel"/>
    <w:tmpl w:val="F97A7644"/>
    <w:lvl w:ilvl="0" w:tplc="982C40D0">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1">
    <w:nsid w:val="7EF30784"/>
    <w:multiLevelType w:val="hybridMultilevel"/>
    <w:tmpl w:val="F9EED5AA"/>
    <w:lvl w:ilvl="0" w:tplc="165C2DDE">
      <w:start w:val="1"/>
      <w:numFmt w:val="low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6"/>
  </w:num>
  <w:num w:numId="2">
    <w:abstractNumId w:val="50"/>
  </w:num>
  <w:num w:numId="3">
    <w:abstractNumId w:val="63"/>
  </w:num>
  <w:num w:numId="4">
    <w:abstractNumId w:val="37"/>
  </w:num>
  <w:num w:numId="5">
    <w:abstractNumId w:val="84"/>
  </w:num>
  <w:num w:numId="6">
    <w:abstractNumId w:val="81"/>
  </w:num>
  <w:num w:numId="7">
    <w:abstractNumId w:val="89"/>
  </w:num>
  <w:num w:numId="8">
    <w:abstractNumId w:val="99"/>
  </w:num>
  <w:num w:numId="9">
    <w:abstractNumId w:val="4"/>
  </w:num>
  <w:num w:numId="10">
    <w:abstractNumId w:val="39"/>
  </w:num>
  <w:num w:numId="11">
    <w:abstractNumId w:val="65"/>
  </w:num>
  <w:num w:numId="12">
    <w:abstractNumId w:val="113"/>
  </w:num>
  <w:num w:numId="13">
    <w:abstractNumId w:val="3"/>
  </w:num>
  <w:num w:numId="14">
    <w:abstractNumId w:val="21"/>
  </w:num>
  <w:num w:numId="15">
    <w:abstractNumId w:val="49"/>
  </w:num>
  <w:num w:numId="16">
    <w:abstractNumId w:val="55"/>
  </w:num>
  <w:num w:numId="17">
    <w:abstractNumId w:val="118"/>
  </w:num>
  <w:num w:numId="18">
    <w:abstractNumId w:val="111"/>
  </w:num>
  <w:num w:numId="19">
    <w:abstractNumId w:val="10"/>
  </w:num>
  <w:num w:numId="20">
    <w:abstractNumId w:val="36"/>
  </w:num>
  <w:num w:numId="21">
    <w:abstractNumId w:val="11"/>
  </w:num>
  <w:num w:numId="22">
    <w:abstractNumId w:val="20"/>
  </w:num>
  <w:num w:numId="23">
    <w:abstractNumId w:val="76"/>
  </w:num>
  <w:num w:numId="24">
    <w:abstractNumId w:val="98"/>
  </w:num>
  <w:num w:numId="25">
    <w:abstractNumId w:val="5"/>
  </w:num>
  <w:num w:numId="26">
    <w:abstractNumId w:val="96"/>
  </w:num>
  <w:num w:numId="27">
    <w:abstractNumId w:val="115"/>
  </w:num>
  <w:num w:numId="28">
    <w:abstractNumId w:val="91"/>
  </w:num>
  <w:num w:numId="29">
    <w:abstractNumId w:val="112"/>
  </w:num>
  <w:num w:numId="30">
    <w:abstractNumId w:val="117"/>
  </w:num>
  <w:num w:numId="31">
    <w:abstractNumId w:val="42"/>
  </w:num>
  <w:num w:numId="32">
    <w:abstractNumId w:val="80"/>
  </w:num>
  <w:num w:numId="33">
    <w:abstractNumId w:val="83"/>
  </w:num>
  <w:num w:numId="34">
    <w:abstractNumId w:val="53"/>
  </w:num>
  <w:num w:numId="35">
    <w:abstractNumId w:val="86"/>
  </w:num>
  <w:num w:numId="36">
    <w:abstractNumId w:val="0"/>
  </w:num>
  <w:num w:numId="37">
    <w:abstractNumId w:val="69"/>
  </w:num>
  <w:num w:numId="38">
    <w:abstractNumId w:val="56"/>
  </w:num>
  <w:num w:numId="39">
    <w:abstractNumId w:val="8"/>
  </w:num>
  <w:num w:numId="40">
    <w:abstractNumId w:val="26"/>
  </w:num>
  <w:num w:numId="41">
    <w:abstractNumId w:val="78"/>
  </w:num>
  <w:num w:numId="42">
    <w:abstractNumId w:val="95"/>
  </w:num>
  <w:num w:numId="43">
    <w:abstractNumId w:val="92"/>
  </w:num>
  <w:num w:numId="44">
    <w:abstractNumId w:val="75"/>
  </w:num>
  <w:num w:numId="45">
    <w:abstractNumId w:val="30"/>
  </w:num>
  <w:num w:numId="46">
    <w:abstractNumId w:val="87"/>
  </w:num>
  <w:num w:numId="47">
    <w:abstractNumId w:val="72"/>
  </w:num>
  <w:num w:numId="48">
    <w:abstractNumId w:val="48"/>
  </w:num>
  <w:num w:numId="49">
    <w:abstractNumId w:val="116"/>
  </w:num>
  <w:num w:numId="50">
    <w:abstractNumId w:val="110"/>
  </w:num>
  <w:num w:numId="51">
    <w:abstractNumId w:val="73"/>
  </w:num>
  <w:num w:numId="52">
    <w:abstractNumId w:val="71"/>
  </w:num>
  <w:num w:numId="53">
    <w:abstractNumId w:val="77"/>
  </w:num>
  <w:num w:numId="54">
    <w:abstractNumId w:val="93"/>
  </w:num>
  <w:num w:numId="55">
    <w:abstractNumId w:val="12"/>
  </w:num>
  <w:num w:numId="56">
    <w:abstractNumId w:val="121"/>
  </w:num>
  <w:num w:numId="57">
    <w:abstractNumId w:val="45"/>
  </w:num>
  <w:num w:numId="58">
    <w:abstractNumId w:val="15"/>
  </w:num>
  <w:num w:numId="59">
    <w:abstractNumId w:val="54"/>
  </w:num>
  <w:num w:numId="60">
    <w:abstractNumId w:val="120"/>
  </w:num>
  <w:num w:numId="61">
    <w:abstractNumId w:val="62"/>
  </w:num>
  <w:num w:numId="62">
    <w:abstractNumId w:val="32"/>
  </w:num>
  <w:num w:numId="63">
    <w:abstractNumId w:val="88"/>
  </w:num>
  <w:num w:numId="64">
    <w:abstractNumId w:val="106"/>
  </w:num>
  <w:num w:numId="65">
    <w:abstractNumId w:val="51"/>
  </w:num>
  <w:num w:numId="66">
    <w:abstractNumId w:val="79"/>
  </w:num>
  <w:num w:numId="67">
    <w:abstractNumId w:val="107"/>
  </w:num>
  <w:num w:numId="68">
    <w:abstractNumId w:val="14"/>
  </w:num>
  <w:num w:numId="69">
    <w:abstractNumId w:val="43"/>
  </w:num>
  <w:num w:numId="70">
    <w:abstractNumId w:val="109"/>
  </w:num>
  <w:num w:numId="71">
    <w:abstractNumId w:val="67"/>
  </w:num>
  <w:num w:numId="72">
    <w:abstractNumId w:val="114"/>
  </w:num>
  <w:num w:numId="73">
    <w:abstractNumId w:val="46"/>
  </w:num>
  <w:num w:numId="74">
    <w:abstractNumId w:val="1"/>
  </w:num>
  <w:num w:numId="75">
    <w:abstractNumId w:val="23"/>
  </w:num>
  <w:num w:numId="76">
    <w:abstractNumId w:val="47"/>
  </w:num>
  <w:num w:numId="77">
    <w:abstractNumId w:val="64"/>
  </w:num>
  <w:num w:numId="78">
    <w:abstractNumId w:val="38"/>
  </w:num>
  <w:num w:numId="79">
    <w:abstractNumId w:val="40"/>
  </w:num>
  <w:num w:numId="80">
    <w:abstractNumId w:val="68"/>
  </w:num>
  <w:num w:numId="81">
    <w:abstractNumId w:val="74"/>
  </w:num>
  <w:num w:numId="82">
    <w:abstractNumId w:val="28"/>
  </w:num>
  <w:num w:numId="83">
    <w:abstractNumId w:val="52"/>
  </w:num>
  <w:num w:numId="84">
    <w:abstractNumId w:val="66"/>
  </w:num>
  <w:num w:numId="85">
    <w:abstractNumId w:val="90"/>
  </w:num>
  <w:num w:numId="86">
    <w:abstractNumId w:val="22"/>
  </w:num>
  <w:num w:numId="87">
    <w:abstractNumId w:val="57"/>
  </w:num>
  <w:num w:numId="88">
    <w:abstractNumId w:val="31"/>
  </w:num>
  <w:num w:numId="89">
    <w:abstractNumId w:val="19"/>
  </w:num>
  <w:num w:numId="90">
    <w:abstractNumId w:val="119"/>
  </w:num>
  <w:num w:numId="91">
    <w:abstractNumId w:val="104"/>
  </w:num>
  <w:num w:numId="92">
    <w:abstractNumId w:val="27"/>
  </w:num>
  <w:num w:numId="93">
    <w:abstractNumId w:val="24"/>
  </w:num>
  <w:num w:numId="94">
    <w:abstractNumId w:val="97"/>
  </w:num>
  <w:num w:numId="95">
    <w:abstractNumId w:val="102"/>
  </w:num>
  <w:num w:numId="96">
    <w:abstractNumId w:val="6"/>
  </w:num>
  <w:num w:numId="97">
    <w:abstractNumId w:val="103"/>
  </w:num>
  <w:num w:numId="98">
    <w:abstractNumId w:val="59"/>
  </w:num>
  <w:num w:numId="99">
    <w:abstractNumId w:val="44"/>
  </w:num>
  <w:num w:numId="100">
    <w:abstractNumId w:val="105"/>
  </w:num>
  <w:num w:numId="101">
    <w:abstractNumId w:val="70"/>
  </w:num>
  <w:num w:numId="102">
    <w:abstractNumId w:val="108"/>
  </w:num>
  <w:num w:numId="103">
    <w:abstractNumId w:val="25"/>
  </w:num>
  <w:num w:numId="104">
    <w:abstractNumId w:val="13"/>
  </w:num>
  <w:num w:numId="105">
    <w:abstractNumId w:val="17"/>
  </w:num>
  <w:num w:numId="106">
    <w:abstractNumId w:val="60"/>
  </w:num>
  <w:num w:numId="107">
    <w:abstractNumId w:val="58"/>
  </w:num>
  <w:num w:numId="108">
    <w:abstractNumId w:val="101"/>
  </w:num>
  <w:num w:numId="109">
    <w:abstractNumId w:val="41"/>
  </w:num>
  <w:num w:numId="110">
    <w:abstractNumId w:val="7"/>
  </w:num>
  <w:num w:numId="111">
    <w:abstractNumId w:val="33"/>
  </w:num>
  <w:num w:numId="112">
    <w:abstractNumId w:val="9"/>
  </w:num>
  <w:num w:numId="113">
    <w:abstractNumId w:val="35"/>
  </w:num>
  <w:num w:numId="114">
    <w:abstractNumId w:val="82"/>
  </w:num>
  <w:num w:numId="115">
    <w:abstractNumId w:val="29"/>
  </w:num>
  <w:num w:numId="116">
    <w:abstractNumId w:val="34"/>
  </w:num>
  <w:num w:numId="117">
    <w:abstractNumId w:val="85"/>
  </w:num>
  <w:num w:numId="118">
    <w:abstractNumId w:val="2"/>
  </w:num>
  <w:num w:numId="119">
    <w:abstractNumId w:val="61"/>
  </w:num>
  <w:num w:numId="120">
    <w:abstractNumId w:val="100"/>
  </w:num>
  <w:num w:numId="121">
    <w:abstractNumId w:val="94"/>
  </w:num>
  <w:num w:numId="1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fr-CA" w:vendorID="9" w:dllVersion="512" w:checkStyle="1"/>
  <w:activeWritingStyle w:appName="MSWord" w:lang="fr-FR" w:vendorID="9" w:dllVersion="512" w:checkStyle="1"/>
  <w:activeWritingStyle w:appName="MSWord" w:lang="pt-BR" w:vendorID="1" w:dllVersion="513" w:checkStyle="1"/>
  <w:activeWritingStyle w:appName="MSWord" w:lang="es-ES_tradnl" w:vendorID="9" w:dllVersion="512" w:checkStyle="1"/>
  <w:activeWritingStyle w:appName="MSWord" w:lang="it-IT" w:vendorID="3" w:dllVersion="517" w:checkStyle="1"/>
  <w:activeWritingStyle w:appName="MSWord" w:lang="de-CH" w:vendorID="9" w:dllVersion="512" w:checkStyle="1"/>
  <w:doNotTrackMoves/>
  <w:defaultTabStop w:val="567"/>
  <w:evenAndOddHeaders/>
  <w:noPunctuationKerning/>
  <w:characterSpacingControl w:val="doNotCompress"/>
  <w:footnotePr>
    <w:footnote w:id="-1"/>
    <w:footnote w:id="0"/>
  </w:footnotePr>
  <w:endnotePr>
    <w:endnote w:id="-1"/>
    <w:endnote w:id="0"/>
  </w:endnotePr>
  <w:compat>
    <w:noTabHangInd/>
    <w:suppressBottomSpacing/>
    <w:suppressTopSpacing/>
    <w:suppressSpBfAfterPgBrk/>
    <w:noSpaceRaiseLower/>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color w:val="000000"/>
      <w:lang w:val="fr-CA"/>
    </w:rPr>
  </w:style>
  <w:style w:type="paragraph" w:styleId="Heading2">
    <w:name w:val="heading 2"/>
    <w:basedOn w:val="Normal"/>
    <w:next w:val="Normal"/>
    <w:qFormat/>
    <w:pPr>
      <w:keepNext/>
      <w:widowControl w:val="0"/>
      <w:autoSpaceDE w:val="0"/>
      <w:autoSpaceDN w:val="0"/>
      <w:adjustRightInd w:val="0"/>
      <w:jc w:val="center"/>
      <w:outlineLvl w:val="1"/>
    </w:pPr>
    <w:rPr>
      <w:b/>
      <w:bCs/>
      <w:color w:val="000000"/>
      <w:sz w:val="22"/>
      <w:szCs w:val="22"/>
      <w:lang w:val="fr-CA"/>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keepLines/>
      <w:widowControl w:val="0"/>
      <w:autoSpaceDE w:val="0"/>
      <w:autoSpaceDN w:val="0"/>
      <w:adjustRightInd w:val="0"/>
      <w:outlineLvl w:val="3"/>
    </w:pPr>
    <w:rPr>
      <w:b/>
      <w:bCs/>
      <w:color w:val="000000"/>
      <w:sz w:val="22"/>
      <w:szCs w:val="22"/>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u w:val="single"/>
      <w:lang w:val="fr-CA"/>
    </w:rPr>
  </w:style>
  <w:style w:type="character" w:styleId="Strong">
    <w:name w:val="Strong"/>
    <w:qFormat/>
    <w:rPr>
      <w:b/>
      <w:bCs/>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List">
    <w:name w:val="List"/>
    <w:basedOn w:val="Normal"/>
    <w:semiHidden/>
    <w:pPr>
      <w:ind w:left="283" w:hanging="283"/>
    </w:p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BodyText2">
    <w:name w:val="Body Text 2"/>
    <w:basedOn w:val="Normal"/>
    <w:semiHidden/>
    <w:pPr>
      <w:autoSpaceDE w:val="0"/>
      <w:autoSpaceDN w:val="0"/>
      <w:adjustRightInd w:val="0"/>
    </w:pPr>
    <w:rPr>
      <w:color w:val="000000"/>
      <w:szCs w:val="28"/>
      <w:lang w:val="fr-CA"/>
    </w:rPr>
  </w:style>
  <w:style w:type="paragraph" w:styleId="BodyText3">
    <w:name w:val="Body Text 3"/>
    <w:basedOn w:val="Normal"/>
    <w:semiHidden/>
    <w:rPr>
      <w:color w:val="000000"/>
      <w:sz w:val="22"/>
      <w:lang w:val="fr-CA"/>
    </w:r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152</TotalTime>
  <Pages>1</Pages>
  <Words>53852</Words>
  <Characters>306957</Characters>
  <Application>Microsoft Office Word</Application>
  <DocSecurity>4</DocSecurity>
  <Lines>2557</Lines>
  <Paragraphs>613</Paragraphs>
  <ScaleCrop>false</ScaleCrop>
  <HeadingPairs>
    <vt:vector size="2" baseType="variant">
      <vt:variant>
        <vt:lpstr>Titre</vt:lpstr>
      </vt:variant>
      <vt:variant>
        <vt:i4>1</vt:i4>
      </vt:variant>
    </vt:vector>
  </HeadingPairs>
  <TitlesOfParts>
    <vt:vector size="1" baseType="lpstr">
      <vt:lpstr>Nations unies</vt:lpstr>
    </vt:vector>
  </TitlesOfParts>
  <Company> </Company>
  <LinksUpToDate>false</LinksUpToDate>
  <CharactersWithSpaces>376964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dc:creator>
  <cp:keywords/>
  <dc:description/>
  <cp:lastModifiedBy>Maillot</cp:lastModifiedBy>
  <cp:revision>10</cp:revision>
  <cp:lastPrinted>2003-05-05T08:59:00Z</cp:lastPrinted>
  <dcterms:created xsi:type="dcterms:W3CDTF">2003-05-05T06:42:00Z</dcterms:created>
  <dcterms:modified xsi:type="dcterms:W3CDTF">2003-05-05T09:06:00Z</dcterms:modified>
</cp:coreProperties>
</file>