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pStyle w:val="H23"/>
      </w:pPr>
      <w:r>
        <w:t>Двадцать шестая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542-м заседании,</w:t>
      </w:r>
    </w:p>
    <w:p w:rsidR="00000000" w:rsidRDefault="00000000">
      <w:r>
        <w:t>состоявшемся в Центральных учреждениях, Нью-Йорк, в четверг, 24 января 2002 года, в 15 ч. 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>г-жа Регаццоли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 соответствии со статьей 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</w:pPr>
      <w:r>
        <w:tab/>
      </w:r>
      <w:r>
        <w:rPr>
          <w:i/>
        </w:rPr>
        <w:t xml:space="preserve">Второй и третий периодические доклады Уругвая </w:t>
      </w:r>
      <w:r>
        <w:t>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>В отсутствие Председателя заместитель Председателя занимает место Предс</w:t>
      </w:r>
      <w:r>
        <w:t>е</w:t>
      </w:r>
      <w:r>
        <w:t>дателя.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15 ч. 10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>Рассмотрение докладов, представленных государствами-участниками в соответствии со статьей 18 Конвенции</w:t>
      </w:r>
      <w:r>
        <w:rPr>
          <w:b w:val="0"/>
        </w:rPr>
        <w:t xml:space="preserve"> 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 xml:space="preserve">Второй и третий периодические доклады Уругвая </w:t>
      </w:r>
      <w:r>
        <w:rPr>
          <w:i w:val="0"/>
        </w:rPr>
        <w:t>(</w:t>
      </w:r>
      <w:r>
        <w:t>продолжение</w:t>
      </w:r>
      <w:r>
        <w:rPr>
          <w:i w:val="0"/>
        </w:rPr>
        <w:t>)</w:t>
      </w:r>
      <w:r>
        <w:t xml:space="preserve"> </w:t>
      </w:r>
      <w:r>
        <w:rPr>
          <w:i w:val="0"/>
        </w:rPr>
        <w:t>(CEDAW/C/URY/2–3; CEDAW/PSWG/2002/I/CRP.1/Add.5; CEDAW/PSWG/2002/I/CRP.2)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i/>
        </w:rPr>
        <w:t>По приглашению Председателя члены делег</w:t>
      </w:r>
      <w:r>
        <w:rPr>
          <w:i/>
        </w:rPr>
        <w:t>а</w:t>
      </w:r>
      <w:r>
        <w:rPr>
          <w:i/>
        </w:rPr>
        <w:t>ции Уругвая зан</w:t>
      </w:r>
      <w:r>
        <w:rPr>
          <w:i/>
        </w:rPr>
        <w:t>и</w:t>
      </w:r>
      <w:r>
        <w:rPr>
          <w:i/>
        </w:rPr>
        <w:t>мают места за столом Комитета.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 Таварес да Силва</w:t>
      </w:r>
      <w:r>
        <w:t xml:space="preserve"> говорит, что, высоко оценивая достижения Уругвая по многим направл</w:t>
      </w:r>
      <w:r>
        <w:t>е</w:t>
      </w:r>
      <w:r>
        <w:t>ниям, она разделяет озабоченность, высказыва</w:t>
      </w:r>
      <w:r>
        <w:t>в</w:t>
      </w:r>
      <w:r>
        <w:t>шуюся другими экспертами, и хотела бы затронуть еще четыре момента.</w:t>
      </w:r>
    </w:p>
    <w:p w:rsidR="00000000" w:rsidRDefault="00000000">
      <w:pPr>
        <w:pStyle w:val="DualTxt"/>
      </w:pPr>
      <w:r>
        <w:t>3.</w:t>
      </w:r>
      <w:r>
        <w:tab/>
        <w:t>Во-первых, она по</w:t>
      </w:r>
      <w:r>
        <w:noBreakHyphen/>
        <w:t>прежнему не имеет четкого представления о структуре, задачах, полномочиях и мандате национального механизма Уругвая, зан</w:t>
      </w:r>
      <w:r>
        <w:t>и</w:t>
      </w:r>
      <w:r>
        <w:t>мающегося вопросами улучшения положения же</w:t>
      </w:r>
      <w:r>
        <w:t>н</w:t>
      </w:r>
      <w:r>
        <w:t>щин, хотя в устном докладе делегации содержались некоторые разъяснения в этой связи. Она просит, чтобы Уругвай представил подробную информацию об этих механизмах в своем следующем докладе с учетом того, что национальные механизмы должны располагаться на самом высоком уровне, иметь в своем распоряжении достаточные ресурсы и, пре</w:t>
      </w:r>
      <w:r>
        <w:t>ж</w:t>
      </w:r>
      <w:r>
        <w:t>де всего, располагать необходимыми средствами для обеспечения эффективного учета гендерной проблематики.</w:t>
      </w:r>
    </w:p>
    <w:p w:rsidR="00000000" w:rsidRDefault="00000000">
      <w:pPr>
        <w:pStyle w:val="DualTxt"/>
      </w:pPr>
      <w:r>
        <w:t>4.</w:t>
      </w:r>
      <w:r>
        <w:tab/>
        <w:t>Во-вторых, в связи с вопросом традиционных гендерных стереотипов она отметила наличие так</w:t>
      </w:r>
      <w:r>
        <w:t>о</w:t>
      </w:r>
      <w:r>
        <w:t>го стереотипа в самом докладе; в таблице под н</w:t>
      </w:r>
      <w:r>
        <w:t>а</w:t>
      </w:r>
      <w:r>
        <w:t>званием «Распределение обязанностей между су</w:t>
      </w:r>
      <w:r>
        <w:t>п</w:t>
      </w:r>
      <w:r>
        <w:t>ругами в семье» непосредственно перед пун</w:t>
      </w:r>
      <w:r>
        <w:t>к</w:t>
      </w:r>
      <w:r>
        <w:t>том 148 содержится показатель «Жена выполняет эту работу без помощи мужа». Мужья должны на равных участвовать в выполнении домашних об</w:t>
      </w:r>
      <w:r>
        <w:t>я</w:t>
      </w:r>
      <w:r>
        <w:t>занностей, а не «оказывать помощь», что подраз</w:t>
      </w:r>
      <w:r>
        <w:t>у</w:t>
      </w:r>
      <w:r>
        <w:t>мевает, будто за выполнение этих обязанностей о</w:t>
      </w:r>
      <w:r>
        <w:t>т</w:t>
      </w:r>
      <w:r>
        <w:t>вечает жена.</w:t>
      </w:r>
    </w:p>
    <w:p w:rsidR="00000000" w:rsidRDefault="00000000">
      <w:pPr>
        <w:pStyle w:val="DualTxt"/>
      </w:pPr>
      <w:r>
        <w:t>5.</w:t>
      </w:r>
      <w:r>
        <w:tab/>
        <w:t>Она отмечает серьезное противоречие между уровнем подготовки уругвайских женщин и их б</w:t>
      </w:r>
      <w:r>
        <w:t>о</w:t>
      </w:r>
      <w:r>
        <w:t>лее низким статусом в том, что касается заработной платы и политической представленности. Статист</w:t>
      </w:r>
      <w:r>
        <w:t>и</w:t>
      </w:r>
      <w:r>
        <w:t>ческие данные по женщинам в высших учебных з</w:t>
      </w:r>
      <w:r>
        <w:t>а</w:t>
      </w:r>
      <w:r>
        <w:t>ведениях свидетельствуют о том, что они предста</w:t>
      </w:r>
      <w:r>
        <w:t>в</w:t>
      </w:r>
      <w:r>
        <w:t>лены надлежащим образом и даже составляют большинство в таких областях, как право, гуман</w:t>
      </w:r>
      <w:r>
        <w:t>и</w:t>
      </w:r>
      <w:r>
        <w:t>тарные науки, агрономия, медицина и другие пре</w:t>
      </w:r>
      <w:r>
        <w:t>д</w:t>
      </w:r>
      <w:r>
        <w:t>меты. Почему такие квалифицированные и комп</w:t>
      </w:r>
      <w:r>
        <w:t>е</w:t>
      </w:r>
      <w:r>
        <w:t>тентные женщины столь сильно недопредставлены в выборных и других органах и почему в докладе ничего не говорится о каких-либо стратегиях или мерах, призванных устранить столь явное несоо</w:t>
      </w:r>
      <w:r>
        <w:t>т</w:t>
      </w:r>
      <w:r>
        <w:t>ветствие? Кроме того, даже в категории квалифиц</w:t>
      </w:r>
      <w:r>
        <w:t>и</w:t>
      </w:r>
      <w:r>
        <w:t>рованных специалистов женщины получают чуть более половины от заработной платы мужчин на аналогичных должностях. Несомненно, эти прот</w:t>
      </w:r>
      <w:r>
        <w:t>и</w:t>
      </w:r>
      <w:r>
        <w:t>воречия обусловлены сохранением гендерных ст</w:t>
      </w:r>
      <w:r>
        <w:t>е</w:t>
      </w:r>
      <w:r>
        <w:t>реот</w:t>
      </w:r>
      <w:r>
        <w:t>и</w:t>
      </w:r>
      <w:r>
        <w:t>пов.</w:t>
      </w:r>
    </w:p>
    <w:p w:rsidR="00000000" w:rsidRDefault="00000000">
      <w:pPr>
        <w:pStyle w:val="DualTxt"/>
      </w:pPr>
      <w:r>
        <w:t>6.</w:t>
      </w:r>
      <w:r>
        <w:tab/>
        <w:t>Наконец, касаясь вопросов брака, оратор гов</w:t>
      </w:r>
      <w:r>
        <w:t>о</w:t>
      </w:r>
      <w:r>
        <w:t>рит, что она также испытывает озабоченность в св</w:t>
      </w:r>
      <w:r>
        <w:t>я</w:t>
      </w:r>
      <w:r>
        <w:t>зи с тем, что минимальный возраст вступления в брак для девочек составляет 12 лет. В этой связи она была потрясена тем, что наказание за изнасил</w:t>
      </w:r>
      <w:r>
        <w:t>о</w:t>
      </w:r>
      <w:r>
        <w:t>вание, включая изнасилование несовершеннолетн</w:t>
      </w:r>
      <w:r>
        <w:t>е</w:t>
      </w:r>
      <w:r>
        <w:t>го лица, отменяется, если правонарушитель жени</w:t>
      </w:r>
      <w:r>
        <w:t>т</w:t>
      </w:r>
      <w:r>
        <w:t>ся на жертве. Последующее вступление в брак, д</w:t>
      </w:r>
      <w:r>
        <w:t>а</w:t>
      </w:r>
      <w:r>
        <w:t>же с «согласия» девочки, ни в коей мере не опра</w:t>
      </w:r>
      <w:r>
        <w:t>в</w:t>
      </w:r>
      <w:r>
        <w:t>дывает такой акт насилия в отношении ее физич</w:t>
      </w:r>
      <w:r>
        <w:t>е</w:t>
      </w:r>
      <w:r>
        <w:t>ской целостности и неприкосновенности. Необх</w:t>
      </w:r>
      <w:r>
        <w:t>о</w:t>
      </w:r>
      <w:r>
        <w:t>димо изменить статью 116 Уголовного к</w:t>
      </w:r>
      <w:r>
        <w:t>о</w:t>
      </w:r>
      <w:r>
        <w:t>декса.</w:t>
      </w:r>
    </w:p>
    <w:p w:rsidR="00000000" w:rsidRDefault="00000000">
      <w:pPr>
        <w:pStyle w:val="DualTxt"/>
      </w:pPr>
      <w:r>
        <w:t>7.</w:t>
      </w:r>
      <w:r>
        <w:tab/>
      </w:r>
      <w:r>
        <w:rPr>
          <w:b/>
        </w:rPr>
        <w:t>Г</w:t>
      </w:r>
      <w:r>
        <w:rPr>
          <w:b/>
        </w:rPr>
        <w:noBreakHyphen/>
        <w:t>жа Асар</w:t>
      </w:r>
      <w:r>
        <w:t xml:space="preserve"> отмечает, что в своих письменных ответах (документ CEDAW/PSWG/2002/I/CRP.2, пункт 22) делегация указала, что в соответствии со статьей 325 Уголовного кодекса понуждение к або</w:t>
      </w:r>
      <w:r>
        <w:t>р</w:t>
      </w:r>
      <w:r>
        <w:t>ту, посредничество в производстве аборта или дача согласия на аборт рассматриваются в качестве уг</w:t>
      </w:r>
      <w:r>
        <w:t>о</w:t>
      </w:r>
      <w:r>
        <w:t>ловно наказуемых деяний. В то же время отмеч</w:t>
      </w:r>
      <w:r>
        <w:t>а</w:t>
      </w:r>
      <w:r>
        <w:t>лось, что статья 328 предусматривает в качестве смягчающих обстоятельств производство аборта «для защиты чести лица, совершившего правон</w:t>
      </w:r>
      <w:r>
        <w:t>а</w:t>
      </w:r>
      <w:r>
        <w:t>рушение, супруга или близкого родственника». Т</w:t>
      </w:r>
      <w:r>
        <w:t>а</w:t>
      </w:r>
      <w:r>
        <w:t>кую логику трудно понять, к тому же данное пол</w:t>
      </w:r>
      <w:r>
        <w:t>о</w:t>
      </w:r>
      <w:r>
        <w:t>жение нарушает принципы Конвенции. Честь лица, совершившего правонарушение, ставится выше чести самой женщины, включая ее право на личную жизнь и физическую неприкосновенность, которые нарушаются в случае любого аборта, проводимого без согласия женщины. В других странах такие а</w:t>
      </w:r>
      <w:r>
        <w:t>к</w:t>
      </w:r>
      <w:r>
        <w:t>ты обозначают термином «преступление по соо</w:t>
      </w:r>
      <w:r>
        <w:t>б</w:t>
      </w:r>
      <w:r>
        <w:t>ражениям чести». Оратор обращается с убедител</w:t>
      </w:r>
      <w:r>
        <w:t>ь</w:t>
      </w:r>
      <w:r>
        <w:t>ной просьбой информировать правительство об и</w:t>
      </w:r>
      <w:r>
        <w:t>с</w:t>
      </w:r>
      <w:r>
        <w:t>пытываемом ею чувстве глубокой озабоченности и предложить ему пересмотреть такие п</w:t>
      </w:r>
      <w:r>
        <w:t>о</w:t>
      </w:r>
      <w:r>
        <w:t>ложения.</w:t>
      </w:r>
    </w:p>
    <w:p w:rsidR="00000000" w:rsidRDefault="00000000">
      <w:pPr>
        <w:pStyle w:val="DualTxt"/>
      </w:pPr>
      <w:r>
        <w:t>8.</w:t>
      </w:r>
      <w:r>
        <w:tab/>
        <w:t>Что касается вопросов брака, то оратор просит представить разъяснения относительно совместного владения имуществом. Когда во время развода пр</w:t>
      </w:r>
      <w:r>
        <w:t>о</w:t>
      </w:r>
      <w:r>
        <w:t>изводится раздел нажитого в браке имущества, д</w:t>
      </w:r>
      <w:r>
        <w:t>е</w:t>
      </w:r>
      <w:r>
        <w:t>лится ли оно поровну между супругами? Касаясь положения о необходимости получения согласия родителей на брак лиц в возрасте 14–18 лет, оратор интересуется, каков правовой смысл понятия «пр</w:t>
      </w:r>
      <w:r>
        <w:t>о</w:t>
      </w:r>
      <w:r>
        <w:t>чие родственники», согласие которых должны п</w:t>
      </w:r>
      <w:r>
        <w:t>о</w:t>
      </w:r>
      <w:r>
        <w:t>лучить молодые лица, родившиеся вне брака. Что касается проблемы разводов, то оратор поняла, что мужчины, в отличие от женщин, не имеют права требовать развода через суд, если у них отсутств</w:t>
      </w:r>
      <w:r>
        <w:t>у</w:t>
      </w:r>
      <w:r>
        <w:t>ют конкретные основания, и она интересуется, как сложилось такое положение.</w:t>
      </w:r>
    </w:p>
    <w:p w:rsidR="00000000" w:rsidRDefault="00000000">
      <w:pPr>
        <w:pStyle w:val="DualTxt"/>
      </w:pPr>
      <w:r>
        <w:t>9.</w:t>
      </w:r>
      <w:r>
        <w:tab/>
        <w:t>Наконец, касаясь заявления о том, что многие положения, которые представляются устаревш</w:t>
      </w:r>
      <w:r>
        <w:t>и</w:t>
      </w:r>
      <w:r>
        <w:t>ми, — включая положение о разном минимальном возрасте вступления в брак — сохраняются лишь номинально, поскольку утратили свою актуальность в повседневной жизни и никто не выступил с пре</w:t>
      </w:r>
      <w:r>
        <w:t>д</w:t>
      </w:r>
      <w:r>
        <w:t>ложением изменить их, оратор говорит, что прав</w:t>
      </w:r>
      <w:r>
        <w:t>и</w:t>
      </w:r>
      <w:r>
        <w:t>тельство должно занимать активную позицию и обеспечивать упразднение дискриминационных з</w:t>
      </w:r>
      <w:r>
        <w:t>а</w:t>
      </w:r>
      <w:r>
        <w:t>конов прошлых времен. Законы носят образов</w:t>
      </w:r>
      <w:r>
        <w:t>а</w:t>
      </w:r>
      <w:r>
        <w:t>тельный характер; они служат руководством для н</w:t>
      </w:r>
      <w:r>
        <w:t>а</w:t>
      </w:r>
      <w:r>
        <w:t>сел</w:t>
      </w:r>
      <w:r>
        <w:t>е</w:t>
      </w:r>
      <w:r>
        <w:t>ния.</w:t>
      </w:r>
    </w:p>
    <w:p w:rsidR="00000000" w:rsidRDefault="00000000">
      <w:pPr>
        <w:pStyle w:val="DualTxt"/>
      </w:pPr>
      <w:r>
        <w:t>10.</w:t>
      </w:r>
      <w:r>
        <w:tab/>
      </w:r>
      <w:r>
        <w:rPr>
          <w:b/>
        </w:rPr>
        <w:t>Г</w:t>
      </w:r>
      <w:r>
        <w:rPr>
          <w:b/>
        </w:rPr>
        <w:noBreakHyphen/>
        <w:t>жа Шин</w:t>
      </w:r>
      <w:r>
        <w:t xml:space="preserve"> отмечает, что, хотя Уругвай прил</w:t>
      </w:r>
      <w:r>
        <w:t>о</w:t>
      </w:r>
      <w:r>
        <w:t>жил много сил для борьбы с насилием в отношении женщин, по</w:t>
      </w:r>
      <w:r>
        <w:noBreakHyphen/>
        <w:t>прежнему сохраняются серьезные пр</w:t>
      </w:r>
      <w:r>
        <w:t>о</w:t>
      </w:r>
      <w:r>
        <w:t>блемы, касающиеся стереотипных представлений. Во-первых, в соответствии с законом о безопасн</w:t>
      </w:r>
      <w:r>
        <w:t>о</w:t>
      </w:r>
      <w:r>
        <w:t>сти граждан 1995 года лицо, допускающее насилие в быту, может быть наказано лишь в случае «дл</w:t>
      </w:r>
      <w:r>
        <w:t>и</w:t>
      </w:r>
      <w:r>
        <w:t>тельного насилия или угроз», приведших к нанес</w:t>
      </w:r>
      <w:r>
        <w:t>е</w:t>
      </w:r>
      <w:r>
        <w:t>нию «одного или нескольких увечий», что, как представляется, говорит о том, что случаи бытового насилия, имеющие форму единоразового нападения и не приводящие к видимым увечьям, считаются несерьезным правонарушением, за которое не стоит наказывать. Оратор выражает надежду на то, что законопроект о насилии в быту позволит устранить этот важный пр</w:t>
      </w:r>
      <w:r>
        <w:t>о</w:t>
      </w:r>
      <w:r>
        <w:t>бел.</w:t>
      </w:r>
    </w:p>
    <w:p w:rsidR="00000000" w:rsidRDefault="00000000">
      <w:pPr>
        <w:pStyle w:val="DualTxt"/>
      </w:pPr>
      <w:r>
        <w:t>11.</w:t>
      </w:r>
      <w:r>
        <w:tab/>
        <w:t>Во-вторых, стереотипное представление о н</w:t>
      </w:r>
      <w:r>
        <w:t>а</w:t>
      </w:r>
      <w:r>
        <w:t>силии в быту как об аспекте личной жизни, а не о социальном преступлении, нашло свое отражение в пунктах 126–127 доклада, в которых перечисляются обязанности сотрудников полиции, занимающихся случаями бытового насилия. По мнению оратора, оценка ситуации и выполнение функций посредн</w:t>
      </w:r>
      <w:r>
        <w:t>и</w:t>
      </w:r>
      <w:r>
        <w:t>ка не входят в обязанности сотрудника полиции. В любом случае следует арестовать правонарушителя и, если правонарушение носит серьезный характер, передать дело в с</w:t>
      </w:r>
      <w:r>
        <w:t>у</w:t>
      </w:r>
      <w:r>
        <w:t>д.</w:t>
      </w:r>
    </w:p>
    <w:p w:rsidR="00000000" w:rsidRDefault="00000000">
      <w:pPr>
        <w:pStyle w:val="DualTxt"/>
      </w:pPr>
      <w:r>
        <w:t>12.</w:t>
      </w:r>
      <w:r>
        <w:tab/>
        <w:t>Содержащееся в пункте 9 письменных ответов заявление о том, что насилие «непосредственно св</w:t>
      </w:r>
      <w:r>
        <w:t>я</w:t>
      </w:r>
      <w:r>
        <w:t>зано с серьезными экономическими проблемами и низким уровнем образования» отражает еще одно живучее стереотипное представление — будто н</w:t>
      </w:r>
      <w:r>
        <w:t>а</w:t>
      </w:r>
      <w:r>
        <w:t>силие является проблемой исключительно низших слоев общества — и прямо противоречит данным о классификации жертв по соц</w:t>
      </w:r>
      <w:r>
        <w:t>и</w:t>
      </w:r>
      <w:r>
        <w:t>ально-экономическому положению (приблизительно 20 процентов составляют представители высшего класса, около 23 процентов — представители сре</w:t>
      </w:r>
      <w:r>
        <w:t>д</w:t>
      </w:r>
      <w:r>
        <w:t>него класса и приблизительно 24 процента — пре</w:t>
      </w:r>
      <w:r>
        <w:t>д</w:t>
      </w:r>
      <w:r>
        <w:t>ставители низшего класса). Очевидно, что проблема насилия актуальна для всех социальных классов. Если правительство не выработает более четкого понимания проблем насилия в отношении женщин, оно не сможет решить их.</w:t>
      </w:r>
    </w:p>
    <w:p w:rsidR="00000000" w:rsidRDefault="00000000">
      <w:pPr>
        <w:pStyle w:val="DualTxt"/>
      </w:pPr>
      <w:r>
        <w:t>13.</w:t>
      </w:r>
      <w:r>
        <w:tab/>
      </w:r>
      <w:r>
        <w:rPr>
          <w:b/>
        </w:rPr>
        <w:t>Г</w:t>
      </w:r>
      <w:r>
        <w:rPr>
          <w:b/>
        </w:rPr>
        <w:noBreakHyphen/>
        <w:t>жа Манало</w:t>
      </w:r>
      <w:r>
        <w:t xml:space="preserve"> благодарит делегацию за ее письменный доклад и устное сообщение, но отм</w:t>
      </w:r>
      <w:r>
        <w:t>е</w:t>
      </w:r>
      <w:r>
        <w:t>чает, что доклад совершенно не соответствует рук</w:t>
      </w:r>
      <w:r>
        <w:t>о</w:t>
      </w:r>
      <w:r>
        <w:t>водящим принципам Комитета. Она потрясена х</w:t>
      </w:r>
      <w:r>
        <w:t>о</w:t>
      </w:r>
      <w:r>
        <w:t>дом осуществления Конвенции в Уругвае и возм</w:t>
      </w:r>
      <w:r>
        <w:t>у</w:t>
      </w:r>
      <w:r>
        <w:t>щена ответом, в котором говорится, что никто в Уругвае не заинтересован в замене анахроничных законов, которые совершенно не отвечают букве и духу Конвенции. Она надеется, что люди в Уругвае знают о том, что происходит в других странах мира. Изменение законов является частью социального прогресса. Она подозревает, что реальная причина того, что правительство не принимает никаких де</w:t>
      </w:r>
      <w:r>
        <w:t>й</w:t>
      </w:r>
      <w:r>
        <w:t>ствий, заключается в том, что на политиков и зак</w:t>
      </w:r>
      <w:r>
        <w:t>о</w:t>
      </w:r>
      <w:r>
        <w:t>нодателей оказывают воздействие заинтересова</w:t>
      </w:r>
      <w:r>
        <w:t>н</w:t>
      </w:r>
      <w:r>
        <w:t>ные круги, такие, как церковь. Она просит предст</w:t>
      </w:r>
      <w:r>
        <w:t>а</w:t>
      </w:r>
      <w:r>
        <w:t>вить полную информацию о ходе подготовки докл</w:t>
      </w:r>
      <w:r>
        <w:t>а</w:t>
      </w:r>
      <w:r>
        <w:t>да, отмечая, что, как правило, этот процесс заним</w:t>
      </w:r>
      <w:r>
        <w:t>а</w:t>
      </w:r>
      <w:r>
        <w:t>ет полтора-два года. Подготовка доклада отнюдь не исчерпывается простым сбором данных.</w:t>
      </w:r>
    </w:p>
    <w:p w:rsidR="00000000" w:rsidRDefault="00000000">
      <w:pPr>
        <w:pStyle w:val="DualTxt"/>
      </w:pPr>
      <w:r>
        <w:t>14.</w:t>
      </w:r>
      <w:r>
        <w:tab/>
        <w:t>Законы Уругвая об абортах противоречат и</w:t>
      </w:r>
      <w:r>
        <w:t>н</w:t>
      </w:r>
      <w:r>
        <w:t>тересам женщин и оскорбляют их достоинство; в стране практически отсутствуют стратегии в обла</w:t>
      </w:r>
      <w:r>
        <w:t>с</w:t>
      </w:r>
      <w:r>
        <w:t>ти планирования семьи и до сих пор ничего не сд</w:t>
      </w:r>
      <w:r>
        <w:t>е</w:t>
      </w:r>
      <w:r>
        <w:t>лано для преодоления стереотипных представлений о роли женщин. В целом процессы эмансипации и расширения прав женщин отсутствуют в Уругвае как де</w:t>
      </w:r>
      <w:r>
        <w:noBreakHyphen/>
        <w:t>юре, так и де</w:t>
      </w:r>
      <w:r>
        <w:noBreakHyphen/>
        <w:t>факто. Те действия, которые якобы предпринимаются в интересах женщин, на деле представляют собой символические меры, ра</w:t>
      </w:r>
      <w:r>
        <w:t>з</w:t>
      </w:r>
      <w:r>
        <w:t>работанные мужчинами. Доклад отражает полную неспособность общества Уругвая выполнять пол</w:t>
      </w:r>
      <w:r>
        <w:t>о</w:t>
      </w:r>
      <w:r>
        <w:t>жения Ко</w:t>
      </w:r>
      <w:r>
        <w:t>н</w:t>
      </w:r>
      <w:r>
        <w:t>венции.</w:t>
      </w:r>
    </w:p>
    <w:p w:rsidR="00000000" w:rsidRDefault="00000000">
      <w:pPr>
        <w:pStyle w:val="DualTxt"/>
      </w:pPr>
      <w:r>
        <w:t>15.</w:t>
      </w:r>
      <w:r>
        <w:tab/>
      </w:r>
      <w:r>
        <w:rPr>
          <w:b/>
        </w:rPr>
        <w:t>Г</w:t>
      </w:r>
      <w:r>
        <w:rPr>
          <w:b/>
        </w:rPr>
        <w:noBreakHyphen/>
        <w:t>жа Шёпп-Шиллинг</w:t>
      </w:r>
      <w:r>
        <w:t xml:space="preserve"> говорит, что она также сомневается в наличии реальной политической воли осуществить Конвенцию. Она потрясена тем, что не было представлено никаких объяснений 10</w:t>
      </w:r>
      <w:r>
        <w:noBreakHyphen/>
        <w:t>летней задержки с представлением доклада, и обращает внимание на тот факт, что четвертый и пятый до</w:t>
      </w:r>
      <w:r>
        <w:t>к</w:t>
      </w:r>
      <w:r>
        <w:t>лады также должны были быть уже давно предста</w:t>
      </w:r>
      <w:r>
        <w:t>в</w:t>
      </w:r>
      <w:r>
        <w:t>лены. Высоко оценивая усилия прежних прав</w:t>
      </w:r>
      <w:r>
        <w:t>и</w:t>
      </w:r>
      <w:r>
        <w:t>тельств по обеспечению равноправия женщин, она говорит, что с учетом современных стандартов эти законы на деле являются дискриминационными. Уругвай ратифицировал Конвенцию в 1981 году; после этого у него было достаточно времени для изменения своих законов. Ответственность за н</w:t>
      </w:r>
      <w:r>
        <w:t>е</w:t>
      </w:r>
      <w:r>
        <w:t>способность провести пересмотр законодательства лежит на правительстве. Цель Конвенции состоит в поощрении фактического равенства возможностей и обращения; оратор не усматривает в докладе ник</w:t>
      </w:r>
      <w:r>
        <w:t>а</w:t>
      </w:r>
      <w:r>
        <w:t>ких подтверждений того, что правительство пыт</w:t>
      </w:r>
      <w:r>
        <w:t>а</w:t>
      </w:r>
      <w:r>
        <w:t>ется что</w:t>
      </w:r>
      <w:r>
        <w:noBreakHyphen/>
        <w:t>то сделать для обеспечения такого раве</w:t>
      </w:r>
      <w:r>
        <w:t>н</w:t>
      </w:r>
      <w:r>
        <w:t>ства. Поэтому она настоятельно призывает прав</w:t>
      </w:r>
      <w:r>
        <w:t>и</w:t>
      </w:r>
      <w:r>
        <w:t>тельство выполнить свои обязательства по пункту 1 статьи 4.</w:t>
      </w:r>
    </w:p>
    <w:p w:rsidR="00000000" w:rsidRDefault="00000000">
      <w:pPr>
        <w:pStyle w:val="DualTxt"/>
      </w:pPr>
      <w:r>
        <w:t>16.</w:t>
      </w:r>
      <w:r>
        <w:tab/>
        <w:t>Кроме того, она сомневается в искренности приверженности правительства делу поддержку Национального института по делам семьи и же</w:t>
      </w:r>
      <w:r>
        <w:t>н</w:t>
      </w:r>
      <w:r>
        <w:t>щин. Если бы эта приверженность была действ</w:t>
      </w:r>
      <w:r>
        <w:t>и</w:t>
      </w:r>
      <w:r>
        <w:t>тельно искренней, то правительство, несомненно, попыталось бы узнать, почему Институт не смог подготовить национальный план действий. Она п</w:t>
      </w:r>
      <w:r>
        <w:t>о</w:t>
      </w:r>
      <w:r>
        <w:t>дозревает, что Институт не располагает достато</w:t>
      </w:r>
      <w:r>
        <w:t>ч</w:t>
      </w:r>
      <w:r>
        <w:t>ными людскими и финансовыми ресурсами и вину за это следует возложить на правительство. Она также хотела бы знать, что происходит в различных министерствах в том, что касается прав женщин. Были ли созданы должности координаторов? Пр</w:t>
      </w:r>
      <w:r>
        <w:t>о</w:t>
      </w:r>
      <w:r>
        <w:t>водится ли оценка всех правительственных пр</w:t>
      </w:r>
      <w:r>
        <w:t>о</w:t>
      </w:r>
      <w:r>
        <w:t>грамм для выявления их воздействия на положение женщин? Без таких структур разработка комплек</w:t>
      </w:r>
      <w:r>
        <w:t>с</w:t>
      </w:r>
      <w:r>
        <w:t>ной стратегии в интересах женщин н</w:t>
      </w:r>
      <w:r>
        <w:t>е</w:t>
      </w:r>
      <w:r>
        <w:t>возможна.</w:t>
      </w:r>
    </w:p>
    <w:p w:rsidR="00000000" w:rsidRDefault="00000000">
      <w:pPr>
        <w:pStyle w:val="DualTxt"/>
      </w:pPr>
      <w:r>
        <w:t>17.</w:t>
      </w:r>
      <w:r>
        <w:tab/>
        <w:t>В докладе говорится, что 26 процентов уру</w:t>
      </w:r>
      <w:r>
        <w:t>г</w:t>
      </w:r>
      <w:r>
        <w:t>вайских домашних хозяйств возглавляются женщ</w:t>
      </w:r>
      <w:r>
        <w:t>и</w:t>
      </w:r>
      <w:r>
        <w:t>нами, однако отсутствуют сколь</w:t>
      </w:r>
      <w:r>
        <w:noBreakHyphen/>
        <w:t>нибудь подробные данные об этих домашних хозяйствах. В следующий доклад следует включить данные об их экономич</w:t>
      </w:r>
      <w:r>
        <w:t>е</w:t>
      </w:r>
      <w:r>
        <w:t>ском положении, жилье, уровне образования, до</w:t>
      </w:r>
      <w:r>
        <w:t>с</w:t>
      </w:r>
      <w:r>
        <w:t>тупе к медицинским услугам и состоянии зд</w:t>
      </w:r>
      <w:r>
        <w:t>о</w:t>
      </w:r>
      <w:r>
        <w:t>ровья.</w:t>
      </w:r>
    </w:p>
    <w:p w:rsidR="00000000" w:rsidRDefault="00000000">
      <w:pPr>
        <w:pStyle w:val="DualTxt"/>
      </w:pPr>
      <w:r>
        <w:t>18.</w:t>
      </w:r>
      <w:r>
        <w:tab/>
        <w:t>Касаясь трудного вопроса разницы в уровне заработной платы, которая существует во всех стр</w:t>
      </w:r>
      <w:r>
        <w:t>а</w:t>
      </w:r>
      <w:r>
        <w:t>нах мира, она отмечает, что есть ряд способов ра</w:t>
      </w:r>
      <w:r>
        <w:t>с</w:t>
      </w:r>
      <w:r>
        <w:t>смотрения этой проблемы, и настоятельно призыв</w:t>
      </w:r>
      <w:r>
        <w:t>а</w:t>
      </w:r>
      <w:r>
        <w:t>ет делегацию разъяснить правительству необход</w:t>
      </w:r>
      <w:r>
        <w:t>и</w:t>
      </w:r>
      <w:r>
        <w:t>мость уделения первоочередного внимания вопросу повыш</w:t>
      </w:r>
      <w:r>
        <w:t>е</w:t>
      </w:r>
      <w:r>
        <w:t>ния уровня оплаты труда женщин.</w:t>
      </w:r>
    </w:p>
    <w:p w:rsidR="00000000" w:rsidRDefault="00000000">
      <w:pPr>
        <w:pStyle w:val="DualTxt"/>
      </w:pPr>
      <w:r>
        <w:t>19.</w:t>
      </w:r>
      <w:r>
        <w:tab/>
      </w:r>
      <w:r>
        <w:rPr>
          <w:b/>
        </w:rPr>
        <w:t>Г</w:t>
      </w:r>
      <w:r>
        <w:rPr>
          <w:b/>
        </w:rPr>
        <w:noBreakHyphen/>
        <w:t>жа Гунесекере</w:t>
      </w:r>
      <w:r>
        <w:t xml:space="preserve"> отмечает, что в докладе г</w:t>
      </w:r>
      <w:r>
        <w:t>о</w:t>
      </w:r>
      <w:r>
        <w:t>ворится о высоких показателях материнской смер</w:t>
      </w:r>
      <w:r>
        <w:t>т</w:t>
      </w:r>
      <w:r>
        <w:t>ности в возрастной группе 15–24 лет. Поскольку аборт считается уголовным преступлением, оратор хотела бы знать, существует ли какая</w:t>
      </w:r>
      <w:r>
        <w:noBreakHyphen/>
        <w:t>либо связь между уровнем материнской смертности и нел</w:t>
      </w:r>
      <w:r>
        <w:t>е</w:t>
      </w:r>
      <w:r>
        <w:t>гальными абортами. Удалось ли добиться как</w:t>
      </w:r>
      <w:r>
        <w:t>о</w:t>
      </w:r>
      <w:r>
        <w:t>го</w:t>
      </w:r>
      <w:r>
        <w:noBreakHyphen/>
        <w:t>либо прогресса в ходе обсуждения проблемы декриминализации або</w:t>
      </w:r>
      <w:r>
        <w:t>р</w:t>
      </w:r>
      <w:r>
        <w:t>та?</w:t>
      </w: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>Г</w:t>
      </w:r>
      <w:r>
        <w:rPr>
          <w:b/>
        </w:rPr>
        <w:noBreakHyphen/>
        <w:t>жа Риверо</w:t>
      </w:r>
      <w:r>
        <w:t xml:space="preserve"> (Уругвай), отвечая на ряд вопр</w:t>
      </w:r>
      <w:r>
        <w:t>о</w:t>
      </w:r>
      <w:r>
        <w:t>сов, поставленных членами Комитета, говорит, что для борьбы с существующими стереотипами ее страна уделяет повышенное внимание образованию и намеревается опубликовать текст Пекинской платформы действий. Делегация оратора передаст замечания экспертов по этому вопросу и будет р</w:t>
      </w:r>
      <w:r>
        <w:t>е</w:t>
      </w:r>
      <w:r>
        <w:t>комендовать правительству активизировать свои информационно-пропагандистские кампании. Она подчеркивает, что законодательство Уругвая по в</w:t>
      </w:r>
      <w:r>
        <w:t>о</w:t>
      </w:r>
      <w:r>
        <w:t>просам изнасилования рассматривалось в свое вр</w:t>
      </w:r>
      <w:r>
        <w:t>е</w:t>
      </w:r>
      <w:r>
        <w:t>мя в качестве крайне прогрессивного. Делегация оратора приняла к сведению все замечания Комит</w:t>
      </w:r>
      <w:r>
        <w:t>е</w:t>
      </w:r>
      <w:r>
        <w:t>та и сделает все возможное для улучшения полож</w:t>
      </w:r>
      <w:r>
        <w:t>е</w:t>
      </w:r>
      <w:r>
        <w:t>ния.</w:t>
      </w:r>
    </w:p>
    <w:p w:rsidR="00000000" w:rsidRDefault="00000000">
      <w:pPr>
        <w:pStyle w:val="DualTxt"/>
      </w:pPr>
      <w:r>
        <w:t>21.</w:t>
      </w:r>
      <w:r>
        <w:tab/>
        <w:t>Она объясняет, что в случае бытового насилия полиция пытается оказать первую помощь и вм</w:t>
      </w:r>
      <w:r>
        <w:t>е</w:t>
      </w:r>
      <w:r>
        <w:t>шивается при получении первых сообщений о н</w:t>
      </w:r>
      <w:r>
        <w:t>а</w:t>
      </w:r>
      <w:r>
        <w:t>силии, однако этим дело отнюдь не обязательно о</w:t>
      </w:r>
      <w:r>
        <w:t>г</w:t>
      </w:r>
      <w:r>
        <w:t>раничивается. Если одна из сторон обращается с жалобой, она рассматривается судом, и может н</w:t>
      </w:r>
      <w:r>
        <w:t>а</w:t>
      </w:r>
      <w:r>
        <w:t>чаться бракоразводный процесс. В Уругвае сущес</w:t>
      </w:r>
      <w:r>
        <w:t>т</w:t>
      </w:r>
      <w:r>
        <w:t>вует очень высокий показатель разводов. Когда п</w:t>
      </w:r>
      <w:r>
        <w:t>о</w:t>
      </w:r>
      <w:r>
        <w:t>ложение дома оправдывает это, женщины могут д</w:t>
      </w:r>
      <w:r>
        <w:t>о</w:t>
      </w:r>
      <w:r>
        <w:t>биваться правосудия в суде. Лицам, не имеющим достаточных ресурсов, оказывается помощь, и они могут бесплатно получать юридическую консульт</w:t>
      </w:r>
      <w:r>
        <w:t>а</w:t>
      </w:r>
      <w:r>
        <w:t>цию или пользоваться услугами адвокатов. Хотя н</w:t>
      </w:r>
      <w:r>
        <w:t>а</w:t>
      </w:r>
      <w:r>
        <w:t>ходящийся в настоящее время на рассмотрении парламента законопроект не охватывает все аспекты этой проблемы, можно надеяться, что он позволит улучшить существующее законод</w:t>
      </w:r>
      <w:r>
        <w:t>а</w:t>
      </w:r>
      <w:r>
        <w:t>тельство.</w:t>
      </w:r>
    </w:p>
    <w:p w:rsidR="00000000" w:rsidRDefault="00000000">
      <w:pPr>
        <w:pStyle w:val="DualTxt"/>
      </w:pPr>
      <w:r>
        <w:t>22.</w:t>
      </w:r>
      <w:r>
        <w:tab/>
        <w:t>Делегация оратора приняла к сведению прос</w:t>
      </w:r>
      <w:r>
        <w:t>ь</w:t>
      </w:r>
      <w:r>
        <w:t>бу представить подробную и всеобъемлющую и</w:t>
      </w:r>
      <w:r>
        <w:t>н</w:t>
      </w:r>
      <w:r>
        <w:t>формацию о механизмах осуществления Пекинской платформы действий и оценки полученных резул</w:t>
      </w:r>
      <w:r>
        <w:t>ь</w:t>
      </w:r>
      <w:r>
        <w:t>татов. Она разделяет как озабоченность Комитета, так и мнение о том, что показатели имеют очень важное значение.</w:t>
      </w:r>
    </w:p>
    <w:p w:rsidR="00000000" w:rsidRDefault="00000000">
      <w:pPr>
        <w:pStyle w:val="DualTxt"/>
      </w:pPr>
      <w:r>
        <w:t>23.</w:t>
      </w:r>
      <w:r>
        <w:tab/>
        <w:t>Очевидно, что представленные оратором отв</w:t>
      </w:r>
      <w:r>
        <w:t>е</w:t>
      </w:r>
      <w:r>
        <w:t>ты не отражают ее личного мнения, поскольку в ее обязанности входило просто представить доклад страны. Делегация оратора выражает большую пр</w:t>
      </w:r>
      <w:r>
        <w:t>и</w:t>
      </w:r>
      <w:r>
        <w:t>знательность Комитету за интерес к жизни женщин Уру</w:t>
      </w:r>
      <w:r>
        <w:t>г</w:t>
      </w:r>
      <w:r>
        <w:t>вая и передаст все, что было сказано.</w:t>
      </w: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>Председатель</w:t>
      </w:r>
      <w:r>
        <w:t xml:space="preserve"> отмечает, что в прошлом Уру</w:t>
      </w:r>
      <w:r>
        <w:t>г</w:t>
      </w:r>
      <w:r>
        <w:t>вай служил образцом для других стран в регионе, особенно в том, что касается мер по предупрежд</w:t>
      </w:r>
      <w:r>
        <w:t>е</w:t>
      </w:r>
      <w:r>
        <w:t>нию насилия в отношении женщин и наказанию за него. В странах Латинской Америки изменение Уголовного кодекса — это длительный процесс, п</w:t>
      </w:r>
      <w:r>
        <w:t>о</w:t>
      </w:r>
      <w:r>
        <w:t>скольку парламентарии вынуждены заниматься б</w:t>
      </w:r>
      <w:r>
        <w:t>о</w:t>
      </w:r>
      <w:r>
        <w:t>лее безотлагательными вопросами. Тем не менее страна, которая когда</w:t>
      </w:r>
      <w:r>
        <w:noBreakHyphen/>
        <w:t>то стояла в авангарде пр</w:t>
      </w:r>
      <w:r>
        <w:t>о</w:t>
      </w:r>
      <w:r>
        <w:t>гресса, должна выполнить требования Конвенции. Поэтому она настоятельно призывает делегацию передать замечания членов Комитета — прежде всего те, которые касаются необходимости пре</w:t>
      </w:r>
      <w:r>
        <w:t>д</w:t>
      </w:r>
      <w:r>
        <w:t>ставления статистических данных, отражающих воздействие мер по решению целого ряда пр</w:t>
      </w:r>
      <w:r>
        <w:t>о</w:t>
      </w:r>
      <w:r>
        <w:t>блем, — и рекомендации правительству и обесп</w:t>
      </w:r>
      <w:r>
        <w:t>е</w:t>
      </w:r>
      <w:r>
        <w:t>чить их широкое распростр</w:t>
      </w:r>
      <w:r>
        <w:t>а</w:t>
      </w:r>
      <w:r>
        <w:t>нение в стране.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закрывается в 16 ч. 10 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NO&gt;&gt;N0223003R&lt;&lt;ODS JOB NO&gt;&gt;</w:t>
      </w:r>
    </w:p>
    <w:p w:rsidR="00000000" w:rsidRDefault="00000000">
      <w:pPr>
        <w:pStyle w:val="CommentText"/>
      </w:pPr>
      <w:r>
        <w:t>&lt;&lt;ODS DOC SYMBOL1&gt;&gt;CEDAW/C/SR.542&lt;&lt;ODS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02-23003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*0223003*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CEDAW/C/SR.542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CEDAW/C/SR.542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/C/SR.542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 xml:space="preserve">26 </w:t>
          </w:r>
          <w:r>
            <w:t>November 2002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5/11/2002 9:55: AM"/>
    <w:docVar w:name="DocCategory" w:val="SROthers"/>
    <w:docVar w:name="DocType" w:val="Final"/>
    <w:docVar w:name="JobNo" w:val="0223003R"/>
    <w:docVar w:name="OandT" w:val=" "/>
    <w:docVar w:name="Symbol1" w:val="CEDAW/C/SR.542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1893</Words>
  <Characters>12874</Characters>
  <Application>Microsoft Office Word</Application>
  <DocSecurity>4</DocSecurity>
  <Lines>347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15334</CharactersWithSpaces>
  <SharedDoc>false</SharedDoc>
  <HLinks>
    <vt:vector size="6" baseType="variant">
      <vt:variant>
        <vt:i4>4522087</vt:i4>
      </vt:variant>
      <vt:variant>
        <vt:i4>31446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3</cp:revision>
  <cp:lastPrinted>2002-11-25T14:19:00Z</cp:lastPrinted>
  <dcterms:created xsi:type="dcterms:W3CDTF">2002-11-25T14:19:00Z</dcterms:created>
  <dcterms:modified xsi:type="dcterms:W3CDTF">2002-11-25T14:19:00Z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0223003</vt:lpwstr>
  </property>
  <property fmtid="{D5CDD505-2E9C-101B-9397-08002B2CF9AE}" pid="3" name="Symbol1">
    <vt:lpwstr>CEDAW/C/SR.542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5</vt:lpwstr>
  </property>
  <property fmtid="{D5CDD505-2E9C-101B-9397-08002B2CF9AE}" pid="8" name="Operator">
    <vt:lpwstr>Mouslikova</vt:lpwstr>
  </property>
</Properties>
</file>