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60" w:lineRule="exact"/>
        <w:rPr>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noEndnote/>
          <w:titlePg/>
        </w:sectPr>
      </w:pPr>
      <w:r>
        <w:rPr>
          <w:rStyle w:val="CommentReference"/>
          <w:vanish/>
        </w:rPr>
        <w:commentReference w:id="0"/>
      </w:r>
    </w:p>
    <w:p w:rsidR="00000000" w:rsidRDefault="00000000">
      <w:pPr>
        <w:pStyle w:val="H1"/>
      </w:pPr>
      <w:r>
        <w:t xml:space="preserve">Комитет по ликвидации дискриминации </w:t>
      </w:r>
      <w:r>
        <w:rPr>
          <w:lang w:val="en-US"/>
        </w:rPr>
        <w:br/>
      </w:r>
      <w:r>
        <w:t>в</w:t>
      </w:r>
      <w:r>
        <w:rPr>
          <w:lang w:val="en-US"/>
        </w:rPr>
        <w:t xml:space="preserve"> </w:t>
      </w:r>
      <w:r>
        <w:t>отношении женщин</w:t>
      </w:r>
    </w:p>
    <w:p w:rsidR="00000000" w:rsidRDefault="00000000">
      <w:pPr>
        <w:pStyle w:val="H23"/>
      </w:pPr>
      <w:r>
        <w:t>Двадцать шестая сессия</w:t>
      </w:r>
    </w:p>
    <w:p w:rsidR="00000000" w:rsidRDefault="00000000">
      <w:pPr>
        <w:spacing w:line="240" w:lineRule="auto"/>
        <w:rPr>
          <w:sz w:val="12"/>
        </w:rPr>
      </w:pPr>
    </w:p>
    <w:p w:rsidR="00000000" w:rsidRDefault="00000000">
      <w:pPr>
        <w:pStyle w:val="H23"/>
      </w:pPr>
      <w:r>
        <w:t>Краткий отчет о 548-м заседании,</w:t>
      </w:r>
    </w:p>
    <w:p w:rsidR="00000000" w:rsidRDefault="00000000">
      <w:r>
        <w:t>состоявшемся в Центральных учреждениях, Нью-Йорк, во вторник, 29 января 2002 года, в 15 ч. 00 м.</w:t>
      </w:r>
    </w:p>
    <w:p w:rsidR="00000000" w:rsidRDefault="00000000">
      <w:pPr>
        <w:spacing w:line="120" w:lineRule="exact"/>
        <w:rPr>
          <w:sz w:val="10"/>
        </w:rPr>
      </w:pPr>
    </w:p>
    <w:p w:rsidR="00000000" w:rsidRDefault="00000000">
      <w:pPr>
        <w:tabs>
          <w:tab w:val="left" w:pos="1368"/>
          <w:tab w:val="right" w:leader="dot" w:pos="8568"/>
        </w:tabs>
        <w:ind w:right="1267"/>
      </w:pPr>
      <w:r>
        <w:rPr>
          <w:i/>
        </w:rPr>
        <w:t>Председатель</w:t>
      </w:r>
      <w:r>
        <w:t>:</w:t>
      </w:r>
      <w:r>
        <w:tab/>
      </w:r>
      <w:r>
        <w:rPr>
          <w:lang w:val="en-US"/>
        </w:rPr>
        <w:t xml:space="preserve"> </w:t>
      </w:r>
      <w:r>
        <w:t>г-жа Абака</w:t>
      </w:r>
    </w:p>
    <w:p w:rsidR="00000000" w:rsidRDefault="00000000">
      <w:pPr>
        <w:tabs>
          <w:tab w:val="left" w:pos="1368"/>
          <w:tab w:val="right" w:leader="dot" w:pos="8568"/>
        </w:tabs>
        <w:spacing w:line="120" w:lineRule="exact"/>
        <w:ind w:right="1267"/>
        <w:rPr>
          <w:sz w:val="10"/>
        </w:rPr>
      </w:pPr>
    </w:p>
    <w:p w:rsidR="00000000" w:rsidRDefault="00000000">
      <w:pPr>
        <w:tabs>
          <w:tab w:val="left" w:pos="1368"/>
          <w:tab w:val="right" w:leader="dot" w:pos="8568"/>
        </w:tabs>
        <w:spacing w:line="120" w:lineRule="exact"/>
        <w:ind w:right="1267"/>
        <w:rPr>
          <w:sz w:val="10"/>
        </w:rPr>
      </w:pPr>
    </w:p>
    <w:p w:rsidR="00000000" w:rsidRDefault="00000000">
      <w:pPr>
        <w:tabs>
          <w:tab w:val="left" w:pos="1368"/>
          <w:tab w:val="right" w:leader="dot" w:pos="8568"/>
        </w:tabs>
        <w:spacing w:line="120" w:lineRule="exact"/>
        <w:ind w:right="1267"/>
        <w:rPr>
          <w:sz w:val="10"/>
        </w:rPr>
      </w:pPr>
    </w:p>
    <w:p w:rsidR="00000000" w:rsidRDefault="00000000">
      <w:pPr>
        <w:pStyle w:val="HCh"/>
        <w:rPr>
          <w:b w:val="0"/>
        </w:rPr>
      </w:pPr>
      <w:r>
        <w:rPr>
          <w:b w:val="0"/>
        </w:rPr>
        <w:t>Содержание</w:t>
      </w:r>
    </w:p>
    <w:p w:rsidR="00000000" w:rsidRDefault="00000000">
      <w:pPr>
        <w:pStyle w:val="HCh"/>
        <w:spacing w:line="240" w:lineRule="auto"/>
        <w:rPr>
          <w:b w:val="0"/>
          <w:sz w:val="12"/>
        </w:rPr>
      </w:pPr>
    </w:p>
    <w:p w:rsidR="00000000" w:rsidRDefault="00000000">
      <w:pPr>
        <w:pStyle w:val="SingleTxt"/>
        <w:suppressAutoHyphens/>
        <w:jc w:val="left"/>
      </w:pPr>
      <w:r>
        <w:t>Рассмотрение докладов, представленных государствами-участниками в соответствии со статьей 18 Конвенции (</w:t>
      </w:r>
      <w:r>
        <w:rPr>
          <w:i/>
        </w:rPr>
        <w:t>продолжение</w:t>
      </w:r>
      <w:r>
        <w:t>)</w:t>
      </w:r>
    </w:p>
    <w:p w:rsidR="00000000" w:rsidRDefault="00000000">
      <w:pPr>
        <w:pStyle w:val="SingleTxt"/>
        <w:ind w:left="1742" w:hanging="475"/>
        <w:jc w:val="left"/>
        <w:rPr>
          <w:i/>
        </w:rPr>
      </w:pPr>
      <w:r>
        <w:rPr>
          <w:i/>
        </w:rPr>
        <w:tab/>
        <w:t>Объединенные первоначальный, второй и третий периодические доклады Э</w:t>
      </w:r>
      <w:r>
        <w:rPr>
          <w:i/>
        </w:rPr>
        <w:t>с</w:t>
      </w:r>
      <w:r>
        <w:rPr>
          <w:i/>
        </w:rPr>
        <w:t xml:space="preserve">тонии </w:t>
      </w:r>
      <w:r>
        <w:t>(</w:t>
      </w:r>
      <w:r>
        <w:rPr>
          <w:i/>
        </w:rPr>
        <w:t>продолжение</w:t>
      </w:r>
      <w:r>
        <w:t>)</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1267"/>
        <w:rPr>
          <w:i w:val="0"/>
          <w:sz w:val="2"/>
        </w:rPr>
        <w:sectPr w:rsidR="00000000">
          <w:endnotePr>
            <w:numFmt w:val="decimal"/>
          </w:endnotePr>
          <w:type w:val="continuous"/>
          <w:pgSz w:w="12240" w:h="15840" w:code="1"/>
          <w:pgMar w:top="1742" w:right="1195" w:bottom="1898" w:left="1195" w:header="576" w:footer="1030" w:gutter="0"/>
          <w:pgNumType w:start="1"/>
          <w:cols w:space="720"/>
          <w:noEndnote/>
        </w:sectPr>
      </w:pPr>
      <w:r>
        <w:rPr>
          <w:i w:val="0"/>
        </w:rPr>
        <w:br w:type="page"/>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Заседание открывается в 15 ч. 10 м.</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rPr>
          <w:b w:val="0"/>
          <w:i/>
        </w:rPr>
      </w:pPr>
      <w:r>
        <w:tab/>
      </w:r>
      <w:r>
        <w:tab/>
        <w:t xml:space="preserve">Рассмотрение докладов, представленных государствами-участниками в соответствии со статьей 18 Конвенции </w:t>
      </w:r>
      <w:r>
        <w:rPr>
          <w:b w:val="0"/>
        </w:rPr>
        <w:t>(</w:t>
      </w:r>
      <w:r>
        <w:rPr>
          <w:b w:val="0"/>
          <w:i/>
        </w:rPr>
        <w:t>продолжение</w:t>
      </w:r>
      <w:r>
        <w:rPr>
          <w:b w:val="0"/>
        </w:rPr>
        <w:t>)</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r>
      <w:r>
        <w:tab/>
        <w:t>Объединенные первоначальный, второй и третий периодические доклады Эстонии (продолжение</w:t>
      </w:r>
      <w:r>
        <w:rPr>
          <w:i w:val="0"/>
        </w:rPr>
        <w:t>) (CEDAW/C/EST/1–3)</w:t>
      </w:r>
    </w:p>
    <w:p w:rsidR="00000000" w:rsidRDefault="00000000">
      <w:pPr>
        <w:pStyle w:val="DualTxt"/>
        <w:spacing w:after="0" w:line="120" w:lineRule="exact"/>
        <w:rPr>
          <w:sz w:val="10"/>
        </w:rPr>
      </w:pPr>
    </w:p>
    <w:p w:rsidR="00000000" w:rsidRDefault="00000000">
      <w:pPr>
        <w:pStyle w:val="DualTxt"/>
      </w:pPr>
      <w:r>
        <w:t>1.</w:t>
      </w:r>
      <w:r>
        <w:tab/>
      </w:r>
      <w:r>
        <w:rPr>
          <w:i/>
        </w:rPr>
        <w:t>По приглашению Председателя члены делег</w:t>
      </w:r>
      <w:r>
        <w:rPr>
          <w:i/>
        </w:rPr>
        <w:t>а</w:t>
      </w:r>
      <w:r>
        <w:rPr>
          <w:i/>
        </w:rPr>
        <w:t>ции Эстонии занимают места за столом Комит</w:t>
      </w:r>
      <w:r>
        <w:rPr>
          <w:i/>
        </w:rPr>
        <w:t>е</w:t>
      </w:r>
      <w:r>
        <w:rPr>
          <w:i/>
        </w:rPr>
        <w:t>та</w:t>
      </w:r>
      <w:r>
        <w:t>.</w:t>
      </w:r>
    </w:p>
    <w:p w:rsidR="00000000" w:rsidRDefault="00000000">
      <w:pPr>
        <w:pStyle w:val="DualTxt"/>
      </w:pPr>
      <w:r>
        <w:t>2.</w:t>
      </w:r>
      <w:r>
        <w:tab/>
      </w:r>
      <w:r>
        <w:rPr>
          <w:b/>
        </w:rPr>
        <w:t>Г</w:t>
      </w:r>
      <w:r>
        <w:rPr>
          <w:b/>
        </w:rPr>
        <w:noBreakHyphen/>
        <w:t>жа Кальюранд</w:t>
      </w:r>
      <w:r>
        <w:t xml:space="preserve"> (Эстония) говорит, что ее делегация принимает замечания Комитета относ</w:t>
      </w:r>
      <w:r>
        <w:t>и</w:t>
      </w:r>
      <w:r>
        <w:t>тельно отсутствия вступления к докладу и поэтому представляет базовый документ, который первон</w:t>
      </w:r>
      <w:r>
        <w:t>а</w:t>
      </w:r>
      <w:r>
        <w:t>чально был представлен в Женеве в 2001 году и в котором содержится некоторая дополнительная справочная информация о стране. Она подчеркив</w:t>
      </w:r>
      <w:r>
        <w:t>а</w:t>
      </w:r>
      <w:r>
        <w:t>ет, что доклад был представлен с задержкой не только из</w:t>
      </w:r>
      <w:r>
        <w:noBreakHyphen/>
        <w:t>за нехватки персонала и отсутствия опыта в написании докладов об осуществлении конвенций по правам человека, но также из</w:t>
      </w:r>
      <w:r>
        <w:noBreakHyphen/>
        <w:t>за перспективных реформ, требуемых для приведения законов страны в соответствие с принципами рыночной экономики и примата права. Конвенция была опубликована на эстонском языке в одной из советских официальных газет еще до получения независимости, и поэтому уже на протяжении определенного времени досту</w:t>
      </w:r>
      <w:r>
        <w:t>п</w:t>
      </w:r>
      <w:r>
        <w:t>на для широких слоев насел</w:t>
      </w:r>
      <w:r>
        <w:t>е</w:t>
      </w:r>
      <w:r>
        <w:t>ния.</w:t>
      </w:r>
    </w:p>
    <w:p w:rsidR="00000000" w:rsidRDefault="00000000">
      <w:pPr>
        <w:pStyle w:val="DualTxt"/>
      </w:pPr>
      <w:r>
        <w:t>3.</w:t>
      </w:r>
      <w:r>
        <w:tab/>
        <w:t>Правительство создало рабочую группу для содействия в подготовке доклада и было начато осуществление проекта по обучению гражданских служащих, исследователей и представителей непр</w:t>
      </w:r>
      <w:r>
        <w:t>а</w:t>
      </w:r>
      <w:r>
        <w:t>вительственных организаций (НПО) по вопросу о том, как производить сбор необходимой информ</w:t>
      </w:r>
      <w:r>
        <w:t>а</w:t>
      </w:r>
      <w:r>
        <w:t>ции; общую ответственность за подготовку доклада несет министерство социальных дел. Первое ко</w:t>
      </w:r>
      <w:r>
        <w:t>м</w:t>
      </w:r>
      <w:r>
        <w:t>плексное руководство по документам в области прав человека в Эстонии было выпущено в 2001 году. С национальным докладом Эстонии можно ознакомиться на эстонском и русском языках на веб-сайте министерства иностранных дел.</w:t>
      </w:r>
    </w:p>
    <w:p w:rsidR="00000000" w:rsidRDefault="00000000">
      <w:pPr>
        <w:pStyle w:val="DualTxt"/>
      </w:pPr>
      <w:r>
        <w:t>4.</w:t>
      </w:r>
      <w:r>
        <w:tab/>
        <w:t>Основные задачи, стоящие перед Междун</w:t>
      </w:r>
      <w:r>
        <w:t>а</w:t>
      </w:r>
      <w:r>
        <w:t>родным юридическим центром по правам человека, заключаются в предоставлении бесплатных юрид</w:t>
      </w:r>
      <w:r>
        <w:t>и</w:t>
      </w:r>
      <w:r>
        <w:t>ческих консультативных услуг, сборе и распростр</w:t>
      </w:r>
      <w:r>
        <w:t>а</w:t>
      </w:r>
      <w:r>
        <w:t>нении информации по правам человека, расшир</w:t>
      </w:r>
      <w:r>
        <w:t>е</w:t>
      </w:r>
      <w:r>
        <w:t>нии знаний о правах человека среди адвокатов и студентов, изучающих право, и в оказании содейс</w:t>
      </w:r>
      <w:r>
        <w:t>т</w:t>
      </w:r>
      <w:r>
        <w:t>вия адвокатам в подготовке судебных дел, связа</w:t>
      </w:r>
      <w:r>
        <w:t>н</w:t>
      </w:r>
      <w:r>
        <w:t>ных с правами человека. Основное внимание в его деятельности уделяется положению иностранцев и защите меньшинств, а не гендерным вопросам, хотя он представил замечания по докладу. Ни один из проектов гражданского просвещения в Институте Яана Тониссона не посвящен исключительно в</w:t>
      </w:r>
      <w:r>
        <w:t>о</w:t>
      </w:r>
      <w:r>
        <w:t>просу равенства полов. Указанный институт в с</w:t>
      </w:r>
      <w:r>
        <w:t>о</w:t>
      </w:r>
      <w:r>
        <w:t>трудничестве с Тартуским университетом разраб</w:t>
      </w:r>
      <w:r>
        <w:t>о</w:t>
      </w:r>
      <w:r>
        <w:t>тал учебный план для подготовки учителей, вкл</w:t>
      </w:r>
      <w:r>
        <w:t>ю</w:t>
      </w:r>
      <w:r>
        <w:t>чающий в себя вопрос равенства полов, осущест</w:t>
      </w:r>
      <w:r>
        <w:t>в</w:t>
      </w:r>
      <w:r>
        <w:t>ляет распространение документов по вопросам прав человека, в основном через Интернет, и участвует также в различных мероприятиях, в которых особое внимание уделяется тематике гендерного р</w:t>
      </w:r>
      <w:r>
        <w:t>а</w:t>
      </w:r>
      <w:r>
        <w:t>венства.</w:t>
      </w:r>
    </w:p>
    <w:p w:rsidR="00000000" w:rsidRDefault="00000000">
      <w:pPr>
        <w:pStyle w:val="DualTxt"/>
      </w:pPr>
      <w:r>
        <w:t>5.</w:t>
      </w:r>
      <w:r>
        <w:tab/>
        <w:t>В ответ на замечание о необходимости пер</w:t>
      </w:r>
      <w:r>
        <w:t>е</w:t>
      </w:r>
      <w:r>
        <w:t>смотра статистических категорий она разъясняет, что статистические данные, касающиеся равенства полов, впервые начали собираться в 1997 году в рамках совместной программы с участием гос</w:t>
      </w:r>
      <w:r>
        <w:t>у</w:t>
      </w:r>
      <w:r>
        <w:t>дарств Балтии и Северной Европы. Для гражда</w:t>
      </w:r>
      <w:r>
        <w:t>н</w:t>
      </w:r>
      <w:r>
        <w:t>ских служащих были организованы специальные учебные курсы, и, кроме того, Бюро по вопросам равенства в тесном сотрудничестве с Программой развития Организации Объединенных Наций подг</w:t>
      </w:r>
      <w:r>
        <w:t>о</w:t>
      </w:r>
      <w:r>
        <w:t>товило руководящие принципы в отношении пок</w:t>
      </w:r>
      <w:r>
        <w:t>а</w:t>
      </w:r>
      <w:r>
        <w:t>зателей, определ</w:t>
      </w:r>
      <w:r>
        <w:t>е</w:t>
      </w:r>
      <w:r>
        <w:t xml:space="preserve">ний и мер оценки. </w:t>
      </w:r>
    </w:p>
    <w:p w:rsidR="00000000" w:rsidRDefault="00000000">
      <w:pPr>
        <w:pStyle w:val="DualTxt"/>
      </w:pPr>
      <w:r>
        <w:t>6.</w:t>
      </w:r>
      <w:r>
        <w:tab/>
        <w:t>В настоящее время Эстония готовится ратиф</w:t>
      </w:r>
      <w:r>
        <w:t>и</w:t>
      </w:r>
      <w:r>
        <w:t>цировать Протокол № 12 к Конвенции о защите прав человека и основных свобод. Однако оратор не может сообщить точную дату, когда Эстония рат</w:t>
      </w:r>
      <w:r>
        <w:t>и</w:t>
      </w:r>
      <w:r>
        <w:t>фицирует Факультативный протокол к Конвенции о ликвидации всех форм дискриминации в отношении женщин или п</w:t>
      </w:r>
      <w:r>
        <w:t>о</w:t>
      </w:r>
      <w:r>
        <w:t>правку к статье 20.</w:t>
      </w:r>
    </w:p>
    <w:p w:rsidR="00000000" w:rsidRDefault="00000000">
      <w:pPr>
        <w:pStyle w:val="DualTxt"/>
      </w:pPr>
      <w:r>
        <w:t>7.</w:t>
      </w:r>
      <w:r>
        <w:tab/>
        <w:t>Хотя в законах Эстонии не содержится ко</w:t>
      </w:r>
      <w:r>
        <w:t>н</w:t>
      </w:r>
      <w:r>
        <w:t>кретного определения «дискриминации в отнош</w:t>
      </w:r>
      <w:r>
        <w:t>е</w:t>
      </w:r>
      <w:r>
        <w:t>нии женщин», международное право, включая ме</w:t>
      </w:r>
      <w:r>
        <w:t>ж</w:t>
      </w:r>
      <w:r>
        <w:t>дународные договоры, в эстонской правовой сист</w:t>
      </w:r>
      <w:r>
        <w:t>е</w:t>
      </w:r>
      <w:r>
        <w:t>ме занимают определяющее положение. В этой св</w:t>
      </w:r>
      <w:r>
        <w:t>я</w:t>
      </w:r>
      <w:r>
        <w:t>зи Конвенция непосредственно применяется в э</w:t>
      </w:r>
      <w:r>
        <w:t>с</w:t>
      </w:r>
      <w:r>
        <w:t>тонских судах. Понятие «прямой и косвенной ди</w:t>
      </w:r>
      <w:r>
        <w:t>с</w:t>
      </w:r>
      <w:r>
        <w:t>криминации по признаку пола» разъясняется в пр</w:t>
      </w:r>
      <w:r>
        <w:t>о</w:t>
      </w:r>
      <w:r>
        <w:t>екте закона о раве</w:t>
      </w:r>
      <w:r>
        <w:t>н</w:t>
      </w:r>
      <w:r>
        <w:t>стве полов.</w:t>
      </w:r>
    </w:p>
    <w:p w:rsidR="00000000" w:rsidRDefault="00000000">
      <w:pPr>
        <w:pStyle w:val="DualTxt"/>
      </w:pPr>
      <w:r>
        <w:t>8.</w:t>
      </w:r>
      <w:r>
        <w:tab/>
        <w:t>В порядке ответа на вопросы и замечания по тому разделу доклада Эстонии, который касается статьи 2 Конвенции, она говорит, что цель Закона о равенстве полов, который применяется в государс</w:t>
      </w:r>
      <w:r>
        <w:t>т</w:t>
      </w:r>
      <w:r>
        <w:t>венном и частном секторах, заключается в обесп</w:t>
      </w:r>
      <w:r>
        <w:t>е</w:t>
      </w:r>
      <w:r>
        <w:t>чении равенства мужчин и женщин путем запрещ</w:t>
      </w:r>
      <w:r>
        <w:t>е</w:t>
      </w:r>
      <w:r>
        <w:t>ния дискриминации по признаку пола и путем уст</w:t>
      </w:r>
      <w:r>
        <w:t>а</w:t>
      </w:r>
      <w:r>
        <w:t>новления для центральных и местных властей, учебных заведений и работодателей обязанности укреплять равенство полов. В соответствии с ук</w:t>
      </w:r>
      <w:r>
        <w:t>а</w:t>
      </w:r>
      <w:r>
        <w:t>занным законом антидискриминационные меры с</w:t>
      </w:r>
      <w:r>
        <w:t>а</w:t>
      </w:r>
      <w:r>
        <w:t>ми по себе не рассматриваются как дискриминация, и женщинам в период беременности предоставляе</w:t>
      </w:r>
      <w:r>
        <w:t>т</w:t>
      </w:r>
      <w:r>
        <w:t>ся специальная защита; в то же время идея квот в</w:t>
      </w:r>
      <w:r>
        <w:t>ы</w:t>
      </w:r>
      <w:r>
        <w:t>зывает много возражений. В законе также особое внимание уделяется проблеме сексуальных посяг</w:t>
      </w:r>
      <w:r>
        <w:t>а</w:t>
      </w:r>
      <w:r>
        <w:t>тельств. При разработке закона для различных се</w:t>
      </w:r>
      <w:r>
        <w:t>к</w:t>
      </w:r>
      <w:r>
        <w:t>торов общества проводились многочисленные с</w:t>
      </w:r>
      <w:r>
        <w:t>е</w:t>
      </w:r>
      <w:r>
        <w:t>минары и практ</w:t>
      </w:r>
      <w:r>
        <w:t>и</w:t>
      </w:r>
      <w:r>
        <w:t>кумы.</w:t>
      </w:r>
    </w:p>
    <w:p w:rsidR="00000000" w:rsidRDefault="00000000">
      <w:pPr>
        <w:pStyle w:val="DualTxt"/>
      </w:pPr>
      <w:r>
        <w:t>9.</w:t>
      </w:r>
      <w:r>
        <w:tab/>
        <w:t>Существует целый ряд законов, которые рег</w:t>
      </w:r>
      <w:r>
        <w:t>у</w:t>
      </w:r>
      <w:r>
        <w:t>лируют стандарты рекламной деятельности. В м</w:t>
      </w:r>
      <w:r>
        <w:t>и</w:t>
      </w:r>
      <w:r>
        <w:t>нистерстве культуры была создана комиссия эк</w:t>
      </w:r>
      <w:r>
        <w:t>с</w:t>
      </w:r>
      <w:r>
        <w:t>пертов для определения порнографического или проповедующего насилие или жестокость характера произведений искусства. Комиссия рассматривает жалобы, касающиеся неблаговидного изображения женщин, и делает предупреждения о том, что д</w:t>
      </w:r>
      <w:r>
        <w:t>е</w:t>
      </w:r>
      <w:r>
        <w:t>монстрация того или иного конкретного фильма может привести к применению административных мер. Реклама, изображающая женщину в качестве сексуального объекта, вызвала широкое обсуждение в обществе и требование о запрещении некоторых плакатов. Участники совещания «за круглым ст</w:t>
      </w:r>
      <w:r>
        <w:t>о</w:t>
      </w:r>
      <w:r>
        <w:t>лом» по проблеме насилия в средствах массовой информации, которое было проведено министерс</w:t>
      </w:r>
      <w:r>
        <w:t>т</w:t>
      </w:r>
      <w:r>
        <w:t>вом культуры в 2001 году, пришли к заключению о том, что, хотя правовая основа является удовлетв</w:t>
      </w:r>
      <w:r>
        <w:t>о</w:t>
      </w:r>
      <w:r>
        <w:t>рительной, многое еще предстоит сделать для обе</w:t>
      </w:r>
      <w:r>
        <w:t>с</w:t>
      </w:r>
      <w:r>
        <w:t>печения более неукоснительного соблюдения зак</w:t>
      </w:r>
      <w:r>
        <w:t>о</w:t>
      </w:r>
      <w:r>
        <w:t>на.</w:t>
      </w:r>
    </w:p>
    <w:p w:rsidR="00000000" w:rsidRDefault="00000000">
      <w:pPr>
        <w:pStyle w:val="DualTxt"/>
      </w:pPr>
      <w:r>
        <w:t>10.</w:t>
      </w:r>
      <w:r>
        <w:tab/>
        <w:t>Оценку законопроектов в плане их влияния на положение женщин осуществляет Бюро по вопр</w:t>
      </w:r>
      <w:r>
        <w:t>о</w:t>
      </w:r>
      <w:r>
        <w:t>сам равенства полов. Поскольку оказалось довольно сложным получать проверенные данные и инфо</w:t>
      </w:r>
      <w:r>
        <w:t>р</w:t>
      </w:r>
      <w:r>
        <w:t>мацию из нетрадиционных источников, была созд</w:t>
      </w:r>
      <w:r>
        <w:t>а</w:t>
      </w:r>
      <w:r>
        <w:t>на рабочая группа для оценки законопроектов и стратегий, затрагивающих женщин. В то же время министерство социальных дел получает предлож</w:t>
      </w:r>
      <w:r>
        <w:t>е</w:t>
      </w:r>
      <w:r>
        <w:t>ния от различных групп и лиц, которые касаются включения принципов равенства полов в проекты законов. Один законопроект, проект закона о семье, был отклонен после оценки его гендерных после</w:t>
      </w:r>
      <w:r>
        <w:t>д</w:t>
      </w:r>
      <w:r>
        <w:t>ствий.</w:t>
      </w:r>
    </w:p>
    <w:p w:rsidR="00000000" w:rsidRDefault="00000000">
      <w:pPr>
        <w:pStyle w:val="DualTxt"/>
      </w:pPr>
      <w:r>
        <w:t>11.</w:t>
      </w:r>
      <w:r>
        <w:tab/>
        <w:t>В статье 141 нового Уголовного кодекса с</w:t>
      </w:r>
      <w:r>
        <w:t>о</w:t>
      </w:r>
      <w:r>
        <w:t>держится определение изнасилования, которое та</w:t>
      </w:r>
      <w:r>
        <w:t>к</w:t>
      </w:r>
      <w:r>
        <w:t>же распространяется и на изнасилование супругом. Если пострадавшему лицу меньше 18 лет, если пр</w:t>
      </w:r>
      <w:r>
        <w:t>е</w:t>
      </w:r>
      <w:r>
        <w:t>ступление было совершено двумя или более лицами или если это привело к гибели жертвы, такое пр</w:t>
      </w:r>
      <w:r>
        <w:t>а</w:t>
      </w:r>
      <w:r>
        <w:t>вонарушение считается изнасилованием с отягча</w:t>
      </w:r>
      <w:r>
        <w:t>ю</w:t>
      </w:r>
      <w:r>
        <w:t>щими обстоятельствами. Половой акт с любым л</w:t>
      </w:r>
      <w:r>
        <w:t>и</w:t>
      </w:r>
      <w:r>
        <w:t>цом, не достигшим 14</w:t>
      </w:r>
      <w:r>
        <w:noBreakHyphen/>
        <w:t>летнего возраста, является уголовным преступлением в соответствии со стат</w:t>
      </w:r>
      <w:r>
        <w:t>ь</w:t>
      </w:r>
      <w:r>
        <w:t>ей 145 Кодекса, так же, как и половой акт с лицом, наход</w:t>
      </w:r>
      <w:r>
        <w:t>я</w:t>
      </w:r>
      <w:r>
        <w:t>щимся в состоянии зависимости.</w:t>
      </w:r>
    </w:p>
    <w:p w:rsidR="00000000" w:rsidRDefault="00000000">
      <w:pPr>
        <w:pStyle w:val="DualTxt"/>
      </w:pPr>
      <w:r>
        <w:t>12.</w:t>
      </w:r>
      <w:r>
        <w:tab/>
        <w:t>Хотя ее делегация понимает озабоченность, выраженную Комитетом в отношении недостатка у эстонских юристов стремления и знаний для реш</w:t>
      </w:r>
      <w:r>
        <w:t>е</w:t>
      </w:r>
      <w:r>
        <w:t>ния гендерных вопросов, она не разделяет эти оп</w:t>
      </w:r>
      <w:r>
        <w:t>а</w:t>
      </w:r>
      <w:r>
        <w:t>сения, поскольку права человека, включая права женщин, образуют составную часть учебной пр</w:t>
      </w:r>
      <w:r>
        <w:t>о</w:t>
      </w:r>
      <w:r>
        <w:t>граммы всех юридических факультетов. Эстонский правовой центр несет ответственность за организ</w:t>
      </w:r>
      <w:r>
        <w:t>а</w:t>
      </w:r>
      <w:r>
        <w:t>цию для юристов дальнейшего обучения по вопр</w:t>
      </w:r>
      <w:r>
        <w:t>о</w:t>
      </w:r>
      <w:r>
        <w:t>сам равенства полов. Все юристы, работающие в министерстве социальных дел, проходят обучение по проблематике равенства полов либо в Эстонии, либо за границей.</w:t>
      </w:r>
    </w:p>
    <w:p w:rsidR="00000000" w:rsidRDefault="00000000">
      <w:pPr>
        <w:pStyle w:val="DualTxt"/>
      </w:pPr>
      <w:r>
        <w:t>13.</w:t>
      </w:r>
      <w:r>
        <w:tab/>
        <w:t>Осуществляется подготовка нового законопр</w:t>
      </w:r>
      <w:r>
        <w:t>о</w:t>
      </w:r>
      <w:r>
        <w:t>екта о семье, и широкая общественность и НПО а</w:t>
      </w:r>
      <w:r>
        <w:t>к</w:t>
      </w:r>
      <w:r>
        <w:t>тивно участвуют в этом процессе, итогом которого должно стать принятие в 2002 году указанного з</w:t>
      </w:r>
      <w:r>
        <w:t>а</w:t>
      </w:r>
      <w:r>
        <w:t>кона. Новый закон основывается на главных при</w:t>
      </w:r>
      <w:r>
        <w:t>н</w:t>
      </w:r>
      <w:r>
        <w:t>ципах Конве</w:t>
      </w:r>
      <w:r>
        <w:t>н</w:t>
      </w:r>
      <w:r>
        <w:t>ции.</w:t>
      </w:r>
    </w:p>
    <w:p w:rsidR="00000000" w:rsidRDefault="00000000">
      <w:pPr>
        <w:pStyle w:val="DualTxt"/>
      </w:pPr>
      <w:r>
        <w:t>14.</w:t>
      </w:r>
      <w:r>
        <w:tab/>
        <w:t>Отвечая на вопрос, касающийся продолж</w:t>
      </w:r>
      <w:r>
        <w:t>и</w:t>
      </w:r>
      <w:r>
        <w:t>тельности жизни и пенсий, она говорит, что в Эст</w:t>
      </w:r>
      <w:r>
        <w:t>о</w:t>
      </w:r>
      <w:r>
        <w:t>нии предполагаемая продолжительность жизни мужчин достигла 65,1 года, а женщин — 73,8 года. Основу социального страхования Эстонии образует система индивидуальных пенсий. Размер пенсии человека зависит от его или ее подоходных взносов по плану социального страхования. Пенсии вдовам выплачиваются исходя из того, что женщины зав</w:t>
      </w:r>
      <w:r>
        <w:t>и</w:t>
      </w:r>
      <w:r>
        <w:t>сят от мужчин, ибо, как правило, они зарабатывают меньше. Политика эстонского правительства закл</w:t>
      </w:r>
      <w:r>
        <w:t>ю</w:t>
      </w:r>
      <w:r>
        <w:t>чается в том, чтобы повышать размер оплаты труда женщин и тем самым увеличивать их пенсии. Вм</w:t>
      </w:r>
      <w:r>
        <w:t>е</w:t>
      </w:r>
      <w:r>
        <w:t>сто пенсии вдовам в законе о социальном налогоо</w:t>
      </w:r>
      <w:r>
        <w:t>б</w:t>
      </w:r>
      <w:r>
        <w:t>ложении предусмотрены пенсии для переживших членов семьи, что подразумевает и супруга и детей.</w:t>
      </w:r>
    </w:p>
    <w:p w:rsidR="00000000" w:rsidRDefault="00000000">
      <w:pPr>
        <w:pStyle w:val="DualTxt"/>
      </w:pPr>
      <w:r>
        <w:t>15.</w:t>
      </w:r>
      <w:r>
        <w:tab/>
        <w:t>Она признает, что уровень разводов в Эстонии действительно является высоким. Развод предо</w:t>
      </w:r>
      <w:r>
        <w:t>с</w:t>
      </w:r>
      <w:r>
        <w:t>тавляется отделом основной статистической и</w:t>
      </w:r>
      <w:r>
        <w:t>н</w:t>
      </w:r>
      <w:r>
        <w:t>формации или судом и предполагает относительно несложную процедуру, если супруги могут придти в этом отношении к согласию. Развод предоставляе</w:t>
      </w:r>
      <w:r>
        <w:t>т</w:t>
      </w:r>
      <w:r>
        <w:t>ся не меньше, чем через месяц, и не больше, чем через три месяца после личной подачи совместного письменного заявления супругов или нотариально заверенного заявления. Если устанавливается, что местоположение одного из супругов неизвестно или он является неправоспособным, развод предоста</w:t>
      </w:r>
      <w:r>
        <w:t>в</w:t>
      </w:r>
      <w:r>
        <w:t>ляется на основании заявления другого супруга. По просьбе супругов споры по поводу опеки над р</w:t>
      </w:r>
      <w:r>
        <w:t>е</w:t>
      </w:r>
      <w:r>
        <w:t>бенком, выплаты алиментов или раздела совместн</w:t>
      </w:r>
      <w:r>
        <w:t>о</w:t>
      </w:r>
      <w:r>
        <w:t>го имущества решаются судом или опекунской о</w:t>
      </w:r>
      <w:r>
        <w:t>р</w:t>
      </w:r>
      <w:r>
        <w:t>ганизацией, уделяющими первоочередное внимание благополучию ребенка и учитывающими пожелания детей в возрасте 10 лет и старше или достаточно ответственных детей и более младшего возраста. В соответствии с Законом о семье имущество, прио</w:t>
      </w:r>
      <w:r>
        <w:t>б</w:t>
      </w:r>
      <w:r>
        <w:t>ретенное супругами в период брака, считается с</w:t>
      </w:r>
      <w:r>
        <w:t>о</w:t>
      </w:r>
      <w:r>
        <w:t>вместным имуществом. Оно может быть объявлено раздельным имуществом, если его ценность знач</w:t>
      </w:r>
      <w:r>
        <w:t>и</w:t>
      </w:r>
      <w:r>
        <w:t>тельно увеличилась в период брака в результате труда или расходов одного из супругов. Раздельное имущество определяется как имущество, которым владел супруг до вступления в брак, получил в п</w:t>
      </w:r>
      <w:r>
        <w:t>е</w:t>
      </w:r>
      <w:r>
        <w:t>риод нахождения в браке в подарок или в порядке наследования или приобрел по прекращении бра</w:t>
      </w:r>
      <w:r>
        <w:t>ч</w:t>
      </w:r>
      <w:r>
        <w:t>ных отношений. Каждый супруг имеет равное право на владение, использование и реализацию совмес</w:t>
      </w:r>
      <w:r>
        <w:t>т</w:t>
      </w:r>
      <w:r>
        <w:t>ного имущества после развода; если супруги не м</w:t>
      </w:r>
      <w:r>
        <w:t>о</w:t>
      </w:r>
      <w:r>
        <w:t>гут прийти к согласию в этом отношении, по их просьбе решение принимает суд. Совместное им</w:t>
      </w:r>
      <w:r>
        <w:t>у</w:t>
      </w:r>
      <w:r>
        <w:t>щество может разделяться в период брачных отн</w:t>
      </w:r>
      <w:r>
        <w:t>о</w:t>
      </w:r>
      <w:r>
        <w:t>шений, при разводе или после развода по согласию супругов. Соглашение о разделении недвижимости должно быть нотариально заверено. Совместное имущество в принципе разделяется поровну между супругами, хотя в силу некоторых причин суд м</w:t>
      </w:r>
      <w:r>
        <w:t>о</w:t>
      </w:r>
      <w:r>
        <w:t>жет отойти от этого правила, когда, например, это отвечает интересам ребенка или когда в противном случае интересы одного из супругов будут в знач</w:t>
      </w:r>
      <w:r>
        <w:t>и</w:t>
      </w:r>
      <w:r>
        <w:t>тельной мере ущемлены.</w:t>
      </w:r>
    </w:p>
    <w:p w:rsidR="00000000" w:rsidRDefault="00000000">
      <w:pPr>
        <w:pStyle w:val="DualTxt"/>
      </w:pPr>
      <w:r>
        <w:t>16.</w:t>
      </w:r>
      <w:r>
        <w:tab/>
        <w:t>Насколько ей известно, Верховный суд пока не применял Конвенцию, однако его административная палата и палата по пересмотру конституции уже упоминали общие принципы недискриминации и равного отношения. Особое внимание уделяется обеспечению того, чтобы судьи и прокуроры вним</w:t>
      </w:r>
      <w:r>
        <w:t>а</w:t>
      </w:r>
      <w:r>
        <w:t>тельно следили за изменениями в законе, и Эсто</w:t>
      </w:r>
      <w:r>
        <w:t>н</w:t>
      </w:r>
      <w:r>
        <w:t>ская ассоциация адвокатов прилагает все усилия для предоставления адвокатам возможности для д</w:t>
      </w:r>
      <w:r>
        <w:t>о</w:t>
      </w:r>
      <w:r>
        <w:t>полн</w:t>
      </w:r>
      <w:r>
        <w:t>и</w:t>
      </w:r>
      <w:r>
        <w:t>тельной подготовки.</w:t>
      </w:r>
    </w:p>
    <w:p w:rsidR="00000000" w:rsidRDefault="00000000">
      <w:pPr>
        <w:pStyle w:val="DualTxt"/>
      </w:pPr>
      <w:r>
        <w:t>17.</w:t>
      </w:r>
      <w:r>
        <w:tab/>
        <w:t>Роль Юрисконсульта была преобразована в функции омбудсмена, защищающего индивидуал</w:t>
      </w:r>
      <w:r>
        <w:t>ь</w:t>
      </w:r>
      <w:r>
        <w:t>ные права и свободы. В соответствии с новым зак</w:t>
      </w:r>
      <w:r>
        <w:t>о</w:t>
      </w:r>
      <w:r>
        <w:t>ном Юрисконсульт получает контроль над прав</w:t>
      </w:r>
      <w:r>
        <w:t>и</w:t>
      </w:r>
      <w:r>
        <w:t>тельственными органами, и предусмотрены проц</w:t>
      </w:r>
      <w:r>
        <w:t>е</w:t>
      </w:r>
      <w:r>
        <w:t>дуры рассмотрения жалоб, касающихся констит</w:t>
      </w:r>
      <w:r>
        <w:t>у</w:t>
      </w:r>
      <w:r>
        <w:t>ционных прав и свобод. Хотя Юрисконсульт пока не получал конкретных жалоб на дискриминацию по признаку пола, это положение вполне может изм</w:t>
      </w:r>
      <w:r>
        <w:t>е</w:t>
      </w:r>
      <w:r>
        <w:t>ниться с учетом дополнительного внимания, уд</w:t>
      </w:r>
      <w:r>
        <w:t>е</w:t>
      </w:r>
      <w:r>
        <w:t>ляемого борьбе с дискриминацией по признаку п</w:t>
      </w:r>
      <w:r>
        <w:t>о</w:t>
      </w:r>
      <w:r>
        <w:t>ла.</w:t>
      </w:r>
    </w:p>
    <w:p w:rsidR="00000000" w:rsidRDefault="00000000">
      <w:pPr>
        <w:pStyle w:val="DualTxt"/>
      </w:pPr>
      <w:r>
        <w:t>18.</w:t>
      </w:r>
      <w:r>
        <w:tab/>
        <w:t>Отвечая на вопросы по статье 3 в отношении национального механизма, она говорит, что в 1996 году в министерстве социальных дел было создано Бюро по вопросам гендерного равенства, на которое в 2000 году была возложена ответстве</w:t>
      </w:r>
      <w:r>
        <w:t>н</w:t>
      </w:r>
      <w:r>
        <w:t>ность за решение вопросов равенства полов. Бюро по вопросам гендерного равенства координирует деятельность в гендерной области других департ</w:t>
      </w:r>
      <w:r>
        <w:t>а</w:t>
      </w:r>
      <w:r>
        <w:t>ментов министерства социальных дел, а также др</w:t>
      </w:r>
      <w:r>
        <w:t>у</w:t>
      </w:r>
      <w:r>
        <w:t>гих министерств в целях осуществления различных программ и проектов правительства. В качестве к</w:t>
      </w:r>
      <w:r>
        <w:t>о</w:t>
      </w:r>
      <w:r>
        <w:t>ординационного центра по вопросам гендерного р</w:t>
      </w:r>
      <w:r>
        <w:t>а</w:t>
      </w:r>
      <w:r>
        <w:t>венства оно выступает как консультативный орган для законодателей, политических деятелей, иссл</w:t>
      </w:r>
      <w:r>
        <w:t>е</w:t>
      </w:r>
      <w:r>
        <w:t>дователей и неправительственных организаций и отвечает за повышение осведомленности по ге</w:t>
      </w:r>
      <w:r>
        <w:t>н</w:t>
      </w:r>
      <w:r>
        <w:t>дерным вопросам широкой общественности. В него входят два постоянных сотрудника и два или три временных руководителя проектов, которые прох</w:t>
      </w:r>
      <w:r>
        <w:t>о</w:t>
      </w:r>
      <w:r>
        <w:t>дят обучение по гендерным вопросам, один соци</w:t>
      </w:r>
      <w:r>
        <w:t>о</w:t>
      </w:r>
      <w:r>
        <w:t>лог из Департамента европейской интеграции и гражданские служащие из других департаментов, занимающиеся конкретными вопросами равенства полов. Бюро проводит свою деятельность в сотру</w:t>
      </w:r>
      <w:r>
        <w:t>д</w:t>
      </w:r>
      <w:r>
        <w:t>ничестве с рядом центров, почти со всеми орган</w:t>
      </w:r>
      <w:r>
        <w:t>и</w:t>
      </w:r>
      <w:r>
        <w:t>зациями и лицами, занимающимися вопросами р</w:t>
      </w:r>
      <w:r>
        <w:t>а</w:t>
      </w:r>
      <w:r>
        <w:t>венства полов. Его бюджет входит в общий бюджет министерства социальных дел. Оно также пользуе</w:t>
      </w:r>
      <w:r>
        <w:t>т</w:t>
      </w:r>
      <w:r>
        <w:t>ся поддержкой со стороны различных учреждений Организации Объединенных Наций, посольств и европейских орг</w:t>
      </w:r>
      <w:r>
        <w:t>а</w:t>
      </w:r>
      <w:r>
        <w:t>нов.</w:t>
      </w:r>
    </w:p>
    <w:p w:rsidR="00000000" w:rsidRDefault="00000000">
      <w:pPr>
        <w:pStyle w:val="DualTxt"/>
      </w:pPr>
      <w:r>
        <w:t>19.</w:t>
      </w:r>
      <w:r>
        <w:tab/>
        <w:t>В соответствии с Законом о равенстве полов должны быть созданы комиссия по равенству полов и совет по равенству полов. Она перечисляет ра</w:t>
      </w:r>
      <w:r>
        <w:t>з</w:t>
      </w:r>
      <w:r>
        <w:t>личные функции этой комиссии, отмечая, что л</w:t>
      </w:r>
      <w:r>
        <w:t>ю</w:t>
      </w:r>
      <w:r>
        <w:t>бой человек имеет право подать в нее жалобу на дискриминацию и что работодатель, нарушающий положения Закона о равенстве полов, обязан выпл</w:t>
      </w:r>
      <w:r>
        <w:t>а</w:t>
      </w:r>
      <w:r>
        <w:t>чивать компенсацию за финансовый и моральный ущерб в размере не менее пяти минимальных м</w:t>
      </w:r>
      <w:r>
        <w:t>е</w:t>
      </w:r>
      <w:r>
        <w:t>сячных окладов.</w:t>
      </w:r>
    </w:p>
    <w:p w:rsidR="00000000" w:rsidRDefault="00000000">
      <w:pPr>
        <w:pStyle w:val="DualTxt"/>
      </w:pPr>
      <w:r>
        <w:t>20.</w:t>
      </w:r>
      <w:r>
        <w:tab/>
        <w:t>Обеспечение широкого учета гендерной пр</w:t>
      </w:r>
      <w:r>
        <w:t>о</w:t>
      </w:r>
      <w:r>
        <w:t>блематики осуществляется различными рабочими группами, которым поручено, в частности, разраб</w:t>
      </w:r>
      <w:r>
        <w:t>а</w:t>
      </w:r>
      <w:r>
        <w:t>тывать показатели, определения и методологии для оценки изменений; анализировать законодательство и действия полиции и местных органов власти, и</w:t>
      </w:r>
      <w:r>
        <w:t>с</w:t>
      </w:r>
      <w:r>
        <w:t>коренять насилие в отношении женщин; готовить материалы для гражданских служащих по обесп</w:t>
      </w:r>
      <w:r>
        <w:t>е</w:t>
      </w:r>
      <w:r>
        <w:t>чению широкого учета гендерной проблематики; и проводить расследование случаев сексуальных пр</w:t>
      </w:r>
      <w:r>
        <w:t>и</w:t>
      </w:r>
      <w:r>
        <w:t>теснений на работе (производится анализ данных исследований, проведенных в декабре 2001 года в двух эстонских компаниях). Поскольку в настоящее время в Эстонии нет научно-исследовательского и</w:t>
      </w:r>
      <w:r>
        <w:t>н</w:t>
      </w:r>
      <w:r>
        <w:t>ститута по изучению женской проблематики, иссл</w:t>
      </w:r>
      <w:r>
        <w:t>е</w:t>
      </w:r>
      <w:r>
        <w:t>довательским учреждениям предоставляются о</w:t>
      </w:r>
      <w:r>
        <w:t>т</w:t>
      </w:r>
      <w:r>
        <w:t>дельные субсидии Эстонского научного фонда для проведения их работы в университетах. С 1999 года тема равенства полов образует один из компонентов ежегодного плана действий правительства. План действий 2002 года включает в себя такие генде</w:t>
      </w:r>
      <w:r>
        <w:t>р</w:t>
      </w:r>
      <w:r>
        <w:t>ные вопросы, как обеспечение равной оплаты за равноценный труд; обеспечение сочетаемости с</w:t>
      </w:r>
      <w:r>
        <w:t>е</w:t>
      </w:r>
      <w:r>
        <w:t>мейной и производственной жизни; поддержку предпринимательской деятельности женщин; и ра</w:t>
      </w:r>
      <w:r>
        <w:t>с</w:t>
      </w:r>
      <w:r>
        <w:t>пространение информации. Для обобщения де</w:t>
      </w:r>
      <w:r>
        <w:t>я</w:t>
      </w:r>
      <w:r>
        <w:t>тельности различных правительственных органов будет проведено комплексное исследование. В н</w:t>
      </w:r>
      <w:r>
        <w:t>а</w:t>
      </w:r>
      <w:r>
        <w:t>стоящее время Бюро гендерного равенства иници</w:t>
      </w:r>
      <w:r>
        <w:t>и</w:t>
      </w:r>
      <w:r>
        <w:t>рует и поддерживает целенаправленную деятел</w:t>
      </w:r>
      <w:r>
        <w:t>ь</w:t>
      </w:r>
      <w:r>
        <w:t>ность по искоренению гендерного неравенства. Другие меры включают в себя обучение гражда</w:t>
      </w:r>
      <w:r>
        <w:t>н</w:t>
      </w:r>
      <w:r>
        <w:t>ских служащих и энергичную информационную кампанию, в том числе публикацию в течение пяти лет восьми книг, посвященных положению мужчин и женщин в Эстонии, и организацию четырех ко</w:t>
      </w:r>
      <w:r>
        <w:t>н</w:t>
      </w:r>
      <w:r>
        <w:t>ференций и многочисленных семинаров и учебных сессий.</w:t>
      </w:r>
    </w:p>
    <w:p w:rsidR="00000000" w:rsidRDefault="00000000">
      <w:pPr>
        <w:pStyle w:val="DualTxt"/>
      </w:pPr>
      <w:r>
        <w:t>21.</w:t>
      </w:r>
      <w:r>
        <w:tab/>
        <w:t>По данным обследования, две трети от общего числа эстонских мужчин и женщин (по сравнению с 10 процентами в 1993 году) признают существов</w:t>
      </w:r>
      <w:r>
        <w:t>а</w:t>
      </w:r>
      <w:r>
        <w:t>ние дискриминации на рынке рабочей силы. Неда</w:t>
      </w:r>
      <w:r>
        <w:t>в</w:t>
      </w:r>
      <w:r>
        <w:t>но было проведено первое национальное обслед</w:t>
      </w:r>
      <w:r>
        <w:t>о</w:t>
      </w:r>
      <w:r>
        <w:t>вание по проблеме насилия в отношении женщин, и министерством социальных дел разрабатывается специальная стратегия по этой теме. Было устано</w:t>
      </w:r>
      <w:r>
        <w:t>в</w:t>
      </w:r>
      <w:r>
        <w:t>лено, что 21 процент женщин и 16 процентов му</w:t>
      </w:r>
      <w:r>
        <w:t>ж</w:t>
      </w:r>
      <w:r>
        <w:t>чин испытывали на себе проблему психологическ</w:t>
      </w:r>
      <w:r>
        <w:t>о</w:t>
      </w:r>
      <w:r>
        <w:t>го, сексуального или физического н</w:t>
      </w:r>
      <w:r>
        <w:t>а</w:t>
      </w:r>
      <w:r>
        <w:t>силия.</w:t>
      </w:r>
    </w:p>
    <w:p w:rsidR="00000000" w:rsidRDefault="00000000">
      <w:pPr>
        <w:pStyle w:val="DualTxt"/>
      </w:pPr>
      <w:r>
        <w:t>22.</w:t>
      </w:r>
      <w:r>
        <w:tab/>
        <w:t>Поскольку концепция неравенства в его тр</w:t>
      </w:r>
      <w:r>
        <w:t>а</w:t>
      </w:r>
      <w:r>
        <w:t>диционном смысле до получения независимости не признавалась, эстонское общество медленно пр</w:t>
      </w:r>
      <w:r>
        <w:t>и</w:t>
      </w:r>
      <w:r>
        <w:t>знает идею равенства полов и порой непопулярные меры, такие, как квоты, необходимые для его обе</w:t>
      </w:r>
      <w:r>
        <w:t>с</w:t>
      </w:r>
      <w:r>
        <w:t>печения. В то же время в проекте закона о генде</w:t>
      </w:r>
      <w:r>
        <w:t>р</w:t>
      </w:r>
      <w:r>
        <w:t>ном равенстве содержится статья, отвечающая п</w:t>
      </w:r>
      <w:r>
        <w:t>о</w:t>
      </w:r>
      <w:r>
        <w:t>ложениям пункта 1 статьи 4 Конвенции в отнош</w:t>
      </w:r>
      <w:r>
        <w:t>е</w:t>
      </w:r>
      <w:r>
        <w:t>нии временных специальных мер.</w:t>
      </w:r>
    </w:p>
    <w:p w:rsidR="00000000" w:rsidRDefault="00000000">
      <w:pPr>
        <w:pStyle w:val="DualTxt"/>
      </w:pPr>
      <w:r>
        <w:t>23.</w:t>
      </w:r>
      <w:r>
        <w:tab/>
        <w:t>Производится пересмотр учебников по вопр</w:t>
      </w:r>
      <w:r>
        <w:t>о</w:t>
      </w:r>
      <w:r>
        <w:t>сам семейной жизни для средней школы, с тем чт</w:t>
      </w:r>
      <w:r>
        <w:t>о</w:t>
      </w:r>
      <w:r>
        <w:t>бы исправлять в них стереотипы, а самые основные идеи семейной жизни и роли мужчин и женщин преподаются начиная с детских садов. В стране имеется два центра по исследованию гендерных в</w:t>
      </w:r>
      <w:r>
        <w:t>о</w:t>
      </w:r>
      <w:r>
        <w:t>просов — Группа по гендерным исследованиям в Тартуском университете и Центр по изучению же</w:t>
      </w:r>
      <w:r>
        <w:t>н</w:t>
      </w:r>
      <w:r>
        <w:t>ских вопросов в Таллинском педагогическом ун</w:t>
      </w:r>
      <w:r>
        <w:t>и</w:t>
      </w:r>
      <w:r>
        <w:t>верситете. В Тартуском университете предлагаются различные темы по программе гендерных исслед</w:t>
      </w:r>
      <w:r>
        <w:t>о</w:t>
      </w:r>
      <w:r>
        <w:t>ваний, включая социологию гендерной проблемат</w:t>
      </w:r>
      <w:r>
        <w:t>и</w:t>
      </w:r>
      <w:r>
        <w:t>ки, гендерные аспекты социологии, взаимоотнош</w:t>
      </w:r>
      <w:r>
        <w:t>е</w:t>
      </w:r>
      <w:r>
        <w:t>ния гендерных вопросов и экономики и классику феминистского движения (включая критические а</w:t>
      </w:r>
      <w:r>
        <w:t>с</w:t>
      </w:r>
      <w:r>
        <w:t>пекты отражения феминизма в литературе, преп</w:t>
      </w:r>
      <w:r>
        <w:t>о</w:t>
      </w:r>
      <w:r>
        <w:t>даваемые лекторами философского университета). В Таллинском педагогическом университете пре</w:t>
      </w:r>
      <w:r>
        <w:t>д</w:t>
      </w:r>
      <w:r>
        <w:t>лагается вводный курс по исследованию женских вопросов. В последнее десятилетие исследования по вопросам семьи и положения женщин также проводились в Институте международных и соц</w:t>
      </w:r>
      <w:r>
        <w:t>и</w:t>
      </w:r>
      <w:r>
        <w:t>альных и</w:t>
      </w:r>
      <w:r>
        <w:t>с</w:t>
      </w:r>
      <w:r>
        <w:t>следований.</w:t>
      </w:r>
    </w:p>
    <w:p w:rsidR="00000000" w:rsidRDefault="00000000">
      <w:pPr>
        <w:pStyle w:val="DualTxt"/>
      </w:pPr>
      <w:r>
        <w:t>24.</w:t>
      </w:r>
      <w:r>
        <w:tab/>
        <w:t>В эстонских университетах нет факультетов по изучению вопросов женской проблематики, однако можно получить академическую степень в генде</w:t>
      </w:r>
      <w:r>
        <w:t>р</w:t>
      </w:r>
      <w:r>
        <w:t>ной области на разли</w:t>
      </w:r>
      <w:r>
        <w:t>ч</w:t>
      </w:r>
      <w:r>
        <w:t>ных факультетах.</w:t>
      </w:r>
    </w:p>
    <w:p w:rsidR="00000000" w:rsidRDefault="00000000">
      <w:pPr>
        <w:pStyle w:val="DualTxt"/>
      </w:pPr>
      <w:r>
        <w:t>25.</w:t>
      </w:r>
      <w:r>
        <w:tab/>
        <w:t>Министерство просвещения несет ответстве</w:t>
      </w:r>
      <w:r>
        <w:t>н</w:t>
      </w:r>
      <w:r>
        <w:t>ность за осуществление политики в отношении м</w:t>
      </w:r>
      <w:r>
        <w:t>о</w:t>
      </w:r>
      <w:r>
        <w:t>лодежи и за разработку законов в этой области. Число мальчиков и девочек в Эстонской ассоциации школьных советов пропорционально сбалансиров</w:t>
      </w:r>
      <w:r>
        <w:t>а</w:t>
      </w:r>
      <w:r>
        <w:t>но. В целом девочки проявляют большую акти</w:t>
      </w:r>
      <w:r>
        <w:t>в</w:t>
      </w:r>
      <w:r>
        <w:t>ность в школьном самоуправлении, чем мальчики, и существует мнение, что следует поощрять актив</w:t>
      </w:r>
      <w:r>
        <w:t>и</w:t>
      </w:r>
      <w:r>
        <w:t>зацию участия мальчиков в деятельности советов, в то же время можно отметить, что вопрос политич</w:t>
      </w:r>
      <w:r>
        <w:t>е</w:t>
      </w:r>
      <w:r>
        <w:t>ской деятельности более не находится под влиянием гендерных стереотипов.</w:t>
      </w:r>
    </w:p>
    <w:p w:rsidR="00000000" w:rsidRDefault="00000000">
      <w:pPr>
        <w:pStyle w:val="DualTxt"/>
      </w:pPr>
      <w:r>
        <w:t>26.</w:t>
      </w:r>
      <w:r>
        <w:tab/>
        <w:t>Касаясь мер по защите жертв торговли люд</w:t>
      </w:r>
      <w:r>
        <w:t>ь</w:t>
      </w:r>
      <w:r>
        <w:t>ми, она говорит, что в 1999 и 2000 годах Эстония принимала участие в осуществлении региональных проектов, однако в этой стране еще не созданы сп</w:t>
      </w:r>
      <w:r>
        <w:t>е</w:t>
      </w:r>
      <w:r>
        <w:t>циальные подразделения по борьбе с торговлей людьми. По оценкам, в стране насчитывается н</w:t>
      </w:r>
      <w:r>
        <w:t>е</w:t>
      </w:r>
      <w:r>
        <w:t>сколько десятков жертв-женщин, однако уголовное преследование за торговлю людьми было начато лишь в отношении нескольких человек. Можно н</w:t>
      </w:r>
      <w:r>
        <w:t>а</w:t>
      </w:r>
      <w:r>
        <w:t>деяться, что информационные кампании, семинары и проекты, осуществляемые совместно со странами Северной Европы и странами Балтии, помогут р</w:t>
      </w:r>
      <w:r>
        <w:t>е</w:t>
      </w:r>
      <w:r>
        <w:t>шить эту проблему, а также более широкую пр</w:t>
      </w:r>
      <w:r>
        <w:t>о</w:t>
      </w:r>
      <w:r>
        <w:t>блему организованной преступности; повышенное внимание будет уделяться задаче защиты свидет</w:t>
      </w:r>
      <w:r>
        <w:t>е</w:t>
      </w:r>
      <w:r>
        <w:t>лей.</w:t>
      </w:r>
    </w:p>
    <w:p w:rsidR="00000000" w:rsidRDefault="00000000">
      <w:pPr>
        <w:pStyle w:val="DualTxt"/>
      </w:pPr>
      <w:r>
        <w:t>27.</w:t>
      </w:r>
      <w:r>
        <w:tab/>
        <w:t>Что касается участия женщин в политической деятельности, то результаты проводившегося в 1999 году исследования показали, что наибольший интерес к политической деятельности проявляют высокообразованные женщины старше 25 лет. В п</w:t>
      </w:r>
      <w:r>
        <w:t>о</w:t>
      </w:r>
      <w:r>
        <w:t>следние годы произошло значительное изменение в позициях, благодаря чему в настоящее время две трети населения готовы голосовать за женщин, по сравнению с одной третей, которая была готова к этому ранее. В рамках усилий по дальнейшему расширению участия женщин разрабатываются специальные программы по подготовке молодых женщин к политической жизни на местном и н</w:t>
      </w:r>
      <w:r>
        <w:t>а</w:t>
      </w:r>
      <w:r>
        <w:t>циональном уровнях. Во время выборов в местные советы 1999 года 35,6 процента от общего числа кандидатов составляли женщины, и по их итогам было избрано 952 женщины; в настоящее время женщины составляют 28,38 процента от общего числа членов таких советов. Женщины возглавляют 5 городских советов и 25 местных муниципалит</w:t>
      </w:r>
      <w:r>
        <w:t>е</w:t>
      </w:r>
      <w:r>
        <w:t>тов; кроме того, имеется 21 женщина-мэр. По</w:t>
      </w:r>
      <w:r>
        <w:t>д</w:t>
      </w:r>
      <w:r>
        <w:t>держка кандидатов из числа женщин зависит в о</w:t>
      </w:r>
      <w:r>
        <w:t>с</w:t>
      </w:r>
      <w:r>
        <w:t>новном от их ранга в избирательных списках пол</w:t>
      </w:r>
      <w:r>
        <w:t>и</w:t>
      </w:r>
      <w:r>
        <w:t>тических партий. На выборах 1999 года некоторые партии приняли внутренние правила, призванные обеспечить, чтобы по крайней мере три из каждых д</w:t>
      </w:r>
      <w:r>
        <w:t>е</w:t>
      </w:r>
      <w:r>
        <w:t>сяти кандидатов были женщины.</w:t>
      </w:r>
    </w:p>
    <w:p w:rsidR="00000000" w:rsidRDefault="00000000">
      <w:pPr>
        <w:pStyle w:val="DualTxt"/>
      </w:pPr>
      <w:r>
        <w:t>28.</w:t>
      </w:r>
      <w:r>
        <w:tab/>
        <w:t>Женские организации на неофициальной о</w:t>
      </w:r>
      <w:r>
        <w:t>с</w:t>
      </w:r>
      <w:r>
        <w:t>нове участвуют в разработке законов с тех пор, как проекты законов стали предоставляться для пу</w:t>
      </w:r>
      <w:r>
        <w:t>б</w:t>
      </w:r>
      <w:r>
        <w:t>личного ознакомления в Интернете. Предложения и мнения, имеющие значительную поддержку шир</w:t>
      </w:r>
      <w:r>
        <w:t>о</w:t>
      </w:r>
      <w:r>
        <w:t>ких кругов общественности, принимаются соотве</w:t>
      </w:r>
      <w:r>
        <w:t>т</w:t>
      </w:r>
      <w:r>
        <w:t>ствующими министерствами для дальнейшего о</w:t>
      </w:r>
      <w:r>
        <w:t>б</w:t>
      </w:r>
      <w:r>
        <w:t>суждения. В процессе ратификации пересмотре</w:t>
      </w:r>
      <w:r>
        <w:t>н</w:t>
      </w:r>
      <w:r>
        <w:t>ной Европейской социальной хартии женские орг</w:t>
      </w:r>
      <w:r>
        <w:t>а</w:t>
      </w:r>
      <w:r>
        <w:t>низации играли ключевую роль в принятии некот</w:t>
      </w:r>
      <w:r>
        <w:t>о</w:t>
      </w:r>
      <w:r>
        <w:t>рых статей, касающихся равноправия в положении мужчин и женщин. В 2001 году эстонское прав</w:t>
      </w:r>
      <w:r>
        <w:t>и</w:t>
      </w:r>
      <w:r>
        <w:t>тельство начало выделять специальные средства для женских организаций; субсидии также предо</w:t>
      </w:r>
      <w:r>
        <w:t>с</w:t>
      </w:r>
      <w:r>
        <w:t>тавляются неправительственным организациям ч</w:t>
      </w:r>
      <w:r>
        <w:t>е</w:t>
      </w:r>
      <w:r>
        <w:t>рез различные национальные и международные и</w:t>
      </w:r>
      <w:r>
        <w:t>с</w:t>
      </w:r>
      <w:r>
        <w:t>точники. Кроме того, с правительством был закл</w:t>
      </w:r>
      <w:r>
        <w:t>ю</w:t>
      </w:r>
      <w:r>
        <w:t>чен Меморандум о сотрудничестве, призванный а</w:t>
      </w:r>
      <w:r>
        <w:t>к</w:t>
      </w:r>
      <w:r>
        <w:t>тивизировать развитие гражданского общества.</w:t>
      </w:r>
    </w:p>
    <w:p w:rsidR="00000000" w:rsidRDefault="00000000">
      <w:pPr>
        <w:pStyle w:val="DualTxt"/>
      </w:pPr>
      <w:r>
        <w:t>29.</w:t>
      </w:r>
      <w:r>
        <w:tab/>
        <w:t>Одна из целей третьей Конференции женщин Балтийского моря, которая должна состояться в 2003 году, заключается в повышении уровня осв</w:t>
      </w:r>
      <w:r>
        <w:t>е</w:t>
      </w:r>
      <w:r>
        <w:t>домленности по гендерным вопросам, включая Конвенцию.</w:t>
      </w:r>
    </w:p>
    <w:p w:rsidR="00000000" w:rsidRDefault="00000000">
      <w:pPr>
        <w:pStyle w:val="DualTxt"/>
      </w:pPr>
      <w:r>
        <w:t>30.</w:t>
      </w:r>
      <w:r>
        <w:tab/>
        <w:t>В ответ на вопросы, заданные по статье 9, она говорит, что в законе о гражданстве предусмотрено, в частности, как может быть получено эстонское гражданство (в силу рождения или натурализации), а также условия, которые должны выполнить ин</w:t>
      </w:r>
      <w:r>
        <w:t>о</w:t>
      </w:r>
      <w:r>
        <w:t>странцы, желающие получить гражданство. Проц</w:t>
      </w:r>
      <w:r>
        <w:t>е</w:t>
      </w:r>
      <w:r>
        <w:t>дура получения гражданства для несовершенноле</w:t>
      </w:r>
      <w:r>
        <w:t>т</w:t>
      </w:r>
      <w:r>
        <w:t>них была значительно упрощена в 1998 году. В с</w:t>
      </w:r>
      <w:r>
        <w:t>о</w:t>
      </w:r>
      <w:r>
        <w:t>ответствии с положениями Закона об иностранцах все законно проживающие на территории страны иностранцы получили признанный юридический статус, а в положениях Конституции семейная жизнь была признана как основа для обеспечения дальнейшего роста страны, которая как таковая з</w:t>
      </w:r>
      <w:r>
        <w:t>а</w:t>
      </w:r>
      <w:r>
        <w:t>служивает защиты со стороны гос</w:t>
      </w:r>
      <w:r>
        <w:t>у</w:t>
      </w:r>
      <w:r>
        <w:t>дарства.</w:t>
      </w:r>
    </w:p>
    <w:p w:rsidR="00000000" w:rsidRDefault="00000000">
      <w:pPr>
        <w:pStyle w:val="DualTxt"/>
      </w:pPr>
      <w:r>
        <w:t>31.</w:t>
      </w:r>
      <w:r>
        <w:tab/>
        <w:t>Отвечая на высказанные опасения по вопросу о «смешанных» браках, она говорит, что проблемы в результате возникновения таких союзов должны анализироваться на индивидуальном уровне в ко</w:t>
      </w:r>
      <w:r>
        <w:t>н</w:t>
      </w:r>
      <w:r>
        <w:t>тексте различий в культурной самобытности. Для повышения уровня осведомленности о концепции роли полов в различных культурах проводятся сп</w:t>
      </w:r>
      <w:r>
        <w:t>е</w:t>
      </w:r>
      <w:r>
        <w:t>циальные семин</w:t>
      </w:r>
      <w:r>
        <w:t>а</w:t>
      </w:r>
      <w:r>
        <w:t>ры.</w:t>
      </w:r>
    </w:p>
    <w:p w:rsidR="00000000" w:rsidRDefault="00000000">
      <w:pPr>
        <w:pStyle w:val="DualTxt"/>
      </w:pPr>
      <w:r>
        <w:t>32.</w:t>
      </w:r>
      <w:r>
        <w:tab/>
        <w:t>Эстония постоянно стремится проводить цел</w:t>
      </w:r>
      <w:r>
        <w:t>о</w:t>
      </w:r>
      <w:r>
        <w:t>стную политику интеграции, в частности в рамках программы, озаглавленной «Интеграция в эсто</w:t>
      </w:r>
      <w:r>
        <w:t>н</w:t>
      </w:r>
      <w:r>
        <w:t>ском обществе в 2000–2007 годы», с содержанием которой можно ознакомиться в Интернете на эсто</w:t>
      </w:r>
      <w:r>
        <w:t>н</w:t>
      </w:r>
      <w:r>
        <w:t>ском, русском и английском языках, а также посре</w:t>
      </w:r>
      <w:r>
        <w:t>д</w:t>
      </w:r>
      <w:r>
        <w:t>ством широкомасштабной кампании в средствах массовой информации. Политика в области инт</w:t>
      </w:r>
      <w:r>
        <w:t>е</w:t>
      </w:r>
      <w:r>
        <w:t>грации основана на национальных и социальных интересах Эстонии и на задаче сохранения стабил</w:t>
      </w:r>
      <w:r>
        <w:t>ь</w:t>
      </w:r>
      <w:r>
        <w:t>ности. Стоящая перед государством задача заключ</w:t>
      </w:r>
      <w:r>
        <w:t>а</w:t>
      </w:r>
      <w:r>
        <w:t>ется в том, чтобы поддерживать развитие эстонской культуры и гарантировать меньшинствам возмо</w:t>
      </w:r>
      <w:r>
        <w:t>ж</w:t>
      </w:r>
      <w:r>
        <w:t>ность для культурного развития. Деятельность в о</w:t>
      </w:r>
      <w:r>
        <w:t>б</w:t>
      </w:r>
      <w:r>
        <w:t>ласти интеграции направлена не на то, чтобы п</w:t>
      </w:r>
      <w:r>
        <w:t>ы</w:t>
      </w:r>
      <w:r>
        <w:t>таться изменить этническое своеобразие, а на то, чтобы предоставить иностранцам возможности для адаптации к культуре принимающей страны и для всестороннего участия в жизни эстонского общес</w:t>
      </w:r>
      <w:r>
        <w:t>т</w:t>
      </w:r>
      <w:r>
        <w:t>ва.</w:t>
      </w:r>
    </w:p>
    <w:p w:rsidR="00000000" w:rsidRDefault="00000000">
      <w:pPr>
        <w:pStyle w:val="DualTxt"/>
      </w:pPr>
      <w:r>
        <w:t>33.</w:t>
      </w:r>
      <w:r>
        <w:tab/>
        <w:t>Для ускорения процесса натурализации власти включили в школьные экзамены различные тесты, используемые для оценки того, обладают ли лица, стремящиеся получить гражданство, требуемыми знаниями эстонского языка и Конституции. Чтобы поощрять людей сдавать языковой экзамен, осущ</w:t>
      </w:r>
      <w:r>
        <w:t>е</w:t>
      </w:r>
      <w:r>
        <w:t>ствляется учебный проект под названием «Интер</w:t>
      </w:r>
      <w:r>
        <w:softHyphen/>
        <w:t>Эст» наряду с планом, предусматривающим покр</w:t>
      </w:r>
      <w:r>
        <w:t>ы</w:t>
      </w:r>
      <w:r>
        <w:t>тие 50 процентов расходов по прохождению курсов для лиц, которые позднее сдают тест. Полностью покрываются расходы безработных, пенсионеров и инвалидов. В результате этих мер число лиц, сда</w:t>
      </w:r>
      <w:r>
        <w:t>ю</w:t>
      </w:r>
      <w:r>
        <w:t>щих языковой экзамен, значительно возросло, до</w:t>
      </w:r>
      <w:r>
        <w:t>с</w:t>
      </w:r>
      <w:r>
        <w:t>тигнув в 2000 году пок</w:t>
      </w:r>
      <w:r>
        <w:t>а</w:t>
      </w:r>
      <w:r>
        <w:t>зателя 11 000 человек.</w:t>
      </w:r>
    </w:p>
    <w:p w:rsidR="00000000" w:rsidRDefault="00000000">
      <w:pPr>
        <w:pStyle w:val="DualTxt"/>
      </w:pPr>
      <w:r>
        <w:t>34.</w:t>
      </w:r>
      <w:r>
        <w:tab/>
        <w:t>Касаясь статьи 10, она отмечает, что Эстония является участником ВИТЕК («Женщины в науке и технике») и что эстонское отделение под названием эВИТЕК, основанное в 2000 году, создает сеть и разрабатывает различные программы, направле</w:t>
      </w:r>
      <w:r>
        <w:t>н</w:t>
      </w:r>
      <w:r>
        <w:t>ные на увеличение числа женщин, изучающих на</w:t>
      </w:r>
      <w:r>
        <w:t>у</w:t>
      </w:r>
      <w:r>
        <w:t>ку и занимающихся исследовательской деятельн</w:t>
      </w:r>
      <w:r>
        <w:t>о</w:t>
      </w:r>
      <w:r>
        <w:t>стью. В 2000 году 51 процент от общего числа в</w:t>
      </w:r>
      <w:r>
        <w:t>ы</w:t>
      </w:r>
      <w:r>
        <w:t>пускников по специальности естественные науки, математика или компьютерные науки составляли женщины. На девочек приходится 46 процентов от общего числа учащихся профессионально-техни</w:t>
      </w:r>
      <w:r>
        <w:softHyphen/>
        <w:t>ческих училищ, что является ростом по сравнению с процентной долей, фиксируемой за предыдущие годы.</w:t>
      </w:r>
    </w:p>
    <w:p w:rsidR="00000000" w:rsidRDefault="00000000">
      <w:pPr>
        <w:pStyle w:val="DualTxt"/>
      </w:pPr>
      <w:r>
        <w:t>35.</w:t>
      </w:r>
      <w:r>
        <w:tab/>
        <w:t>Многие годы женщины занимают домин</w:t>
      </w:r>
      <w:r>
        <w:t>и</w:t>
      </w:r>
      <w:r>
        <w:t>рующее положение в медицине и образовании; обе эти области являются престижными, несмотря на относительно невысокий уровень оплаты. Мин</w:t>
      </w:r>
      <w:r>
        <w:t>и</w:t>
      </w:r>
      <w:r>
        <w:t>мальная зарплата врачей по крайней мере равняется средней зарплате в Эстонии, хотя в зависимости от специализации врача, региона и больницы она явл</w:t>
      </w:r>
      <w:r>
        <w:t>я</w:t>
      </w:r>
      <w:r>
        <w:t>ется неодинаковой. Благодаря недавнему повыш</w:t>
      </w:r>
      <w:r>
        <w:t>е</w:t>
      </w:r>
      <w:r>
        <w:t>нию зарплата учителей, наконец, превысила размер средней за</w:t>
      </w:r>
      <w:r>
        <w:t>р</w:t>
      </w:r>
      <w:r>
        <w:t xml:space="preserve">платы. </w:t>
      </w:r>
    </w:p>
    <w:p w:rsidR="00000000" w:rsidRDefault="00000000">
      <w:pPr>
        <w:pStyle w:val="DualTxt"/>
      </w:pPr>
      <w:r>
        <w:t>36.</w:t>
      </w:r>
      <w:r>
        <w:tab/>
        <w:t>Касаясь статьи 11, она сообщает, что женщины по</w:t>
      </w:r>
      <w:r>
        <w:noBreakHyphen/>
        <w:t>прежнему в основном заняты в сфере обслуж</w:t>
      </w:r>
      <w:r>
        <w:t>и</w:t>
      </w:r>
      <w:r>
        <w:t>вания и торговли. Все большее число женщин зан</w:t>
      </w:r>
      <w:r>
        <w:t>я</w:t>
      </w:r>
      <w:r>
        <w:t>то на собственных предприятиях. В прошлом же</w:t>
      </w:r>
      <w:r>
        <w:t>н</w:t>
      </w:r>
      <w:r>
        <w:t>щины не допускались в службу в вооруженных с</w:t>
      </w:r>
      <w:r>
        <w:t>и</w:t>
      </w:r>
      <w:r>
        <w:t>лах и в авиацию, однако в настоящее время картина изменяется; в результате этого в Эстонии появились первые командиры самолетов из числа женщ</w:t>
      </w:r>
      <w:r>
        <w:t>и</w:t>
      </w:r>
      <w:r>
        <w:t>н.</w:t>
      </w:r>
    </w:p>
    <w:p w:rsidR="00000000" w:rsidRDefault="00000000">
      <w:pPr>
        <w:pStyle w:val="DualTxt"/>
      </w:pPr>
      <w:r>
        <w:t>37.</w:t>
      </w:r>
      <w:r>
        <w:tab/>
        <w:t>В прошлом в рамках пенсионной системы женщины занимали предпочтительное положение в том, что касается возраста ухода на пенсию и ра</w:t>
      </w:r>
      <w:r>
        <w:t>з</w:t>
      </w:r>
      <w:r>
        <w:t>мера пенсий, не учитывающего размер заработной платы или дохода. Начатые в 2001 году реформы направлены на обеспечение равенства между му</w:t>
      </w:r>
      <w:r>
        <w:t>ж</w:t>
      </w:r>
      <w:r>
        <w:t>чинами и женщинами и на создание равных для мужчин и женщин возможностей в области прои</w:t>
      </w:r>
      <w:r>
        <w:t>з</w:t>
      </w:r>
      <w:r>
        <w:t>водственной и семейной жизни. Любой из родит</w:t>
      </w:r>
      <w:r>
        <w:t>е</w:t>
      </w:r>
      <w:r>
        <w:t>лей получает дополнительные годы пенсионного стажа за каждого ребенка, а тот из родителей, кот</w:t>
      </w:r>
      <w:r>
        <w:t>о</w:t>
      </w:r>
      <w:r>
        <w:t>рый обеспечивает основной уход за ребенком, имеет право на льготы по уходу за ребенком независимо от наличия у него или у нее работы. Путем реформ законов о пенсиях и о труде Эстония надеется п</w:t>
      </w:r>
      <w:r>
        <w:t>о</w:t>
      </w:r>
      <w:r>
        <w:t>высить зн</w:t>
      </w:r>
      <w:r>
        <w:t>а</w:t>
      </w:r>
      <w:r>
        <w:t>чимость работы по дому и роли отцов.</w:t>
      </w:r>
    </w:p>
    <w:p w:rsidR="00000000" w:rsidRDefault="00000000">
      <w:pPr>
        <w:pStyle w:val="DualTxt"/>
      </w:pPr>
      <w:r>
        <w:t>38.</w:t>
      </w:r>
      <w:r>
        <w:tab/>
        <w:t>Касаясь вопросов здравоохранения, она гов</w:t>
      </w:r>
      <w:r>
        <w:t>о</w:t>
      </w:r>
      <w:r>
        <w:t>рит, что правительство разделяет озабоченность Комитета в отношении высоких показателей або</w:t>
      </w:r>
      <w:r>
        <w:t>р</w:t>
      </w:r>
      <w:r>
        <w:t>тов и рассматривает задачу снижения этих показ</w:t>
      </w:r>
      <w:r>
        <w:t>а</w:t>
      </w:r>
      <w:r>
        <w:t>телей как одной из главных целей его программы в области репродуктивного здоровья, в то время как вторая цель заключается в повышении уровня осв</w:t>
      </w:r>
      <w:r>
        <w:t>е</w:t>
      </w:r>
      <w:r>
        <w:t>домленности населения в вопросах использования противозачаточных средств и планирования семьи. Бесплатные противозачаточные средства и беспла</w:t>
      </w:r>
      <w:r>
        <w:t>т</w:t>
      </w:r>
      <w:r>
        <w:t>ные консультативные услуги предоставляются в специальных центрах, предлагающих рекомендации по вопросам планирования семьи, особенно для м</w:t>
      </w:r>
      <w:r>
        <w:t>о</w:t>
      </w:r>
      <w:r>
        <w:t>лодежи.</w:t>
      </w:r>
    </w:p>
    <w:p w:rsidR="00000000" w:rsidRDefault="00000000">
      <w:pPr>
        <w:pStyle w:val="DualTxt"/>
      </w:pPr>
      <w:r>
        <w:t>39.</w:t>
      </w:r>
      <w:r>
        <w:tab/>
        <w:t>Разъясняя понимание законных и незаконных абортов, она говорит, что 14 процентов от общего числа абортов, упомянутых в докладе, фактически представляли собой выкидыши. Согласно закону Эстонии законными считаются аборты, проводимые с согласия женщин и по рекомендации врача. Число незаконных абортов является крайне незначител</w:t>
      </w:r>
      <w:r>
        <w:t>ь</w:t>
      </w:r>
      <w:r>
        <w:t>ным.</w:t>
      </w:r>
    </w:p>
    <w:p w:rsidR="00000000" w:rsidRDefault="00000000">
      <w:pPr>
        <w:pStyle w:val="DualTxt"/>
      </w:pPr>
      <w:r>
        <w:t>40.</w:t>
      </w:r>
      <w:r>
        <w:tab/>
        <w:t>В Эстонии действительно отмечается высокий уровень самоубийств, однако этот показатель с 1994 года снижается. Наиболее уязвимой группой являются мужчины в возрасте 35–54 года. В стране имеется линия прямой связи по предотвращению самоубийств, «линия жизни», которую обслужив</w:t>
      </w:r>
      <w:r>
        <w:t>а</w:t>
      </w:r>
      <w:r>
        <w:t>ют 40 специально подготовленных ко</w:t>
      </w:r>
      <w:r>
        <w:t>н</w:t>
      </w:r>
      <w:r>
        <w:t>сультантов.</w:t>
      </w:r>
    </w:p>
    <w:p w:rsidR="00000000" w:rsidRDefault="00000000">
      <w:pPr>
        <w:pStyle w:val="DualTxt"/>
      </w:pPr>
      <w:r>
        <w:t>41.</w:t>
      </w:r>
      <w:r>
        <w:tab/>
        <w:t>В стране проводятся реформы в области здр</w:t>
      </w:r>
      <w:r>
        <w:t>а</w:t>
      </w:r>
      <w:r>
        <w:t>воохранения, призванные значительно расширить доступ населения к эффективным с точки зрения з</w:t>
      </w:r>
      <w:r>
        <w:t>а</w:t>
      </w:r>
      <w:r>
        <w:t>трат и высококачественным медицинским услугам. К концу 2015 года вместо 60 больниц в Эстонии б</w:t>
      </w:r>
      <w:r>
        <w:t>у</w:t>
      </w:r>
      <w:r>
        <w:t>дет 13 больниц общего профиля, а остальные будут преобразованы в медицинские центры, лече</w:t>
      </w:r>
      <w:r>
        <w:t>б</w:t>
      </w:r>
      <w:r>
        <w:t>но-оздоровительные больницы и учреждения социал</w:t>
      </w:r>
      <w:r>
        <w:t>ь</w:t>
      </w:r>
      <w:r>
        <w:t>ной помощи. В соответствии с проводимой в стране политикой в отношении престарелых пожилые женщины получают больший объем услуг по уходу на дому, предоставляемых местными органами вл</w:t>
      </w:r>
      <w:r>
        <w:t>а</w:t>
      </w:r>
      <w:r>
        <w:t>сти, а те из них, кто сами не могут обслуживать с</w:t>
      </w:r>
      <w:r>
        <w:t>е</w:t>
      </w:r>
      <w:r>
        <w:t>бя, получают ежедневную помощь по дому. Кроме того, имеются центры дневного ухода, в которых они получают возможность общения.</w:t>
      </w:r>
    </w:p>
    <w:p w:rsidR="00000000" w:rsidRDefault="00000000">
      <w:pPr>
        <w:pStyle w:val="DualTxt"/>
      </w:pPr>
      <w:r>
        <w:t>42.</w:t>
      </w:r>
      <w:r>
        <w:tab/>
        <w:t>Она заверяет членов Комитета, что они найдут ответы на другие заданные ими вопросы в ее пис</w:t>
      </w:r>
      <w:r>
        <w:t>ь</w:t>
      </w:r>
      <w:r>
        <w:t>менном сообщении, которое было распространено. В то же время многие из этих вопросов требуют у</w:t>
      </w:r>
      <w:r>
        <w:t>г</w:t>
      </w:r>
      <w:r>
        <w:t>лубленного рассмотрения и поэтому более подро</w:t>
      </w:r>
      <w:r>
        <w:t>б</w:t>
      </w:r>
      <w:r>
        <w:t>но будут освещены в следующем докладе.</w:t>
      </w:r>
    </w:p>
    <w:p w:rsidR="00000000" w:rsidRDefault="00000000">
      <w:pPr>
        <w:pStyle w:val="DualTxt"/>
      </w:pPr>
      <w:r>
        <w:t>43.</w:t>
      </w:r>
      <w:r>
        <w:tab/>
        <w:t>В заключение она напоминает Комитету, что Эстония приступила к решению вопросов в генде</w:t>
      </w:r>
      <w:r>
        <w:t>р</w:t>
      </w:r>
      <w:r>
        <w:t>ной области на систематической основе лишь в 1994–1995 годах. Многого уже удалось добиться, и ее правительство твердо намерено продолжать ус</w:t>
      </w:r>
      <w:r>
        <w:t>и</w:t>
      </w:r>
      <w:r>
        <w:t>лия в этом направлении.</w:t>
      </w:r>
    </w:p>
    <w:p w:rsidR="00000000" w:rsidRDefault="00000000">
      <w:pPr>
        <w:pStyle w:val="DualTxt"/>
      </w:pPr>
      <w:r>
        <w:t>44.</w:t>
      </w:r>
      <w:r>
        <w:tab/>
      </w:r>
      <w:r>
        <w:rPr>
          <w:b/>
        </w:rPr>
        <w:t>Председатель</w:t>
      </w:r>
      <w:r>
        <w:t xml:space="preserve"> благодарит г</w:t>
      </w:r>
      <w:r>
        <w:noBreakHyphen/>
        <w:t>жу Кальюранд за ее подробные ответы [и принимает к сведению, что ответы на любые остающиеся вопросы будут вкл</w:t>
      </w:r>
      <w:r>
        <w:t>ю</w:t>
      </w:r>
      <w:r>
        <w:t>чены в следующий доклад Эстонии].</w:t>
      </w:r>
    </w:p>
    <w:p w:rsidR="00000000" w:rsidRDefault="00000000">
      <w:pPr>
        <w:pStyle w:val="DualTxt"/>
      </w:pPr>
      <w:r>
        <w:t>45.</w:t>
      </w:r>
      <w:r>
        <w:tab/>
      </w:r>
      <w:r>
        <w:rPr>
          <w:b/>
        </w:rPr>
        <w:t>Г</w:t>
      </w:r>
      <w:r>
        <w:rPr>
          <w:b/>
        </w:rPr>
        <w:noBreakHyphen/>
        <w:t>жа Гунесекере</w:t>
      </w:r>
      <w:r>
        <w:t xml:space="preserve"> обращает внимание прису</w:t>
      </w:r>
      <w:r>
        <w:t>т</w:t>
      </w:r>
      <w:r>
        <w:t>ствующих на имеющиеся в Эстонии положения в отношении изнасилования несовершеннолетнего лица (определяемого по признаку недостижения возраста 14 лет) и на возможность вступления в брак в возрасте с 15 до 18 лет в случаях ранней б</w:t>
      </w:r>
      <w:r>
        <w:t>е</w:t>
      </w:r>
      <w:r>
        <w:t>ременности. Она настоятельно призывает прав</w:t>
      </w:r>
      <w:r>
        <w:t>и</w:t>
      </w:r>
      <w:r>
        <w:t>тельство ликвидировать противоречия между этими положениями и его обязательствами по пункту 2 статьи 16 Конвенции и по положениям Междун</w:t>
      </w:r>
      <w:r>
        <w:t>а</w:t>
      </w:r>
      <w:r>
        <w:t>родной конвенции о правах р</w:t>
      </w:r>
      <w:r>
        <w:t>е</w:t>
      </w:r>
      <w:r>
        <w:t>бенка.</w:t>
      </w:r>
    </w:p>
    <w:p w:rsidR="00000000" w:rsidRDefault="00000000">
      <w:pPr>
        <w:pStyle w:val="DualTxt"/>
      </w:pPr>
      <w:r>
        <w:t>46.</w:t>
      </w:r>
      <w:r>
        <w:tab/>
      </w:r>
      <w:r>
        <w:rPr>
          <w:b/>
        </w:rPr>
        <w:t>Г</w:t>
      </w:r>
      <w:r>
        <w:rPr>
          <w:b/>
        </w:rPr>
        <w:noBreakHyphen/>
        <w:t>жа Кальюранд</w:t>
      </w:r>
      <w:r>
        <w:t xml:space="preserve"> (Эстония) указывает, что положение о возможности брака в возрасте от 15 до 18 лет является абсолютно исключительным и пр</w:t>
      </w:r>
      <w:r>
        <w:t>и</w:t>
      </w:r>
      <w:r>
        <w:t>звано лишь уменьшить число детей, рожденных вне брака, которые сталкиваются из</w:t>
      </w:r>
      <w:r>
        <w:noBreakHyphen/>
        <w:t>за этого с опред</w:t>
      </w:r>
      <w:r>
        <w:t>е</w:t>
      </w:r>
      <w:r>
        <w:t>ленными трудностями. Беременная девушка в во</w:t>
      </w:r>
      <w:r>
        <w:t>з</w:t>
      </w:r>
      <w:r>
        <w:t>расте до 18 лет, желающая вступить в брак, должна получить согласие своих родителей, опекунов или представителей органов социальной помощи. Зая</w:t>
      </w:r>
      <w:r>
        <w:t>в</w:t>
      </w:r>
      <w:r>
        <w:t xml:space="preserve">ления тщательно рассматриваются, и не все они удовлетворяются. </w:t>
      </w:r>
    </w:p>
    <w:p w:rsidR="00000000" w:rsidRDefault="00000000">
      <w:pPr>
        <w:pStyle w:val="DualTxt"/>
      </w:pPr>
      <w:r>
        <w:t>47.</w:t>
      </w:r>
      <w:r>
        <w:tab/>
      </w:r>
      <w:r>
        <w:rPr>
          <w:b/>
        </w:rPr>
        <w:t>Г</w:t>
      </w:r>
      <w:r>
        <w:rPr>
          <w:b/>
        </w:rPr>
        <w:noBreakHyphen/>
        <w:t>жа Таварес да Сильва</w:t>
      </w:r>
      <w:r>
        <w:t xml:space="preserve"> говорит, что из до</w:t>
      </w:r>
      <w:r>
        <w:t>к</w:t>
      </w:r>
      <w:r>
        <w:t>лада складывается впечатление, что эстонцы не имеют неограниченного доступа к противозачато</w:t>
      </w:r>
      <w:r>
        <w:t>ч</w:t>
      </w:r>
      <w:r>
        <w:t>ным средствам, однако г</w:t>
      </w:r>
      <w:r>
        <w:noBreakHyphen/>
        <w:t>жа Кальюранд указала, что противозачаточные средства предоставляются всем по доступной цене. Как улучшилось положение по обеспечению широкого доступна к противозачато</w:t>
      </w:r>
      <w:r>
        <w:t>ч</w:t>
      </w:r>
      <w:r>
        <w:t>ным средствам с момента по</w:t>
      </w:r>
      <w:r>
        <w:t>д</w:t>
      </w:r>
      <w:r>
        <w:t>готовки доклада?</w:t>
      </w:r>
    </w:p>
    <w:p w:rsidR="00000000" w:rsidRDefault="00000000">
      <w:pPr>
        <w:pStyle w:val="DualTxt"/>
      </w:pPr>
      <w:r>
        <w:t>48.</w:t>
      </w:r>
      <w:r>
        <w:tab/>
      </w:r>
      <w:r>
        <w:rPr>
          <w:b/>
        </w:rPr>
        <w:t>Г</w:t>
      </w:r>
      <w:r>
        <w:rPr>
          <w:b/>
        </w:rPr>
        <w:noBreakHyphen/>
        <w:t>жа Кальюранд</w:t>
      </w:r>
      <w:r>
        <w:t xml:space="preserve"> (Эстония) говорит, что ее устный ответ основан на последних имеющихся данных.</w:t>
      </w:r>
    </w:p>
    <w:p w:rsidR="00000000" w:rsidRDefault="00000000">
      <w:pPr>
        <w:pStyle w:val="DualTxt"/>
      </w:pPr>
      <w:r>
        <w:t>49.</w:t>
      </w:r>
      <w:r>
        <w:tab/>
      </w:r>
      <w:r>
        <w:rPr>
          <w:b/>
        </w:rPr>
        <w:t>Председатель</w:t>
      </w:r>
      <w:r>
        <w:t xml:space="preserve"> говорит, что тревога за судьбу детей, рожденных вне брака, не должна использ</w:t>
      </w:r>
      <w:r>
        <w:t>о</w:t>
      </w:r>
      <w:r>
        <w:t>ваться как обоснование ранних браков. Вместо эт</w:t>
      </w:r>
      <w:r>
        <w:t>о</w:t>
      </w:r>
      <w:r>
        <w:t>го необходимо найти решение, дающее таким детям равные с другими детьми права. Из опыта ее страны Ганы она знает, что до тех пор, пока существует л</w:t>
      </w:r>
      <w:r>
        <w:t>а</w:t>
      </w:r>
      <w:r>
        <w:t>зейка в законе, люди будут ею пользоваться. Эст</w:t>
      </w:r>
      <w:r>
        <w:t>о</w:t>
      </w:r>
      <w:r>
        <w:t xml:space="preserve">ния должна эту лазейку закрыть. </w:t>
      </w:r>
    </w:p>
    <w:p w:rsidR="00000000" w:rsidRDefault="00000000">
      <w:pPr>
        <w:pStyle w:val="DualTxt"/>
      </w:pPr>
      <w:r>
        <w:t>50.</w:t>
      </w:r>
      <w:r>
        <w:tab/>
        <w:t>Она с удовлетворением узнала, что юристы получают подготовку по правам человека, и насто</w:t>
      </w:r>
      <w:r>
        <w:t>я</w:t>
      </w:r>
      <w:r>
        <w:t>тельно призывает к тому, чтобы такая подготовка предоставлялась во всей правоохранительной си</w:t>
      </w:r>
      <w:r>
        <w:t>с</w:t>
      </w:r>
      <w:r>
        <w:t>теме, а также работникам медицинских учрежд</w:t>
      </w:r>
      <w:r>
        <w:t>е</w:t>
      </w:r>
      <w:r>
        <w:t>ний. В тех случаях, когда отмечается насилие в о</w:t>
      </w:r>
      <w:r>
        <w:t>т</w:t>
      </w:r>
      <w:r>
        <w:t>ношении женщин, исключительно важно обучать такой персонал тому, как следует соблюдать конф</w:t>
      </w:r>
      <w:r>
        <w:t>и</w:t>
      </w:r>
      <w:r>
        <w:t>денциальность и предоставлять подвергающимся насилию женщинам консультативные услуги по обеспечению рассмотрения их дел.</w:t>
      </w:r>
    </w:p>
    <w:p w:rsidR="00000000" w:rsidRDefault="00000000">
      <w:pPr>
        <w:pStyle w:val="DualTxt"/>
      </w:pPr>
      <w:r>
        <w:t>51.</w:t>
      </w:r>
      <w:r>
        <w:tab/>
        <w:t>Она выражает надежду, что заключительные замечания и рекомендации Комитета будут распр</w:t>
      </w:r>
      <w:r>
        <w:t>о</w:t>
      </w:r>
      <w:r>
        <w:t>странены также широко, как был распространен доклад, в том числе среди членов парламента, и н</w:t>
      </w:r>
      <w:r>
        <w:t>а</w:t>
      </w:r>
      <w:r>
        <w:t>стоятельно призывает правительство в полной мере использовать общие рекомендации Комитета, в ч</w:t>
      </w:r>
      <w:r>
        <w:t>а</w:t>
      </w:r>
      <w:r>
        <w:t>стности те из них, которые касаются проблемы н</w:t>
      </w:r>
      <w:r>
        <w:t>а</w:t>
      </w:r>
      <w:r>
        <w:t>силия. Одна из причин того, что женщины не соо</w:t>
      </w:r>
      <w:r>
        <w:t>б</w:t>
      </w:r>
      <w:r>
        <w:t>щают о насилии, может заключаться в том, что они не осознают, что происходит нарушение их прав ч</w:t>
      </w:r>
      <w:r>
        <w:t>е</w:t>
      </w:r>
      <w:r>
        <w:t>ловека.</w:t>
      </w:r>
    </w:p>
    <w:p w:rsidR="00000000" w:rsidRDefault="00000000">
      <w:pPr>
        <w:pStyle w:val="DualTxt"/>
      </w:pPr>
      <w:r>
        <w:t>52.</w:t>
      </w:r>
      <w:r>
        <w:tab/>
        <w:t>В заключение она выражает надежду, что Э</w:t>
      </w:r>
      <w:r>
        <w:t>с</w:t>
      </w:r>
      <w:r>
        <w:t>тония вскоре представит заявление о принятии ст</w:t>
      </w:r>
      <w:r>
        <w:t>а</w:t>
      </w:r>
      <w:r>
        <w:t>тьи 21 и приступит к процессу ратификации Ф</w:t>
      </w:r>
      <w:r>
        <w:t>а</w:t>
      </w:r>
      <w:r>
        <w:t>культативного протокола.</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Заседание закрывается в 17 ч. 10 м.</w:t>
      </w:r>
    </w:p>
    <w:sectPr w:rsidR="00000000">
      <w:endnotePr>
        <w:numFmt w:val="decimal"/>
      </w:endnotePr>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NO&gt;&gt;N0223483R&lt;&lt;ODS JOB NO&gt;&gt;</w:t>
      </w:r>
    </w:p>
    <w:p w:rsidR="00000000" w:rsidRDefault="00000000">
      <w:pPr>
        <w:pStyle w:val="CommentText"/>
      </w:pPr>
      <w:r>
        <w:t>&lt;&lt;ODS DOC SYMBOL1&gt;&gt;CEDAW/C/SR.548&lt;&lt;ODS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de 3of9 4.6">
    <w:panose1 w:val="00000000000000000000"/>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9</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9</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ind w:left="1267" w:right="1267" w:firstLine="0"/>
    </w:pPr>
    <w:r>
      <w:t>В настоящий отчет могут вноситься поправки.</w:t>
    </w:r>
  </w:p>
  <w:p w:rsidR="00000000" w:rsidRDefault="00000000">
    <w:pPr>
      <w:pStyle w:val="FootnoteText"/>
      <w:spacing w:after="120"/>
      <w:ind w:left="1267" w:right="1267" w:firstLine="0"/>
    </w:pPr>
    <w:r>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должны направляться </w:t>
    </w:r>
    <w:r>
      <w:rPr>
        <w:i/>
      </w:rPr>
      <w:t>в течение одной недели с момента выпуска этого документа</w:t>
    </w:r>
    <w:r>
      <w:t xml:space="preserve"> на имя начальника Секции редактирования официальных отчетов, комната DC2-750 (Chief, Official Records Editing Section, room DC2-750, 2 United Nations Plaza).</w:t>
    </w:r>
  </w:p>
  <w:p w:rsidR="00000000" w:rsidRDefault="00000000">
    <w:pPr>
      <w:pStyle w:val="FootnoteText"/>
      <w:spacing w:after="120"/>
      <w:ind w:left="1267" w:right="1267" w:firstLine="0"/>
    </w:pPr>
    <w:r>
      <w:t>Любые поправки к отчетам о заседаниях этой сессии будут сведены в один документ, содержащий только исправления, который будет издан вскоре после окончания сессии.</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02-23483 (R)</w:t>
    </w:r>
  </w:p>
  <w:p w:rsidR="00000000" w:rsidRDefault="00000000">
    <w:pPr>
      <w:pStyle w:val="Footer"/>
      <w:spacing w:before="60" w:line="200" w:lineRule="exact"/>
      <w:rPr>
        <w:rFonts w:ascii="Code 3of9 4.6" w:hAnsi="Code 3of9 4.6"/>
        <w:b w:val="0"/>
        <w:sz w:val="20"/>
      </w:rPr>
    </w:pPr>
    <w:r>
      <w:rPr>
        <w:rFonts w:ascii="Code 3of9 4.6" w:hAnsi="Code 3of9 4.6"/>
        <w:b w:val="0"/>
        <w:sz w:val="20"/>
      </w:rPr>
      <w:t>*0223483*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CEDAW/C/SR.548</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CEDAW/C/SR.548</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3154"/>
      <w:gridCol w:w="245"/>
      <w:gridCol w:w="1828"/>
      <w:gridCol w:w="245"/>
      <w:gridCol w:w="3140"/>
    </w:tblGrid>
    <w:tr w:rsidR="00000000">
      <w:tblPrEx>
        <w:tblCellMar>
          <w:top w:w="0" w:type="dxa"/>
          <w:left w:w="0" w:type="dxa"/>
          <w:bottom w:w="0" w:type="dxa"/>
          <w:right w:w="0" w:type="dxa"/>
        </w:tblCellMar>
      </w:tblPrEx>
      <w:trPr>
        <w:cantSplit/>
        <w:trHeight w:hRule="exact" w:val="864"/>
      </w:trPr>
      <w:tc>
        <w:tcPr>
          <w:tcW w:w="4421" w:type="dxa"/>
          <w:gridSpan w:val="2"/>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Организация Объединенных Наций</w:t>
          </w:r>
        </w:p>
      </w:tc>
      <w:tc>
        <w:tcPr>
          <w:tcW w:w="245" w:type="dxa"/>
          <w:tcBorders>
            <w:top w:val="nil"/>
            <w:left w:val="nil"/>
            <w:bottom w:val="nil"/>
            <w:right w:val="nil"/>
          </w:tcBorders>
          <w:vAlign w:val="bottom"/>
        </w:tcPr>
        <w:p w:rsidR="00000000" w:rsidRDefault="00000000">
          <w:pPr>
            <w:pStyle w:val="Header"/>
            <w:spacing w:after="120"/>
          </w:pPr>
        </w:p>
      </w:tc>
      <w:tc>
        <w:tcPr>
          <w:tcW w:w="5213" w:type="dxa"/>
          <w:gridSpan w:val="3"/>
          <w:tcBorders>
            <w:top w:val="nil"/>
            <w:left w:val="nil"/>
            <w:bottom w:val="nil"/>
            <w:right w:val="nil"/>
          </w:tcBorders>
          <w:vAlign w:val="bottom"/>
        </w:tcPr>
        <w:p w:rsidR="00000000" w:rsidRDefault="00000000">
          <w:pPr>
            <w:pStyle w:val="Header"/>
            <w:spacing w:after="20"/>
            <w:jc w:val="right"/>
            <w:rPr>
              <w:sz w:val="20"/>
            </w:rPr>
          </w:pPr>
          <w:r>
            <w:rPr>
              <w:sz w:val="40"/>
            </w:rPr>
            <w:t>CEDAW</w:t>
          </w:r>
          <w:r>
            <w:rPr>
              <w:sz w:val="20"/>
            </w:rPr>
            <w:t>/C/SR.548</w:t>
          </w:r>
        </w:p>
      </w:tc>
    </w:tr>
    <w:tr w:rsidR="00000000">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Конвенция о ликвидации всех форм дискриминации в отношении женщин</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pPr>
          <w:r>
            <w:t>Distr.: General</w:t>
          </w:r>
        </w:p>
        <w:p w:rsidR="00000000" w:rsidRDefault="00000000">
          <w:r>
            <w:rPr>
              <w:lang w:val="en-US"/>
            </w:rPr>
            <w:t>9</w:t>
          </w:r>
          <w:r>
            <w:t xml:space="preserve"> December 2002</w:t>
          </w:r>
        </w:p>
        <w:p w:rsidR="00000000" w:rsidRDefault="00000000">
          <w:r>
            <w:t>Russian</w:t>
          </w:r>
        </w:p>
        <w:p w:rsidR="00000000" w:rsidRDefault="00000000">
          <w:r>
            <w:t>Original: English</w:t>
          </w:r>
        </w:p>
      </w:tc>
    </w:tr>
  </w:tbl>
  <w:p w:rsidR="00000000" w:rsidRDefault="00000000">
    <w:pPr>
      <w:pStyle w:val="Header"/>
      <w:spacing w:line="20" w:lineRule="exact"/>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659CADF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5372B834"/>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A3CEA354"/>
    <w:lvl w:ilvl="0">
      <w:start w:val="1"/>
      <w:numFmt w:val="decimal"/>
      <w:pStyle w:val="ListNumber3"/>
      <w:lvlText w:val="%1."/>
      <w:lvlJc w:val="left"/>
      <w:pPr>
        <w:tabs>
          <w:tab w:val="num" w:pos="926"/>
        </w:tabs>
        <w:ind w:left="926" w:hanging="360"/>
      </w:pPr>
    </w:lvl>
  </w:abstractNum>
  <w:abstractNum w:abstractNumId="3">
    <w:nsid w:val="FFFFFF7F"/>
    <w:multiLevelType w:val="singleLevel"/>
    <w:tmpl w:val="93C2E390"/>
    <w:lvl w:ilvl="0">
      <w:start w:val="1"/>
      <w:numFmt w:val="decimal"/>
      <w:pStyle w:val="ListNumber2"/>
      <w:lvlText w:val="%1."/>
      <w:lvlJc w:val="left"/>
      <w:pPr>
        <w:tabs>
          <w:tab w:val="num" w:pos="643"/>
        </w:tabs>
        <w:ind w:left="643" w:hanging="360"/>
      </w:pPr>
    </w:lvl>
  </w:abstractNum>
  <w:abstractNum w:abstractNumId="4">
    <w:nsid w:val="FFFFFF88"/>
    <w:multiLevelType w:val="singleLevel"/>
    <w:tmpl w:val="A450318C"/>
    <w:lvl w:ilvl="0">
      <w:start w:val="1"/>
      <w:numFmt w:val="decimal"/>
      <w:pStyle w:val="ListNumber"/>
      <w:lvlText w:val="%1."/>
      <w:lvlJc w:val="left"/>
      <w:pPr>
        <w:tabs>
          <w:tab w:val="num" w:pos="360"/>
        </w:tabs>
        <w:ind w:left="360" w:hanging="360"/>
      </w:pPr>
    </w:lvl>
  </w:abstractNum>
  <w:abstractNum w:abstractNumId="5">
    <w:nsid w:val="34DC129E"/>
    <w:multiLevelType w:val="singleLevel"/>
    <w:tmpl w:val="03EE3166"/>
    <w:lvl w:ilvl="0">
      <w:start w:val="1"/>
      <w:numFmt w:val="decimal"/>
      <w:pStyle w:val="ListContinue2"/>
      <w:lvlText w:val="%1."/>
      <w:lvlJc w:val="right"/>
      <w:pPr>
        <w:tabs>
          <w:tab w:val="num" w:pos="792"/>
        </w:tabs>
        <w:ind w:left="792" w:hanging="317"/>
      </w:pPr>
      <w:rPr>
        <w:rFonts w:hint="default"/>
      </w:rPr>
    </w:lvl>
  </w:abstractNum>
  <w:num w:numId="1">
    <w:abstractNumId w:val="5"/>
  </w:num>
  <w:num w:numId="2">
    <w:abstractNumId w:val="4"/>
  </w:num>
  <w:num w:numId="3">
    <w:abstractNumId w:val="4"/>
  </w:num>
  <w:num w:numId="4">
    <w:abstractNumId w:val="3"/>
  </w:num>
  <w:num w:numId="5">
    <w:abstractNumId w:val="3"/>
  </w:num>
  <w:num w:numId="6">
    <w:abstractNumId w:val="2"/>
  </w:num>
  <w:num w:numId="7">
    <w:abstractNumId w:val="2"/>
  </w:num>
  <w:num w:numId="8">
    <w:abstractNumId w:val="1"/>
  </w:num>
  <w:num w:numId="9">
    <w:abstractNumId w:val="1"/>
  </w:num>
  <w:num w:numId="10">
    <w:abstractNumId w:val="0"/>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GrammaticalErrors/>
  <w:activeWritingStyle w:appName="MSWord" w:lang="ru-RU" w:vendorID="1" w:dllVersion="512" w:checkStyle="1"/>
  <w:doNotTrackMoves/>
  <w:defaultTabStop w:val="720"/>
  <w:autoHyphenation/>
  <w:hyphenationZone w:val="216"/>
  <w:doNotHyphenateCaps/>
  <w:evenAndOddHeaders/>
  <w:displayHorizontalDrawingGridEvery w:val="0"/>
  <w:displayVerticalDrawingGridEvery w:val="0"/>
  <w:doNotUseMarginsForDrawingGridOrigin/>
  <w:noPunctuationKerning/>
  <w:characterSpacingControl w:val="doNotCompress"/>
  <w:hdrShapeDefaults>
    <o:shapedefaults v:ext="edit" spidmax="2049"/>
    <o:shapelayout v:ext="edit">
      <o:idmap v:ext="edit" data="1"/>
    </o:shapelayout>
  </w:hdrShapeDefaults>
  <w:footnotePr>
    <w:footnote w:id="-1"/>
    <w:footnote w:id="0"/>
  </w:footnotePr>
  <w:endnotePr>
    <w:numFmt w:val="decimal"/>
    <w:endnote w:id="-1"/>
    <w:endnote w:id="0"/>
  </w:endnotePr>
  <w:compat>
    <w:noColumnBalance/>
    <w:printColBlack/>
    <w:showBreaksInFrames/>
    <w:suppressBottomSpacing/>
    <w:suppressTopSpacing/>
    <w:suppressTopSpacingWP/>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06/12/2002 7:51: AM"/>
    <w:docVar w:name="DocCategory" w:val="SROthers"/>
    <w:docVar w:name="DocType" w:val="Final"/>
    <w:docVar w:name="JobNo" w:val="0223483R"/>
    <w:docVar w:name="OandT" w:val="Filippova"/>
    <w:docVar w:name="Symbol1" w:val="CEDAW/C/SR.548"/>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240" w:lineRule="exact"/>
    </w:pPr>
    <w:rPr>
      <w:spacing w:val="4"/>
      <w:w w:val="103"/>
      <w:kern w:val="14"/>
      <w:lang w:val="ru-RU"/>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M">
    <w:name w:val="_ H __M"/>
    <w:basedOn w:val="Normal"/>
    <w:next w:val="Normal"/>
    <w:pPr>
      <w:keepNext/>
      <w:keepLines/>
      <w:suppressAutoHyphens/>
      <w:spacing w:line="360" w:lineRule="exact"/>
      <w:outlineLvl w:val="0"/>
    </w:pPr>
    <w:rPr>
      <w:b/>
      <w:spacing w:val="-3"/>
      <w:w w:val="99"/>
      <w:sz w:val="34"/>
    </w:rPr>
  </w:style>
  <w:style w:type="paragraph" w:customStyle="1" w:styleId="H1">
    <w:name w:val="_ H_1"/>
    <w:basedOn w:val="Normal"/>
    <w:next w:val="Normal"/>
    <w:pPr>
      <w:suppressAutoHyphens/>
      <w:spacing w:line="270" w:lineRule="exact"/>
      <w:outlineLvl w:val="0"/>
    </w:pPr>
    <w:rPr>
      <w:b/>
      <w:sz w:val="24"/>
    </w:rPr>
  </w:style>
  <w:style w:type="paragraph" w:customStyle="1" w:styleId="HCh">
    <w:name w:val="_ H _Ch"/>
    <w:basedOn w:val="H1"/>
    <w:next w:val="Normal"/>
    <w:pPr>
      <w:keepNext/>
      <w:keepLines/>
      <w:spacing w:line="300" w:lineRule="exact"/>
    </w:pPr>
    <w:rPr>
      <w:spacing w:val="-2"/>
      <w:sz w:val="28"/>
    </w:rPr>
  </w:style>
  <w:style w:type="paragraph" w:customStyle="1" w:styleId="H23">
    <w:name w:val="_ H_2/3"/>
    <w:basedOn w:val="H1"/>
    <w:next w:val="Normal"/>
    <w:pPr>
      <w:keepNext/>
      <w:keepLines/>
      <w:spacing w:line="240" w:lineRule="exact"/>
      <w:outlineLvl w:val="1"/>
    </w:pPr>
    <w:rPr>
      <w:spacing w:val="2"/>
      <w:sz w:val="20"/>
    </w:rPr>
  </w:style>
  <w:style w:type="paragraph" w:customStyle="1" w:styleId="H4">
    <w:name w:val="_ H_4"/>
    <w:basedOn w:val="Normal"/>
    <w:next w:val="Normal"/>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styleId="ListContinue2">
    <w:name w:val="List Continue 2"/>
    <w:basedOn w:val="Normal"/>
    <w:next w:val="Normal"/>
    <w:semiHidden/>
    <w:pPr>
      <w:numPr>
        <w:numId w:val="1"/>
      </w:numPr>
      <w:spacing w:after="120"/>
    </w:pPr>
  </w:style>
  <w:style w:type="paragraph" w:styleId="ListNumber">
    <w:name w:val="List Number"/>
    <w:basedOn w:val="H1"/>
    <w:next w:val="Normal"/>
    <w:semiHidden/>
    <w:pPr>
      <w:numPr>
        <w:numId w:val="3"/>
      </w:numPr>
      <w:tabs>
        <w:tab w:val="clear" w:pos="360"/>
        <w:tab w:val="num" w:pos="792"/>
      </w:tabs>
      <w:ind w:left="792" w:hanging="317"/>
    </w:pPr>
  </w:style>
  <w:style w:type="paragraph" w:styleId="ListNumber2">
    <w:name w:val="List Number 2"/>
    <w:basedOn w:val="H23"/>
    <w:next w:val="Normal"/>
    <w:semiHidden/>
    <w:pPr>
      <w:numPr>
        <w:numId w:val="5"/>
      </w:numPr>
      <w:tabs>
        <w:tab w:val="clear" w:pos="643"/>
        <w:tab w:val="num" w:pos="792"/>
      </w:tabs>
      <w:ind w:left="792" w:hanging="317"/>
    </w:pPr>
  </w:style>
  <w:style w:type="paragraph" w:styleId="ListNumber3">
    <w:name w:val="List Number 3"/>
    <w:basedOn w:val="H23"/>
    <w:next w:val="Normal"/>
    <w:semiHidden/>
    <w:pPr>
      <w:numPr>
        <w:numId w:val="7"/>
      </w:numPr>
      <w:tabs>
        <w:tab w:val="clear" w:pos="926"/>
        <w:tab w:val="num" w:pos="792"/>
      </w:tabs>
      <w:ind w:left="792" w:hanging="317"/>
    </w:pPr>
  </w:style>
  <w:style w:type="paragraph" w:styleId="ListNumber4">
    <w:name w:val="List Number 4"/>
    <w:basedOn w:val="H4"/>
    <w:next w:val="Normal"/>
    <w:semiHidden/>
    <w:pPr>
      <w:numPr>
        <w:numId w:val="9"/>
      </w:numPr>
      <w:tabs>
        <w:tab w:val="clear" w:pos="1209"/>
        <w:tab w:val="num" w:pos="792"/>
      </w:tabs>
      <w:ind w:left="792" w:hanging="317"/>
    </w:pPr>
  </w:style>
  <w:style w:type="paragraph" w:styleId="ListNumber5">
    <w:name w:val="List Number 5"/>
    <w:basedOn w:val="Normal"/>
    <w:next w:val="Normal"/>
    <w:semiHidden/>
    <w:pPr>
      <w:numPr>
        <w:numId w:val="11"/>
      </w:numPr>
      <w:tabs>
        <w:tab w:val="clear" w:pos="1492"/>
        <w:tab w:val="num" w:pos="792"/>
      </w:tabs>
      <w:ind w:left="792" w:hanging="317"/>
    </w:p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TotalTime>
  <Pages>1</Pages>
  <Words>4033</Words>
  <Characters>27026</Characters>
  <Application>Microsoft Office Word</Application>
  <DocSecurity>4</DocSecurity>
  <Lines>711</Lines>
  <Paragraphs>62</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32268</CharactersWithSpaces>
  <SharedDoc>false</SharedDoc>
  <HLinks>
    <vt:vector size="6" baseType="variant">
      <vt:variant>
        <vt:i4>4522087</vt:i4>
      </vt:variant>
      <vt:variant>
        <vt:i4>64794</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 User</dc:creator>
  <cp:keywords/>
  <dc:description/>
  <cp:lastModifiedBy>DGAACS User</cp:lastModifiedBy>
  <cp:revision>3</cp:revision>
  <cp:lastPrinted>2002-12-06T13:40:00Z</cp:lastPrinted>
  <dcterms:created xsi:type="dcterms:W3CDTF">2002-12-06T13:38:00Z</dcterms:created>
  <dcterms:modified xsi:type="dcterms:W3CDTF">2002-12-06T13:42:00Z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0223483</vt:lpwstr>
  </property>
  <property fmtid="{D5CDD505-2E9C-101B-9397-08002B2CF9AE}" pid="3" name="Symbol1">
    <vt:lpwstr>CEDAW/C/SR.548</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9</vt:lpwstr>
  </property>
  <property fmtid="{D5CDD505-2E9C-101B-9397-08002B2CF9AE}" pid="8" name="Operator">
    <vt:lpwstr>Сергеенко</vt:lpwstr>
  </property>
</Properties>
</file>