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4A8" w:rsidRDefault="003A44A8" w:rsidP="003A44A8">
      <w:pPr>
        <w:spacing w:line="60" w:lineRule="exact"/>
        <w:rPr>
          <w:color w:val="010000"/>
          <w:sz w:val="6"/>
        </w:rPr>
        <w:sectPr w:rsidR="003A44A8" w:rsidSect="003A44A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D06A59" w:rsidRDefault="00D06A59" w:rsidP="00A86E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Шестьдесят девятая сессия</w:t>
      </w:r>
    </w:p>
    <w:p w:rsidR="00D06A59" w:rsidRPr="003072C0" w:rsidRDefault="00D06A59" w:rsidP="00A86E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Пункт </w:t>
      </w:r>
      <w:r w:rsidRPr="007841E5">
        <w:t>69(</w:t>
      </w:r>
      <w:r>
        <w:rPr>
          <w:lang w:val="en-US"/>
        </w:rPr>
        <w:t>a</w:t>
      </w:r>
      <w:r w:rsidRPr="007841E5">
        <w:t>)</w:t>
      </w:r>
      <w:r>
        <w:t xml:space="preserve"> предварительной повестки дня</w:t>
      </w:r>
      <w:r w:rsidR="003072C0" w:rsidRPr="003072C0">
        <w:rPr>
          <w:rStyle w:val="FootnoteReference"/>
        </w:rPr>
        <w:footnoteReference w:customMarkFollows="1" w:id="1"/>
        <w:t>**</w:t>
      </w:r>
    </w:p>
    <w:p w:rsidR="00D06A59" w:rsidRDefault="00D06A59" w:rsidP="00A86E2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Поощрение и защита прав человека</w:t>
      </w:r>
    </w:p>
    <w:p w:rsidR="00D06A59" w:rsidRPr="007841E5" w:rsidRDefault="00D06A59" w:rsidP="00A86E2A">
      <w:pPr>
        <w:pStyle w:val="SingleTxt"/>
        <w:spacing w:after="0" w:line="120" w:lineRule="exact"/>
        <w:rPr>
          <w:sz w:val="10"/>
        </w:rPr>
      </w:pPr>
    </w:p>
    <w:p w:rsidR="00D06A59" w:rsidRPr="007841E5" w:rsidRDefault="00D06A59" w:rsidP="00A86E2A">
      <w:pPr>
        <w:pStyle w:val="SingleTxt"/>
        <w:spacing w:after="0" w:line="120" w:lineRule="exact"/>
        <w:rPr>
          <w:sz w:val="10"/>
        </w:rPr>
      </w:pPr>
    </w:p>
    <w:p w:rsidR="00D06A59" w:rsidRPr="007841E5" w:rsidRDefault="00D06A59" w:rsidP="00A86E2A">
      <w:pPr>
        <w:pStyle w:val="SingleTxt"/>
        <w:spacing w:after="0" w:line="120" w:lineRule="exact"/>
        <w:rPr>
          <w:sz w:val="10"/>
        </w:rPr>
      </w:pPr>
    </w:p>
    <w:p w:rsidR="00D06A59" w:rsidRDefault="00D06A59" w:rsidP="00A86E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Осуществление документов по правам человека</w:t>
      </w:r>
    </w:p>
    <w:p w:rsidR="00D06A59" w:rsidRPr="007841E5" w:rsidRDefault="00D06A59" w:rsidP="00A86E2A">
      <w:pPr>
        <w:pStyle w:val="SingleTxt"/>
        <w:spacing w:after="0" w:line="120" w:lineRule="exact"/>
        <w:rPr>
          <w:sz w:val="10"/>
        </w:rPr>
      </w:pPr>
    </w:p>
    <w:p w:rsidR="00D06A59" w:rsidRPr="007841E5" w:rsidRDefault="00D06A59" w:rsidP="00A86E2A">
      <w:pPr>
        <w:pStyle w:val="SingleTxt"/>
        <w:spacing w:after="0" w:line="120" w:lineRule="exact"/>
        <w:rPr>
          <w:sz w:val="10"/>
        </w:rPr>
      </w:pPr>
    </w:p>
    <w:p w:rsidR="00D06A59" w:rsidRDefault="00D06A59" w:rsidP="00A86E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Записка Генерального секретаря</w:t>
      </w:r>
    </w:p>
    <w:p w:rsidR="00D06A59" w:rsidRPr="007841E5" w:rsidRDefault="00D06A59" w:rsidP="00A86E2A">
      <w:pPr>
        <w:pStyle w:val="SingleTxt"/>
        <w:spacing w:after="0" w:line="120" w:lineRule="exact"/>
        <w:rPr>
          <w:sz w:val="10"/>
        </w:rPr>
      </w:pPr>
    </w:p>
    <w:p w:rsidR="00D06A59" w:rsidRPr="007841E5" w:rsidRDefault="00D06A59" w:rsidP="00A86E2A">
      <w:pPr>
        <w:pStyle w:val="SingleTxt"/>
        <w:spacing w:after="0" w:line="120" w:lineRule="exact"/>
        <w:rPr>
          <w:sz w:val="10"/>
        </w:rPr>
      </w:pPr>
    </w:p>
    <w:tbl>
      <w:tblPr>
        <w:tblW w:w="9813" w:type="dxa"/>
        <w:tblBorders>
          <w:left w:val="single" w:sz="2" w:space="0" w:color="auto"/>
          <w:right w:val="single" w:sz="2" w:space="0" w:color="auto"/>
        </w:tblBorders>
        <w:tblLayout w:type="fixed"/>
        <w:tblCellMar>
          <w:left w:w="0" w:type="dxa"/>
          <w:right w:w="0" w:type="dxa"/>
        </w:tblCellMar>
        <w:tblLook w:val="0000"/>
      </w:tblPr>
      <w:tblGrid>
        <w:gridCol w:w="9813"/>
      </w:tblGrid>
      <w:tr w:rsidR="00D06A59" w:rsidTr="003072C0">
        <w:tblPrEx>
          <w:tblCellMar>
            <w:top w:w="0" w:type="dxa"/>
            <w:bottom w:w="0" w:type="dxa"/>
          </w:tblCellMar>
        </w:tblPrEx>
        <w:tc>
          <w:tcPr>
            <w:tcW w:w="9813" w:type="dxa"/>
            <w:tcBorders>
              <w:top w:val="single" w:sz="2" w:space="0" w:color="auto"/>
            </w:tcBorders>
            <w:shd w:val="clear" w:color="auto" w:fill="auto"/>
          </w:tcPr>
          <w:p w:rsidR="00D06A59" w:rsidRPr="007841E5" w:rsidRDefault="00D06A59" w:rsidP="00A86E2A">
            <w:pPr>
              <w:tabs>
                <w:tab w:val="left" w:pos="240"/>
              </w:tabs>
              <w:spacing w:before="240" w:after="120"/>
              <w:rPr>
                <w:i/>
                <w:sz w:val="24"/>
              </w:rPr>
            </w:pPr>
            <w:r>
              <w:rPr>
                <w:i/>
                <w:sz w:val="24"/>
              </w:rPr>
              <w:tab/>
              <w:t>Резюме</w:t>
            </w:r>
          </w:p>
        </w:tc>
      </w:tr>
      <w:tr w:rsidR="00D06A59" w:rsidTr="003072C0">
        <w:tblPrEx>
          <w:tblCellMar>
            <w:top w:w="0" w:type="dxa"/>
            <w:bottom w:w="0" w:type="dxa"/>
          </w:tblCellMar>
        </w:tblPrEx>
        <w:tc>
          <w:tcPr>
            <w:tcW w:w="9813" w:type="dxa"/>
            <w:shd w:val="clear" w:color="auto" w:fill="auto"/>
          </w:tcPr>
          <w:p w:rsidR="00D06A59" w:rsidRPr="007841E5" w:rsidRDefault="00D06A59" w:rsidP="00A86E2A">
            <w:pPr>
              <w:pStyle w:val="SingleTxt"/>
            </w:pPr>
            <w:r>
              <w:tab/>
              <w:t>В соответствии с резолюцией </w:t>
            </w:r>
            <w:hyperlink r:id="rId14" w:history="1">
              <w:r w:rsidRPr="004558A6">
                <w:rPr>
                  <w:rStyle w:val="Hyperlink"/>
                </w:rPr>
                <w:t>57/202</w:t>
              </w:r>
            </w:hyperlink>
            <w:r>
              <w:t xml:space="preserve"> Генеральной Ассамблеи Генерал</w:t>
            </w:r>
            <w:r>
              <w:t>ь</w:t>
            </w:r>
            <w:r>
              <w:t>ный секретарь имеет честь препроводить Ассамблее доклад председателей д</w:t>
            </w:r>
            <w:r>
              <w:t>о</w:t>
            </w:r>
            <w:r>
              <w:t>говорных органов по правам человека о работе их двадцать шестого совещ</w:t>
            </w:r>
            <w:r>
              <w:t>а</w:t>
            </w:r>
            <w:r>
              <w:t>ния, пр</w:t>
            </w:r>
            <w:r>
              <w:t>о</w:t>
            </w:r>
            <w:r>
              <w:t>веденного в Женеве 23–27 июня 2014 года.</w:t>
            </w:r>
          </w:p>
        </w:tc>
      </w:tr>
      <w:tr w:rsidR="00D06A59" w:rsidTr="003072C0">
        <w:tblPrEx>
          <w:tblCellMar>
            <w:top w:w="0" w:type="dxa"/>
            <w:bottom w:w="0" w:type="dxa"/>
          </w:tblCellMar>
        </w:tblPrEx>
        <w:tc>
          <w:tcPr>
            <w:tcW w:w="9813" w:type="dxa"/>
            <w:tcBorders>
              <w:bottom w:val="single" w:sz="2" w:space="0" w:color="auto"/>
            </w:tcBorders>
            <w:shd w:val="clear" w:color="auto" w:fill="auto"/>
          </w:tcPr>
          <w:p w:rsidR="00D06A59" w:rsidRPr="007841E5" w:rsidRDefault="00D06A59" w:rsidP="00A86E2A">
            <w:pPr>
              <w:pStyle w:val="SingleTxt"/>
            </w:pPr>
          </w:p>
        </w:tc>
      </w:tr>
    </w:tbl>
    <w:p w:rsidR="00D06A59" w:rsidRDefault="00D06A59" w:rsidP="00A86E2A">
      <w:pPr>
        <w:pStyle w:val="SingleTxt"/>
      </w:pPr>
    </w:p>
    <w:p w:rsidR="00D06A59" w:rsidRDefault="00D06A59" w:rsidP="00A86E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Доклад председателей договорных органов по правам человека о работе их двадцать шестого совещания</w:t>
      </w:r>
    </w:p>
    <w:p w:rsidR="00D06A59" w:rsidRPr="00365723" w:rsidRDefault="00D06A59" w:rsidP="00A86E2A">
      <w:pPr>
        <w:pStyle w:val="SingleTxt"/>
        <w:spacing w:after="0" w:line="120" w:lineRule="exact"/>
        <w:rPr>
          <w:sz w:val="10"/>
        </w:rPr>
      </w:pPr>
    </w:p>
    <w:p w:rsidR="00D06A59" w:rsidRPr="007841E5" w:rsidRDefault="00D06A59" w:rsidP="00A86E2A">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D06A59" w:rsidTr="00A86E2A">
        <w:tblPrEx>
          <w:tblCellMar>
            <w:top w:w="0" w:type="dxa"/>
            <w:bottom w:w="0" w:type="dxa"/>
          </w:tblCellMar>
        </w:tblPrEx>
        <w:tc>
          <w:tcPr>
            <w:tcW w:w="9922" w:type="dxa"/>
            <w:tcBorders>
              <w:top w:val="single" w:sz="2" w:space="0" w:color="auto"/>
            </w:tcBorders>
            <w:shd w:val="clear" w:color="auto" w:fill="auto"/>
          </w:tcPr>
          <w:p w:rsidR="00D06A59" w:rsidRPr="007841E5" w:rsidRDefault="00D06A59" w:rsidP="00A86E2A">
            <w:pPr>
              <w:tabs>
                <w:tab w:val="left" w:pos="240"/>
              </w:tabs>
              <w:spacing w:before="240" w:after="120"/>
              <w:rPr>
                <w:i/>
                <w:sz w:val="24"/>
              </w:rPr>
            </w:pPr>
            <w:r>
              <w:rPr>
                <w:i/>
                <w:sz w:val="24"/>
              </w:rPr>
              <w:tab/>
              <w:t>Резюме</w:t>
            </w:r>
          </w:p>
        </w:tc>
      </w:tr>
      <w:tr w:rsidR="00D06A59" w:rsidTr="00A86E2A">
        <w:tblPrEx>
          <w:tblCellMar>
            <w:top w:w="0" w:type="dxa"/>
            <w:bottom w:w="0" w:type="dxa"/>
          </w:tblCellMar>
        </w:tblPrEx>
        <w:tc>
          <w:tcPr>
            <w:tcW w:w="9922" w:type="dxa"/>
            <w:shd w:val="clear" w:color="auto" w:fill="auto"/>
          </w:tcPr>
          <w:p w:rsidR="00D06A59" w:rsidRPr="00365723" w:rsidRDefault="00D06A59" w:rsidP="00D06A59">
            <w:pPr>
              <w:pStyle w:val="SingleTxt"/>
            </w:pPr>
            <w:r>
              <w:tab/>
              <w:t>В резолюции </w:t>
            </w:r>
            <w:hyperlink r:id="rId15" w:history="1">
              <w:r w:rsidRPr="004558A6">
                <w:rPr>
                  <w:rStyle w:val="Hyperlink"/>
                </w:rPr>
                <w:t>57/202</w:t>
              </w:r>
            </w:hyperlink>
            <w:r>
              <w:t xml:space="preserve"> Генеральная Ассамблея просила Генерального секр</w:t>
            </w:r>
            <w:r>
              <w:t>е</w:t>
            </w:r>
            <w:r>
              <w:t>таря представлять ей доклады председателей договорных органов по правам ч</w:t>
            </w:r>
            <w:r>
              <w:t>е</w:t>
            </w:r>
            <w:r>
              <w:t>ловека об их периодических совещаниях. В настоящем документе содержится доклад о работе двадцать шестого совещания председателей договорных орг</w:t>
            </w:r>
            <w:r>
              <w:t>а</w:t>
            </w:r>
            <w:r>
              <w:t>нов по правам человека, которое было проведено в Женеве 23–27 июня 2014 года. В ходе этого совещания председателей, которое созывается ежегодно в соответствии с резолюцией </w:t>
            </w:r>
            <w:hyperlink r:id="rId16" w:history="1">
              <w:r w:rsidRPr="004558A6">
                <w:rPr>
                  <w:rStyle w:val="Hyperlink"/>
                </w:rPr>
                <w:t>49/178</w:t>
              </w:r>
            </w:hyperlink>
            <w:r>
              <w:t> Ассамблеи, был рассмотрен вопрос об осуществлении резолюции </w:t>
            </w:r>
            <w:hyperlink r:id="rId17" w:history="1">
              <w:r w:rsidRPr="004558A6">
                <w:rPr>
                  <w:rStyle w:val="Hyperlink"/>
                </w:rPr>
                <w:t>68/268</w:t>
              </w:r>
            </w:hyperlink>
            <w:r>
              <w:t xml:space="preserve"> Ассамблеи об укреплении и повышении э</w:t>
            </w:r>
            <w:r>
              <w:t>ф</w:t>
            </w:r>
            <w:r>
              <w:t>фективности функционирования системы договорных органов по правам чел</w:t>
            </w:r>
            <w:r>
              <w:t>о</w:t>
            </w:r>
            <w:r>
              <w:t>века, а также вопрос о</w:t>
            </w:r>
            <w:r w:rsidRPr="00D06A59">
              <w:t xml:space="preserve"> </w:t>
            </w:r>
            <w:r>
              <w:t>выполнении рекомендаций двадцать пятого совещания председателей. Решения и рекомендации, принятые председателями, приводя</w:t>
            </w:r>
            <w:r>
              <w:t>т</w:t>
            </w:r>
            <w:r>
              <w:t>ся в разделе </w:t>
            </w:r>
            <w:r>
              <w:rPr>
                <w:lang w:val="en-US"/>
              </w:rPr>
              <w:t>VII</w:t>
            </w:r>
            <w:r>
              <w:t xml:space="preserve"> настоящего доклада.</w:t>
            </w:r>
          </w:p>
        </w:tc>
      </w:tr>
      <w:tr w:rsidR="00D06A59" w:rsidTr="00A86E2A">
        <w:tblPrEx>
          <w:tblCellMar>
            <w:top w:w="0" w:type="dxa"/>
            <w:bottom w:w="0" w:type="dxa"/>
          </w:tblCellMar>
        </w:tblPrEx>
        <w:tc>
          <w:tcPr>
            <w:tcW w:w="9922" w:type="dxa"/>
            <w:tcBorders>
              <w:bottom w:val="single" w:sz="2" w:space="0" w:color="auto"/>
            </w:tcBorders>
            <w:shd w:val="clear" w:color="auto" w:fill="auto"/>
          </w:tcPr>
          <w:p w:rsidR="00D06A59" w:rsidRPr="007841E5" w:rsidRDefault="00D06A59" w:rsidP="00A86E2A">
            <w:pPr>
              <w:pStyle w:val="SingleTxt"/>
            </w:pPr>
          </w:p>
        </w:tc>
      </w:tr>
    </w:tbl>
    <w:p w:rsidR="00D06A59" w:rsidRDefault="00D06A59" w:rsidP="00A86E2A">
      <w:pPr>
        <w:pStyle w:val="SingleTxt"/>
      </w:pPr>
    </w:p>
    <w:p w:rsidR="00D06A59" w:rsidRPr="00D06A59" w:rsidRDefault="00D06A59" w:rsidP="00D06A59">
      <w:pPr>
        <w:pStyle w:val="HCh"/>
        <w:spacing w:after="120"/>
        <w:rPr>
          <w:b w:val="0"/>
        </w:rPr>
      </w:pPr>
      <w:r>
        <w:br w:type="page"/>
      </w:r>
      <w:r>
        <w:rPr>
          <w:b w:val="0"/>
        </w:rPr>
        <w:t>Содержание</w:t>
      </w:r>
    </w:p>
    <w:tbl>
      <w:tblPr>
        <w:tblW w:w="9830" w:type="dxa"/>
        <w:tblLayout w:type="fixed"/>
        <w:tblCellMar>
          <w:left w:w="0" w:type="dxa"/>
          <w:right w:w="0" w:type="dxa"/>
        </w:tblCellMar>
        <w:tblLook w:val="0000"/>
      </w:tblPr>
      <w:tblGrid>
        <w:gridCol w:w="1060"/>
        <w:gridCol w:w="7056"/>
        <w:gridCol w:w="994"/>
        <w:gridCol w:w="720"/>
      </w:tblGrid>
      <w:tr w:rsidR="00D06A59" w:rsidRPr="00D06A59" w:rsidTr="00D06A59">
        <w:tblPrEx>
          <w:tblCellMar>
            <w:top w:w="0" w:type="dxa"/>
            <w:bottom w:w="0" w:type="dxa"/>
          </w:tblCellMar>
        </w:tblPrEx>
        <w:tc>
          <w:tcPr>
            <w:tcW w:w="1060" w:type="dxa"/>
            <w:shd w:val="clear" w:color="auto" w:fill="auto"/>
          </w:tcPr>
          <w:p w:rsidR="00D06A59" w:rsidRPr="00D06A59" w:rsidRDefault="00D06A59" w:rsidP="00D06A59">
            <w:pPr>
              <w:spacing w:after="120" w:line="240" w:lineRule="auto"/>
              <w:jc w:val="right"/>
              <w:rPr>
                <w:i/>
                <w:sz w:val="14"/>
              </w:rPr>
            </w:pPr>
          </w:p>
        </w:tc>
        <w:tc>
          <w:tcPr>
            <w:tcW w:w="7056" w:type="dxa"/>
            <w:shd w:val="clear" w:color="auto" w:fill="auto"/>
          </w:tcPr>
          <w:p w:rsidR="00D06A59" w:rsidRPr="00D06A59" w:rsidRDefault="00D06A59" w:rsidP="00D06A59">
            <w:pPr>
              <w:spacing w:after="120" w:line="240" w:lineRule="auto"/>
              <w:rPr>
                <w:i/>
                <w:sz w:val="14"/>
              </w:rPr>
            </w:pPr>
          </w:p>
        </w:tc>
        <w:tc>
          <w:tcPr>
            <w:tcW w:w="994" w:type="dxa"/>
            <w:shd w:val="clear" w:color="auto" w:fill="auto"/>
          </w:tcPr>
          <w:p w:rsidR="00D06A59" w:rsidRPr="00D06A59" w:rsidRDefault="00D06A59" w:rsidP="00D06A59">
            <w:pPr>
              <w:spacing w:after="120" w:line="240" w:lineRule="auto"/>
              <w:ind w:right="40"/>
              <w:jc w:val="right"/>
              <w:rPr>
                <w:i/>
                <w:sz w:val="14"/>
              </w:rPr>
            </w:pPr>
          </w:p>
        </w:tc>
        <w:tc>
          <w:tcPr>
            <w:tcW w:w="720" w:type="dxa"/>
            <w:shd w:val="clear" w:color="auto" w:fill="auto"/>
          </w:tcPr>
          <w:p w:rsidR="00D06A59" w:rsidRPr="00D06A59" w:rsidRDefault="00D06A59" w:rsidP="00D06A59">
            <w:pPr>
              <w:spacing w:after="120" w:line="240" w:lineRule="auto"/>
              <w:ind w:right="40"/>
              <w:jc w:val="right"/>
              <w:rPr>
                <w:i/>
                <w:sz w:val="14"/>
              </w:rPr>
            </w:pPr>
            <w:r>
              <w:rPr>
                <w:i/>
                <w:sz w:val="14"/>
              </w:rPr>
              <w:t>Стр.</w:t>
            </w:r>
          </w:p>
        </w:tc>
      </w:tr>
      <w:tr w:rsidR="00D06A59" w:rsidRPr="00D06A59" w:rsidTr="00D06A59">
        <w:tblPrEx>
          <w:tblCellMar>
            <w:top w:w="0" w:type="dxa"/>
            <w:bottom w:w="0" w:type="dxa"/>
          </w:tblCellMar>
        </w:tblPrEx>
        <w:tc>
          <w:tcPr>
            <w:tcW w:w="9110" w:type="dxa"/>
            <w:gridSpan w:val="3"/>
            <w:shd w:val="clear" w:color="auto" w:fill="auto"/>
          </w:tcPr>
          <w:p w:rsidR="00D06A59" w:rsidRPr="00D06A59" w:rsidRDefault="00D06A59" w:rsidP="00D06A59">
            <w:pPr>
              <w:numPr>
                <w:ilvl w:val="0"/>
                <w:numId w:val="9"/>
              </w:numPr>
              <w:tabs>
                <w:tab w:val="right" w:pos="1080"/>
                <w:tab w:val="left" w:pos="1296"/>
                <w:tab w:val="left" w:pos="1728"/>
                <w:tab w:val="left" w:pos="2160"/>
                <w:tab w:val="right" w:leader="dot" w:pos="9245"/>
              </w:tabs>
              <w:suppressAutoHyphens/>
              <w:spacing w:after="120"/>
            </w:pPr>
            <w:r>
              <w:tab/>
              <w:t>Введение</w:t>
            </w:r>
            <w:r>
              <w:rPr>
                <w:spacing w:val="60"/>
                <w:sz w:val="17"/>
              </w:rPr>
              <w:tab/>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4</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0"/>
                <w:numId w:val="9"/>
              </w:numPr>
              <w:tabs>
                <w:tab w:val="right" w:pos="1080"/>
                <w:tab w:val="left" w:pos="1296"/>
                <w:tab w:val="left" w:pos="1728"/>
                <w:tab w:val="left" w:pos="2160"/>
                <w:tab w:val="left" w:pos="2592"/>
                <w:tab w:val="left" w:pos="3024"/>
                <w:tab w:val="left" w:pos="3456"/>
                <w:tab w:val="right" w:leader="dot" w:pos="9245"/>
              </w:tabs>
              <w:suppressAutoHyphens/>
              <w:spacing w:after="120"/>
            </w:pPr>
            <w:r>
              <w:tab/>
              <w:t>Организация совещания</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4</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tab/>
              <w:t>Последующие меры в связи с резолюцией </w:t>
            </w:r>
            <w:hyperlink r:id="rId18" w:history="1">
              <w:r w:rsidRPr="00E77142">
                <w:rPr>
                  <w:rStyle w:val="Hyperlink"/>
                </w:rPr>
                <w:t>68/268</w:t>
              </w:r>
            </w:hyperlink>
            <w:r>
              <w:t xml:space="preserve"> Генеральной Ассамблеи об укреплении и повышении эффективности функционирования системы договорных органов по правам человека и решениями двадцать пятого совещания председателей договорных органов о согласовании методов работы</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7</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t>Упрощенная процедура представления докладов</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9</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1"/>
                <w:numId w:val="9"/>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pPr>
            <w:r>
              <w:t>Конструктивный диалог</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12</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1"/>
                <w:numId w:val="9"/>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pPr>
            <w:r>
              <w:t>Заключительные замечания</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14</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0"/>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pPr>
            <w:r>
              <w:tab/>
              <w:t>Неофициальные консультации с государствами-участниками</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15</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0"/>
                <w:numId w:val="9"/>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pPr>
            <w:r>
              <w:rPr>
                <w:lang w:val="en-US"/>
              </w:rPr>
              <w:tab/>
            </w:r>
            <w:r>
              <w:t>Неофициальные консультации с представителями организаций гражданского общества и Международным координационным комитетом национальных правозащитных учреждений</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16</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0"/>
                <w:numId w:val="9"/>
              </w:numPr>
              <w:tabs>
                <w:tab w:val="right" w:pos="1080"/>
                <w:tab w:val="left" w:pos="1296"/>
                <w:tab w:val="left" w:pos="1728"/>
                <w:tab w:val="left" w:pos="2160"/>
                <w:tab w:val="left" w:pos="2592"/>
                <w:tab w:val="right" w:leader="dot" w:pos="9245"/>
              </w:tabs>
              <w:suppressAutoHyphens/>
              <w:spacing w:after="120"/>
              <w:rPr>
                <w:lang w:val="en-US"/>
              </w:rPr>
            </w:pPr>
            <w:r>
              <w:rPr>
                <w:lang w:val="en-US"/>
              </w:rPr>
              <w:tab/>
            </w:r>
            <w:r>
              <w:t>Прочие вопросы</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18</w:t>
            </w:r>
          </w:p>
        </w:tc>
      </w:tr>
      <w:tr w:rsidR="00D06A59" w:rsidRPr="00D06A59" w:rsidTr="00D06A59">
        <w:tblPrEx>
          <w:tblCellMar>
            <w:top w:w="0" w:type="dxa"/>
            <w:bottom w:w="0" w:type="dxa"/>
          </w:tblCellMar>
        </w:tblPrEx>
        <w:tc>
          <w:tcPr>
            <w:tcW w:w="9110" w:type="dxa"/>
            <w:gridSpan w:val="3"/>
            <w:shd w:val="clear" w:color="auto" w:fill="auto"/>
          </w:tcPr>
          <w:p w:rsidR="00D06A59" w:rsidRPr="00D06A59" w:rsidRDefault="00D06A59" w:rsidP="00D06A59">
            <w:pPr>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t>Репрессии против лиц и групп, взаимодействующих или стремящихся взаимодействовать с договорными органами</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18</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1"/>
                <w:numId w:val="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t>Совещание с Сектором по универсальному периодическому обзору Управления Верховного комиссара Организации Объединенных Наций по правам человека</w:t>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18</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numPr>
                <w:ilvl w:val="0"/>
                <w:numId w:val="9"/>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tab/>
              <w:t>Выводы, решения и рекомендации</w:t>
            </w:r>
            <w:r>
              <w:rPr>
                <w:spacing w:val="60"/>
                <w:sz w:val="17"/>
              </w:rPr>
              <w:tab/>
            </w:r>
          </w:p>
        </w:tc>
        <w:tc>
          <w:tcPr>
            <w:tcW w:w="720" w:type="dxa"/>
            <w:shd w:val="clear" w:color="auto" w:fill="auto"/>
            <w:vAlign w:val="bottom"/>
          </w:tcPr>
          <w:p w:rsidR="00D06A59" w:rsidRPr="004558A6" w:rsidRDefault="004558A6" w:rsidP="00D06A59">
            <w:pPr>
              <w:spacing w:after="120"/>
              <w:ind w:right="40"/>
              <w:jc w:val="right"/>
              <w:rPr>
                <w:lang w:val="en-US"/>
              </w:rPr>
            </w:pPr>
            <w:r>
              <w:rPr>
                <w:lang w:val="en-US"/>
              </w:rPr>
              <w:t>19</w:t>
            </w:r>
          </w:p>
        </w:tc>
      </w:tr>
      <w:tr w:rsidR="00D06A59" w:rsidRPr="00D06A59" w:rsidTr="00D06A59">
        <w:tblPrEx>
          <w:tblCellMar>
            <w:top w:w="0" w:type="dxa"/>
            <w:bottom w:w="0" w:type="dxa"/>
          </w:tblCellMar>
        </w:tblPrEx>
        <w:tc>
          <w:tcPr>
            <w:tcW w:w="9110" w:type="dxa"/>
            <w:gridSpan w:val="3"/>
            <w:shd w:val="clear" w:color="auto" w:fill="auto"/>
          </w:tcPr>
          <w:p w:rsidR="00D06A59" w:rsidRDefault="00D06A59" w:rsidP="00D06A59">
            <w:pPr>
              <w:tabs>
                <w:tab w:val="right" w:pos="1080"/>
                <w:tab w:val="left" w:pos="1296"/>
                <w:tab w:val="left" w:pos="1728"/>
                <w:tab w:val="left" w:pos="2160"/>
                <w:tab w:val="left" w:pos="2592"/>
                <w:tab w:val="left" w:pos="3024"/>
                <w:tab w:val="left" w:pos="3456"/>
                <w:tab w:val="left" w:pos="3888"/>
                <w:tab w:val="left" w:pos="4320"/>
              </w:tabs>
              <w:suppressAutoHyphens/>
              <w:spacing w:after="120"/>
            </w:pPr>
            <w:r>
              <w:t>Приложения</w:t>
            </w:r>
          </w:p>
        </w:tc>
        <w:tc>
          <w:tcPr>
            <w:tcW w:w="720" w:type="dxa"/>
            <w:shd w:val="clear" w:color="auto" w:fill="auto"/>
            <w:vAlign w:val="bottom"/>
          </w:tcPr>
          <w:p w:rsidR="00D06A59" w:rsidRPr="00D06A59" w:rsidRDefault="00D06A59" w:rsidP="00D06A59">
            <w:pPr>
              <w:spacing w:after="120"/>
              <w:ind w:right="40"/>
              <w:jc w:val="right"/>
            </w:pPr>
          </w:p>
        </w:tc>
      </w:tr>
      <w:tr w:rsidR="00D06A59" w:rsidRPr="00D06A59" w:rsidTr="00D06A59">
        <w:tblPrEx>
          <w:tblCellMar>
            <w:top w:w="0" w:type="dxa"/>
            <w:bottom w:w="0" w:type="dxa"/>
          </w:tblCellMar>
        </w:tblPrEx>
        <w:tc>
          <w:tcPr>
            <w:tcW w:w="9110" w:type="dxa"/>
            <w:gridSpan w:val="3"/>
            <w:shd w:val="clear" w:color="auto" w:fill="auto"/>
          </w:tcPr>
          <w:p w:rsidR="00D06A59" w:rsidRPr="00D06A59" w:rsidRDefault="00D06A59" w:rsidP="00D06A5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ind w:left="1296" w:hanging="1296"/>
              <w:rPr>
                <w:spacing w:val="60"/>
                <w:sz w:val="17"/>
              </w:rPr>
            </w:pPr>
            <w:r>
              <w:tab/>
            </w:r>
            <w:r w:rsidR="00A262B5">
              <w:rPr>
                <w:lang w:val="en-US"/>
              </w:rPr>
              <w:t>I</w:t>
            </w:r>
            <w:r w:rsidR="00A262B5" w:rsidRPr="00A262B5">
              <w:t>.</w:t>
            </w:r>
            <w:r w:rsidRPr="00A262B5">
              <w:tab/>
            </w:r>
            <w:r>
              <w:t>Инструкция для государств-участников по</w:t>
            </w:r>
            <w:r w:rsidRPr="00D06A59">
              <w:t xml:space="preserve"> </w:t>
            </w:r>
            <w:r>
              <w:t>вопросу о</w:t>
            </w:r>
            <w:r w:rsidRPr="00D06A59">
              <w:t xml:space="preserve"> </w:t>
            </w:r>
            <w:r>
              <w:t>конструктивном диалоге с договорными органами по правам человека</w:t>
            </w:r>
            <w:r>
              <w:rPr>
                <w:spacing w:val="60"/>
                <w:sz w:val="17"/>
              </w:rPr>
              <w:tab/>
            </w:r>
          </w:p>
        </w:tc>
        <w:tc>
          <w:tcPr>
            <w:tcW w:w="720" w:type="dxa"/>
            <w:shd w:val="clear" w:color="auto" w:fill="auto"/>
            <w:vAlign w:val="bottom"/>
          </w:tcPr>
          <w:p w:rsidR="00D06A59" w:rsidRPr="00D06A59" w:rsidRDefault="004558A6" w:rsidP="00D06A59">
            <w:pPr>
              <w:spacing w:after="120"/>
              <w:ind w:right="40"/>
              <w:jc w:val="right"/>
              <w:rPr>
                <w:lang w:val="en-US"/>
              </w:rPr>
            </w:pPr>
            <w:r>
              <w:rPr>
                <w:lang w:val="en-US"/>
              </w:rPr>
              <w:t>27</w:t>
            </w:r>
          </w:p>
        </w:tc>
      </w:tr>
      <w:tr w:rsidR="00D06A59" w:rsidRPr="00D06A59" w:rsidTr="00D06A59">
        <w:tblPrEx>
          <w:tblCellMar>
            <w:top w:w="0" w:type="dxa"/>
            <w:bottom w:w="0" w:type="dxa"/>
          </w:tblCellMar>
        </w:tblPrEx>
        <w:tc>
          <w:tcPr>
            <w:tcW w:w="9110" w:type="dxa"/>
            <w:gridSpan w:val="3"/>
            <w:shd w:val="clear" w:color="auto" w:fill="auto"/>
          </w:tcPr>
          <w:p w:rsidR="00D06A59" w:rsidRPr="00D06A59" w:rsidRDefault="00D06A59" w:rsidP="00D06A59">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ind w:left="1296" w:hanging="1296"/>
              <w:rPr>
                <w:spacing w:val="60"/>
                <w:sz w:val="17"/>
              </w:rPr>
            </w:pPr>
            <w:r w:rsidRPr="003072C0">
              <w:tab/>
            </w:r>
            <w:r w:rsidR="00A262B5">
              <w:rPr>
                <w:lang w:val="en-US"/>
              </w:rPr>
              <w:t>II</w:t>
            </w:r>
            <w:r w:rsidR="00A262B5" w:rsidRPr="003072C0">
              <w:t>.</w:t>
            </w:r>
            <w:r w:rsidRPr="003072C0">
              <w:tab/>
            </w:r>
            <w:r>
              <w:t>Рамки для заключительных замечаний</w:t>
            </w:r>
            <w:r>
              <w:rPr>
                <w:spacing w:val="60"/>
                <w:sz w:val="17"/>
              </w:rPr>
              <w:tab/>
            </w:r>
          </w:p>
        </w:tc>
        <w:tc>
          <w:tcPr>
            <w:tcW w:w="720" w:type="dxa"/>
            <w:shd w:val="clear" w:color="auto" w:fill="auto"/>
            <w:vAlign w:val="bottom"/>
          </w:tcPr>
          <w:p w:rsidR="00D06A59" w:rsidRPr="00D06A59" w:rsidRDefault="004558A6" w:rsidP="00D06A59">
            <w:pPr>
              <w:spacing w:after="120"/>
              <w:ind w:right="40"/>
              <w:jc w:val="right"/>
              <w:rPr>
                <w:lang w:val="en-US"/>
              </w:rPr>
            </w:pPr>
            <w:r>
              <w:rPr>
                <w:lang w:val="en-US"/>
              </w:rPr>
              <w:t>31</w:t>
            </w:r>
          </w:p>
        </w:tc>
      </w:tr>
    </w:tbl>
    <w:p w:rsidR="003A26A0" w:rsidRDefault="003A26A0" w:rsidP="00D06A59"/>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Pr>
          <w:lang w:val="en-US"/>
        </w:rPr>
        <w:tab/>
        <w:t>I.</w:t>
      </w:r>
      <w:r>
        <w:rPr>
          <w:lang w:val="en-US"/>
        </w:rPr>
        <w:tab/>
      </w:r>
      <w:r>
        <w:t>Введение</w:t>
      </w:r>
    </w:p>
    <w:p w:rsidR="003A26A0" w:rsidRPr="001F4143" w:rsidRDefault="003A26A0" w:rsidP="00EA465F">
      <w:pPr>
        <w:pStyle w:val="SingleTxt"/>
        <w:spacing w:after="0" w:line="120" w:lineRule="exact"/>
        <w:rPr>
          <w:sz w:val="10"/>
        </w:rPr>
      </w:pPr>
    </w:p>
    <w:p w:rsidR="003A26A0" w:rsidRPr="001F4143" w:rsidRDefault="003A26A0" w:rsidP="00EA465F">
      <w:pPr>
        <w:pStyle w:val="SingleTxt"/>
        <w:spacing w:after="0" w:line="120" w:lineRule="exact"/>
        <w:rPr>
          <w:sz w:val="10"/>
        </w:rPr>
      </w:pPr>
    </w:p>
    <w:p w:rsidR="003A26A0" w:rsidRDefault="003A26A0" w:rsidP="00EA465F">
      <w:pPr>
        <w:pStyle w:val="SingleTxt"/>
      </w:pPr>
      <w:r>
        <w:t>1.</w:t>
      </w:r>
      <w:r>
        <w:tab/>
        <w:t>Двадцать шестое совещание председателей договорных органов по пр</w:t>
      </w:r>
      <w:r>
        <w:t>а</w:t>
      </w:r>
      <w:r>
        <w:t>вам человека было проведено в Женеве 23–27 июня 2014 года. В соответствии с революцией </w:t>
      </w:r>
      <w:hyperlink r:id="rId19" w:history="1">
        <w:r w:rsidRPr="004E3810">
          <w:rPr>
            <w:rStyle w:val="Hyperlink"/>
          </w:rPr>
          <w:t>49/178</w:t>
        </w:r>
      </w:hyperlink>
      <w:r>
        <w:t xml:space="preserve"> Генеральной Ассамблеи такие совещания проводятся ежегодно.</w:t>
      </w:r>
    </w:p>
    <w:p w:rsidR="003A26A0" w:rsidRPr="001F4143" w:rsidRDefault="003A26A0" w:rsidP="00EA465F">
      <w:pPr>
        <w:pStyle w:val="SingleTxt"/>
        <w:spacing w:after="0" w:line="120" w:lineRule="exact"/>
        <w:rPr>
          <w:sz w:val="10"/>
        </w:rPr>
      </w:pPr>
    </w:p>
    <w:p w:rsidR="003A26A0" w:rsidRPr="001F4143" w:rsidRDefault="003A26A0" w:rsidP="00EA465F">
      <w:pPr>
        <w:pStyle w:val="SingleTxt"/>
        <w:spacing w:after="0" w:line="120" w:lineRule="exact"/>
        <w:rPr>
          <w:sz w:val="10"/>
        </w:rPr>
      </w:pP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II.</w:t>
      </w:r>
      <w:r>
        <w:rPr>
          <w:lang w:val="en-US"/>
        </w:rPr>
        <w:tab/>
      </w:r>
      <w:r>
        <w:t>Организация совещания</w:t>
      </w:r>
    </w:p>
    <w:p w:rsidR="003A26A0" w:rsidRPr="001F4143" w:rsidRDefault="003A26A0" w:rsidP="00EA465F">
      <w:pPr>
        <w:pStyle w:val="SingleTxt"/>
        <w:spacing w:after="0" w:line="120" w:lineRule="exact"/>
        <w:rPr>
          <w:sz w:val="10"/>
        </w:rPr>
      </w:pPr>
    </w:p>
    <w:p w:rsidR="003A26A0" w:rsidRPr="001F4143" w:rsidRDefault="003A26A0" w:rsidP="00EA465F">
      <w:pPr>
        <w:pStyle w:val="SingleTxt"/>
        <w:spacing w:after="0" w:line="120" w:lineRule="exact"/>
        <w:rPr>
          <w:sz w:val="10"/>
        </w:rPr>
      </w:pPr>
    </w:p>
    <w:p w:rsidR="003A26A0" w:rsidRDefault="003A26A0" w:rsidP="00EA465F">
      <w:pPr>
        <w:pStyle w:val="SingleTxt"/>
      </w:pPr>
      <w:r>
        <w:t>2.</w:t>
      </w:r>
      <w:r>
        <w:tab/>
        <w:t>На совещании присутствовали председатели следующих говорных орг</w:t>
      </w:r>
      <w:r>
        <w:t>а</w:t>
      </w:r>
      <w:r>
        <w:t>нов: Комитета по ликвидации расовой дискриминации (Хосе Франсиско Кали Цай); Комитета по экономическим, социальным и культурным правам (Здз</w:t>
      </w:r>
      <w:r>
        <w:t>и</w:t>
      </w:r>
      <w:r>
        <w:t>слав Кедзия); Комитета по правам человека (сэр Найджел Родли); Комитета по ликвидации дискриминации в отношении женщин (Николь Эмелин); К</w:t>
      </w:r>
      <w:r>
        <w:t>о</w:t>
      </w:r>
      <w:r>
        <w:t>митета по правам ребенка (Кирстен Сандберг); Комитета по защите прав всех труд</w:t>
      </w:r>
      <w:r>
        <w:t>я</w:t>
      </w:r>
      <w:r>
        <w:t>щихся мигрантов и членов их семей (Франсиско Каррион Мена); Комитета по предупреждению пыток и других жестоких, бесчеловечных или унижающих достоинство видов обращения и наказания (Малколм Эванс); Комитета по пр</w:t>
      </w:r>
      <w:r>
        <w:t>а</w:t>
      </w:r>
      <w:r>
        <w:t>вам инвалидов (Мария Соледад Систернас Рейес); Комитета по насильстве</w:t>
      </w:r>
      <w:r>
        <w:t>н</w:t>
      </w:r>
      <w:r>
        <w:t>ным исчезновениям (Эммануэль Деко). Комитет против пыток был пре</w:t>
      </w:r>
      <w:r>
        <w:t>д</w:t>
      </w:r>
      <w:r>
        <w:t>ставлен его заместителем Председателя (Филис Гаер).</w:t>
      </w:r>
    </w:p>
    <w:p w:rsidR="003A26A0" w:rsidRDefault="003A26A0" w:rsidP="00EA465F">
      <w:pPr>
        <w:pStyle w:val="SingleTxt"/>
      </w:pPr>
      <w:r>
        <w:t>3.</w:t>
      </w:r>
      <w:r>
        <w:tab/>
        <w:t>Директор Отдела по договорам в области прав человека Управления Ве</w:t>
      </w:r>
      <w:r>
        <w:t>р</w:t>
      </w:r>
      <w:r>
        <w:t>ховного комиссара по правам человека Ибрагим Салама открыл совещание и поприветствовал председателей. Он перешел к выбору должностных лиц и с</w:t>
      </w:r>
      <w:r>
        <w:t>о</w:t>
      </w:r>
      <w:r>
        <w:t>слался на представленный Секретариатом список бывших председателей и в</w:t>
      </w:r>
      <w:r>
        <w:t>и</w:t>
      </w:r>
      <w:r>
        <w:t>це-председателей ежегодных совещаний. На основе принципа ротации Предс</w:t>
      </w:r>
      <w:r>
        <w:t>е</w:t>
      </w:r>
      <w:r>
        <w:t>датель Подкомитета по предупреждению пыток и других жестоких, бесчел</w:t>
      </w:r>
      <w:r>
        <w:t>о</w:t>
      </w:r>
      <w:r>
        <w:t>вечных или унижающих достоинство видов обращения и наказания Малколм Эванс был избран Председателем-Докладчиком двадцать шестого совещания, а заместителем Председателя путем аккламации был избран Председатель Ком</w:t>
      </w:r>
      <w:r>
        <w:t>и</w:t>
      </w:r>
      <w:r>
        <w:t>тета по насильственным исчезновениям Эммануэль Деко.</w:t>
      </w:r>
    </w:p>
    <w:p w:rsidR="003A26A0" w:rsidRDefault="003A26A0" w:rsidP="00EA465F">
      <w:pPr>
        <w:pStyle w:val="SingleTxt"/>
      </w:pPr>
      <w:r>
        <w:t>4.</w:t>
      </w:r>
      <w:r>
        <w:tab/>
        <w:t>Председатель двадцать шестого совещания сообщил участникам о том, что Верховный комиссар Организации Объединенных Наций по правам чел</w:t>
      </w:r>
      <w:r>
        <w:t>о</w:t>
      </w:r>
      <w:r>
        <w:t>века, к сожалению, не имела возможности обратиться к председателям лично. Вместе с тем Председатель предложил участникам посмотреть видеообращ</w:t>
      </w:r>
      <w:r>
        <w:t>е</w:t>
      </w:r>
      <w:r>
        <w:t>ние Верховного к</w:t>
      </w:r>
      <w:r>
        <w:t>о</w:t>
      </w:r>
      <w:r>
        <w:t>миссара.</w:t>
      </w:r>
    </w:p>
    <w:p w:rsidR="003A26A0" w:rsidRDefault="003A26A0" w:rsidP="00EA465F">
      <w:pPr>
        <w:pStyle w:val="SingleTxt"/>
      </w:pPr>
      <w:r>
        <w:t>5.</w:t>
      </w:r>
      <w:r>
        <w:tab/>
        <w:t>В своем видеообращении Верховный комиссар поздравила председателей с тем, что в ходе межправительственного процесса укрепления договорных о</w:t>
      </w:r>
      <w:r>
        <w:t>р</w:t>
      </w:r>
      <w:r>
        <w:t>ганов им удалось создать систему договорных органов. Она приветствовала естественный альянс между договорными органами и ее управлением, которым совместными усилиями удалось добиться, казалось бы, невозможного и с</w:t>
      </w:r>
      <w:r>
        <w:t>о</w:t>
      </w:r>
      <w:r>
        <w:t>вершить первую успешную попытку укрепления договорных органов по пр</w:t>
      </w:r>
      <w:r>
        <w:t>а</w:t>
      </w:r>
      <w:r>
        <w:t>вам человека за 40 лет в интересах обладателей прав, и отметила, что она сч</w:t>
      </w:r>
      <w:r>
        <w:t>и</w:t>
      </w:r>
      <w:r>
        <w:t>тает укрепление договорных органов одним из важнейших д</w:t>
      </w:r>
      <w:r>
        <w:t>о</w:t>
      </w:r>
      <w:r>
        <w:t>стижений за весь срок ее пребывания в должности. Верховный комиссар подчеркнула, что дог</w:t>
      </w:r>
      <w:r>
        <w:t>о</w:t>
      </w:r>
      <w:r>
        <w:t>ворные органы и Управление являются различными и независимыми участн</w:t>
      </w:r>
      <w:r>
        <w:t>и</w:t>
      </w:r>
      <w:r>
        <w:t>ками деятельности. Генеральная Ассамблея четко указала на этот аспект в р</w:t>
      </w:r>
      <w:r>
        <w:t>е</w:t>
      </w:r>
      <w:r>
        <w:t>золюции </w:t>
      </w:r>
      <w:hyperlink r:id="rId20" w:history="1">
        <w:r w:rsidRPr="004E3810">
          <w:rPr>
            <w:rStyle w:val="Hyperlink"/>
          </w:rPr>
          <w:t>68/268</w:t>
        </w:r>
      </w:hyperlink>
      <w:r>
        <w:t>, возложив одни функции на договорные органы и другие — на УВКПЧ. Верховный комиссар подчеркнула, что договорные органы и Управл</w:t>
      </w:r>
      <w:r>
        <w:t>е</w:t>
      </w:r>
      <w:r>
        <w:t>ние имеют схожие интересы, но должны играть различную роль, причем Ген</w:t>
      </w:r>
      <w:r>
        <w:t>е</w:t>
      </w:r>
      <w:r>
        <w:t>ральный секретарь по отдельности рассматривает их работу в своем докладе Ассамблее, представляемом раз в два года. В этой связи Верховный комиссар предложила председателям и далее играть лидирующую роль и принять в ра</w:t>
      </w:r>
      <w:r>
        <w:t>м</w:t>
      </w:r>
      <w:r>
        <w:t>ках повестки дня двадцать шестого совещания выводы по вопросу о согласов</w:t>
      </w:r>
      <w:r>
        <w:t>а</w:t>
      </w:r>
      <w:r>
        <w:t>нии методов работы для всех договорных органов, кроме тех комитетов, кот</w:t>
      </w:r>
      <w:r>
        <w:t>о</w:t>
      </w:r>
      <w:r>
        <w:t>рые  впоследствии могут решить не поддерживать итоговый д</w:t>
      </w:r>
      <w:r>
        <w:t>о</w:t>
      </w:r>
      <w:r>
        <w:t>кумент.</w:t>
      </w:r>
    </w:p>
    <w:p w:rsidR="003A26A0" w:rsidRDefault="003A26A0" w:rsidP="00EA465F">
      <w:pPr>
        <w:pStyle w:val="SingleTxt"/>
      </w:pPr>
      <w:r>
        <w:t>6.</w:t>
      </w:r>
      <w:r>
        <w:tab/>
        <w:t>В полном тексте заявления Верховного комиссара также указывалось, что за время ее пребывания в должности были налажены весьма конструктивные отношения между членами договорных органов и сотрудниками ее Управл</w:t>
      </w:r>
      <w:r>
        <w:t>е</w:t>
      </w:r>
      <w:r>
        <w:t>ния, которые совместными усилиями добивались цели обеспечения соблюд</w:t>
      </w:r>
      <w:r>
        <w:t>е</w:t>
      </w:r>
      <w:r>
        <w:t>ния прав человека для всех. Верховный комиссар призвала председателей и д</w:t>
      </w:r>
      <w:r>
        <w:t>а</w:t>
      </w:r>
      <w:r>
        <w:t>лее уделять особое внимание необходимости укрепления этого широкого и конструктивного партнерства с учетом того, что имели место отдельные инц</w:t>
      </w:r>
      <w:r>
        <w:t>и</w:t>
      </w:r>
      <w:r>
        <w:t>денты, когда сотрудники Управления подвергались невежливому и неуваж</w:t>
      </w:r>
      <w:r>
        <w:t>и</w:t>
      </w:r>
      <w:r>
        <w:t>тельному отношению.</w:t>
      </w:r>
    </w:p>
    <w:p w:rsidR="003A26A0" w:rsidRDefault="003A26A0" w:rsidP="00EA465F">
      <w:pPr>
        <w:pStyle w:val="SingleTxt"/>
      </w:pPr>
      <w:r>
        <w:t>7.</w:t>
      </w:r>
      <w:r>
        <w:tab/>
        <w:t>Председатель поблагодарил Верховного комиссара за то, что в течение двух сроков ее пребывания в должности подряд она решительно поддерживала работу договорных органов. После этого он выразил признательность покид</w:t>
      </w:r>
      <w:r>
        <w:t>а</w:t>
      </w:r>
      <w:r>
        <w:t>ющему свой пост Председателю двадцать пятого совещания Клаудио Гроссм</w:t>
      </w:r>
      <w:r>
        <w:t>а</w:t>
      </w:r>
      <w:r>
        <w:t>ну за прекрасное руководство и активную деятельность, а также за электро</w:t>
      </w:r>
      <w:r>
        <w:t>н</w:t>
      </w:r>
      <w:r>
        <w:t>ное послание, которое он направил участникам двадцать шестого совещания.</w:t>
      </w:r>
    </w:p>
    <w:p w:rsidR="003A26A0" w:rsidRDefault="003A26A0" w:rsidP="00EA465F">
      <w:pPr>
        <w:pStyle w:val="SingleTxt"/>
      </w:pPr>
      <w:r>
        <w:t>8.</w:t>
      </w:r>
      <w:r>
        <w:tab/>
        <w:t>В своем послании г</w:t>
      </w:r>
      <w:r>
        <w:noBreakHyphen/>
        <w:t>н Гроссман подчеркнул, что двадцать шестое совещ</w:t>
      </w:r>
      <w:r>
        <w:t>а</w:t>
      </w:r>
      <w:r>
        <w:t>ние председателей имеет особое значение по трем причинам. Во</w:t>
      </w:r>
      <w:r>
        <w:noBreakHyphen/>
        <w:t>первых, оно проходит в конце года, в течение которого система договорных органов впе</w:t>
      </w:r>
      <w:r>
        <w:t>р</w:t>
      </w:r>
      <w:r>
        <w:t>вые зарекомендовала себя участником международной деятельности. Во</w:t>
      </w:r>
      <w:r>
        <w:noBreakHyphen/>
        <w:t>вторых, это совещание позволит проверить способность председателей с</w:t>
      </w:r>
      <w:r>
        <w:t>о</w:t>
      </w:r>
      <w:r>
        <w:t>хранять это чувство единства. В</w:t>
      </w:r>
      <w:r>
        <w:noBreakHyphen/>
        <w:t>третьих, это совещание покажет, насколько отдельные председатели эффективно руководят работой своих собственных комитетов. Г</w:t>
      </w:r>
      <w:r>
        <w:noBreakHyphen/>
        <w:t>н Гроссман напомнил, что в ходе двадцать пятого совещания председатели сформулировали пять принципов, которые непосредственно п</w:t>
      </w:r>
      <w:r>
        <w:t>о</w:t>
      </w:r>
      <w:r>
        <w:t>влияли на процесс укрепления договорных органов и его итоги. Он подчер</w:t>
      </w:r>
      <w:r>
        <w:t>к</w:t>
      </w:r>
      <w:r>
        <w:t>нул, что председатели, выработав совместную позицию в Вашингтоне в январе 2014 года, сразу же после последнего раунда межправительственных перегов</w:t>
      </w:r>
      <w:r>
        <w:t>о</w:t>
      </w:r>
      <w:r>
        <w:t>ров, оказали широкое и конструктивное влияние на процесс укрепления дог</w:t>
      </w:r>
      <w:r>
        <w:t>о</w:t>
      </w:r>
      <w:r>
        <w:t>ворных органов. В своем послании г</w:t>
      </w:r>
      <w:r>
        <w:noBreakHyphen/>
        <w:t>н Гроссман призвал своих коллег сохр</w:t>
      </w:r>
      <w:r>
        <w:t>а</w:t>
      </w:r>
      <w:r>
        <w:t>нить авторитет и позиции договорных органов, которых им удалось добиться невзирая на многочисленные трудности. Он заявил, что сейчас председатели должны воспользоваться той возможностью, которая открывается благодаря согласованию методов работы договорных органов, не только в связи с тем, что это предусматривается мандатом ежегодного совещания председателей, но и в связи с тем, что это позволит обеспечить доступность, эффективность и пре</w:t>
      </w:r>
      <w:r>
        <w:t>д</w:t>
      </w:r>
      <w:r>
        <w:t>сказуемость деятельности и защиты прав человека для всех без дискримин</w:t>
      </w:r>
      <w:r>
        <w:t>а</w:t>
      </w:r>
      <w:r>
        <w:t xml:space="preserve">ции. </w:t>
      </w:r>
    </w:p>
    <w:p w:rsidR="003A26A0" w:rsidRDefault="003A26A0" w:rsidP="00EA465F">
      <w:pPr>
        <w:pStyle w:val="SingleTxt"/>
      </w:pPr>
      <w:r>
        <w:t>9.</w:t>
      </w:r>
      <w:r>
        <w:tab/>
        <w:t xml:space="preserve">Председатель двадцать шестого совещания представил предварительную аннотированную повестку дня </w:t>
      </w:r>
      <w:r w:rsidRPr="00832E58">
        <w:t>(</w:t>
      </w:r>
      <w:hyperlink r:id="rId21" w:history="1">
        <w:r w:rsidRPr="00832E58">
          <w:rPr>
            <w:rStyle w:val="Hyperlink"/>
            <w:lang w:val="en-GB"/>
          </w:rPr>
          <w:t>HRI</w:t>
        </w:r>
        <w:r w:rsidRPr="00832E58">
          <w:rPr>
            <w:rStyle w:val="Hyperlink"/>
          </w:rPr>
          <w:t>/</w:t>
        </w:r>
        <w:r w:rsidRPr="00832E58">
          <w:rPr>
            <w:rStyle w:val="Hyperlink"/>
            <w:lang w:val="en-GB"/>
          </w:rPr>
          <w:t>MC</w:t>
        </w:r>
        <w:r w:rsidRPr="00832E58">
          <w:rPr>
            <w:rStyle w:val="Hyperlink"/>
          </w:rPr>
          <w:t>/2014/1</w:t>
        </w:r>
      </w:hyperlink>
      <w:r>
        <w:t>) и предварительную программу работы. Он напомнил, что мандат ежегодного совещания председателей пред</w:t>
      </w:r>
      <w:r>
        <w:t>у</w:t>
      </w:r>
      <w:r>
        <w:t>сматривает упорядочение, рационализацию и согласование методов работы и правил процедуры договорных органов. На своем двадцать пятом совещании председатели приняли решение включить в повестку дня двадцать шестого с</w:t>
      </w:r>
      <w:r>
        <w:t>о</w:t>
      </w:r>
      <w:r>
        <w:t>вещания председателей вопросы возможного согласования методологий ко</w:t>
      </w:r>
      <w:r>
        <w:t>н</w:t>
      </w:r>
      <w:r>
        <w:t>структивного диалога с государствами-участниками и возможность изыскания единого формата для принятия заключительных замечаний. Кроме того, в рез</w:t>
      </w:r>
      <w:r>
        <w:t>о</w:t>
      </w:r>
      <w:r>
        <w:t>люции </w:t>
      </w:r>
      <w:hyperlink r:id="rId22" w:history="1">
        <w:r w:rsidRPr="00832E58">
          <w:rPr>
            <w:rStyle w:val="Hyperlink"/>
          </w:rPr>
          <w:t>68/268</w:t>
        </w:r>
      </w:hyperlink>
      <w:r>
        <w:t xml:space="preserve"> Генеральная Ассамблея призвала договорные органы вырабат</w:t>
      </w:r>
      <w:r>
        <w:t>ы</w:t>
      </w:r>
      <w:r>
        <w:t>вать согласованную методику конструктивного диалога (пункт 5) и принять краткие, адресные и конкретные заключительные замечания (пункт 6). Помимо этого, в пункте 1 указанной резолюции Генеральная Ассамблея призвала дог</w:t>
      </w:r>
      <w:r>
        <w:t>о</w:t>
      </w:r>
      <w:r>
        <w:t>ворные органы предложить для рассмотрения государствами-участниками упрощенную процедуру представления докладов. Поскольку упрощенная пр</w:t>
      </w:r>
      <w:r>
        <w:t>о</w:t>
      </w:r>
      <w:r>
        <w:t>цедура представления докладов непосредственно связана с конструктивным диалогом и заключительными замечаниями, этот вопрос был также включен в повестку дня двадцать шестого совещания.</w:t>
      </w:r>
    </w:p>
    <w:p w:rsidR="003A26A0" w:rsidRDefault="003A26A0" w:rsidP="00EA465F">
      <w:pPr>
        <w:pStyle w:val="SingleTxt"/>
      </w:pPr>
      <w:r>
        <w:t>10.</w:t>
      </w:r>
      <w:r>
        <w:tab/>
        <w:t>Председатель напомнил участникам совещания, что Управление Верхо</w:t>
      </w:r>
      <w:r>
        <w:t>в</w:t>
      </w:r>
      <w:r>
        <w:t>ного комиссара Организации Объединенных Наций по правам человека подг</w:t>
      </w:r>
      <w:r>
        <w:t>о</w:t>
      </w:r>
      <w:r>
        <w:t xml:space="preserve">товило три справочные записки для обсуждений </w:t>
      </w:r>
      <w:r w:rsidRPr="00832E58">
        <w:t>(</w:t>
      </w:r>
      <w:hyperlink r:id="rId23" w:history="1">
        <w:r w:rsidRPr="00832E58">
          <w:rPr>
            <w:rStyle w:val="Hyperlink"/>
            <w:lang w:val="en-GB"/>
          </w:rPr>
          <w:t>HRI</w:t>
        </w:r>
        <w:r w:rsidRPr="00832E58">
          <w:rPr>
            <w:rStyle w:val="Hyperlink"/>
          </w:rPr>
          <w:t>/</w:t>
        </w:r>
        <w:r w:rsidRPr="00832E58">
          <w:rPr>
            <w:rStyle w:val="Hyperlink"/>
            <w:lang w:val="en-GB"/>
          </w:rPr>
          <w:t>MC</w:t>
        </w:r>
        <w:r w:rsidRPr="00832E58">
          <w:rPr>
            <w:rStyle w:val="Hyperlink"/>
          </w:rPr>
          <w:t>/2014/2</w:t>
        </w:r>
      </w:hyperlink>
      <w:r w:rsidRPr="00832E58">
        <w:t xml:space="preserve">, </w:t>
      </w:r>
      <w:hyperlink r:id="rId24" w:history="1">
        <w:r w:rsidRPr="00832E58">
          <w:rPr>
            <w:rStyle w:val="Hyperlink"/>
            <w:lang w:val="en-GB"/>
          </w:rPr>
          <w:t>HRI</w:t>
        </w:r>
        <w:r w:rsidRPr="00832E58">
          <w:rPr>
            <w:rStyle w:val="Hyperlink"/>
          </w:rPr>
          <w:t>/</w:t>
        </w:r>
        <w:r w:rsidRPr="00832E58">
          <w:rPr>
            <w:rStyle w:val="Hyperlink"/>
            <w:lang w:val="en-GB"/>
          </w:rPr>
          <w:t>MC</w:t>
        </w:r>
        <w:r w:rsidRPr="00832E58">
          <w:rPr>
            <w:rStyle w:val="Hyperlink"/>
          </w:rPr>
          <w:t>/2014/3</w:t>
        </w:r>
      </w:hyperlink>
      <w:r w:rsidRPr="00832E58">
        <w:t xml:space="preserve"> </w:t>
      </w:r>
      <w:r>
        <w:t>и</w:t>
      </w:r>
      <w:r w:rsidRPr="00832E58">
        <w:t xml:space="preserve"> </w:t>
      </w:r>
      <w:hyperlink r:id="rId25" w:history="1">
        <w:r w:rsidRPr="00832E58">
          <w:rPr>
            <w:rStyle w:val="Hyperlink"/>
            <w:lang w:val="en-GB"/>
          </w:rPr>
          <w:t>HRI</w:t>
        </w:r>
        <w:r w:rsidRPr="00832E58">
          <w:rPr>
            <w:rStyle w:val="Hyperlink"/>
          </w:rPr>
          <w:t>/</w:t>
        </w:r>
        <w:r w:rsidRPr="00832E58">
          <w:rPr>
            <w:rStyle w:val="Hyperlink"/>
            <w:lang w:val="en-GB"/>
          </w:rPr>
          <w:t>MC</w:t>
        </w:r>
        <w:r w:rsidRPr="00832E58">
          <w:rPr>
            <w:rStyle w:val="Hyperlink"/>
          </w:rPr>
          <w:t>/2014/4</w:t>
        </w:r>
      </w:hyperlink>
      <w:r w:rsidRPr="00832E58">
        <w:t>).</w:t>
      </w:r>
      <w:r>
        <w:t xml:space="preserve"> Эти записки были доведены до сведения всех членов договорных органов за 12 недель до начала ежегодного совещания, чтобы все председатели могли провести консультации в ходе заседаний их с</w:t>
      </w:r>
      <w:r>
        <w:t>о</w:t>
      </w:r>
      <w:r>
        <w:t>ответствующих комитетов в этот период. Он отметил, что такой подход даст возможность председателям выработать конструктивный итоговый документ в ходе двадцать шестого совещания.</w:t>
      </w:r>
    </w:p>
    <w:p w:rsidR="003A26A0" w:rsidRDefault="003A26A0" w:rsidP="00EA465F">
      <w:pPr>
        <w:pStyle w:val="SingleTxt"/>
      </w:pPr>
      <w:r>
        <w:t>11.</w:t>
      </w:r>
      <w:r>
        <w:tab/>
        <w:t>Председатели заявили, что они хотели бы рассмотреть проблему репре</w:t>
      </w:r>
      <w:r>
        <w:t>с</w:t>
      </w:r>
      <w:r>
        <w:t>сий в отношении лиц, сотрудничающих с договорными органами, вопрос о п</w:t>
      </w:r>
      <w:r>
        <w:t>о</w:t>
      </w:r>
      <w:r>
        <w:t>пуляризации системы договорных органов, а также последующие меры по ит</w:t>
      </w:r>
      <w:r>
        <w:t>о</w:t>
      </w:r>
      <w:r>
        <w:t>гам принятого председателями в ходе их двадцать пятого совещания совмес</w:t>
      </w:r>
      <w:r>
        <w:t>т</w:t>
      </w:r>
      <w:r>
        <w:t xml:space="preserve">ного заявления о повестке дня в области развития на период после 2015 года </w:t>
      </w:r>
      <w:r w:rsidRPr="00832E58">
        <w:t>(</w:t>
      </w:r>
      <w:hyperlink r:id="rId26" w:history="1">
        <w:r w:rsidRPr="00832E58">
          <w:rPr>
            <w:rStyle w:val="Hyperlink"/>
            <w:lang w:val="en-GB"/>
          </w:rPr>
          <w:t>A</w:t>
        </w:r>
        <w:r w:rsidRPr="00832E58">
          <w:rPr>
            <w:rStyle w:val="Hyperlink"/>
          </w:rPr>
          <w:t>/68/334</w:t>
        </w:r>
      </w:hyperlink>
      <w:r w:rsidRPr="00832E58">
        <w:t xml:space="preserve">, </w:t>
      </w:r>
      <w:r>
        <w:t>приложение</w:t>
      </w:r>
      <w:r w:rsidRPr="00832E58">
        <w:t>)</w:t>
      </w:r>
      <w:r>
        <w:t xml:space="preserve"> по пункту 8 повестки дня (прочие вопросы), после ч</w:t>
      </w:r>
      <w:r>
        <w:t>е</w:t>
      </w:r>
      <w:r>
        <w:t>го приняли повестку дня двадцать шестого совещания.</w:t>
      </w:r>
    </w:p>
    <w:p w:rsidR="003A26A0" w:rsidRDefault="003A26A0" w:rsidP="00EA465F">
      <w:pPr>
        <w:pStyle w:val="SingleTxt"/>
      </w:pPr>
      <w:r>
        <w:t>12.</w:t>
      </w:r>
      <w:r>
        <w:tab/>
        <w:t>После этого председатели обсудили вопрос о периодичности и сроках проведения ежегодных совещаний председателей. Было предложено провести в период между двадцать шестым и двадцать седьмым совещаниями председат</w:t>
      </w:r>
      <w:r>
        <w:t>е</w:t>
      </w:r>
      <w:r>
        <w:t>лей еще одно совещание председателей. Кроме того, председатели обсудили вопрос проведения дополнительного совещания с участием членов договорных органов. Председатели также обсудили вопрос о преимуществах и недостатках совместного представления ежегодных докладов договорных органов Третьему комитету Генеральной Ассамблеи.</w:t>
      </w:r>
    </w:p>
    <w:p w:rsidR="003A26A0" w:rsidRDefault="003A26A0" w:rsidP="00EA465F">
      <w:pPr>
        <w:pStyle w:val="SingleTxt"/>
      </w:pPr>
      <w:r>
        <w:t>13.</w:t>
      </w:r>
      <w:r>
        <w:tab/>
        <w:t>Далее Управление Верховного комиссара Организации Объединенных Наций по правам человека просило изучить возможность проведения совещ</w:t>
      </w:r>
      <w:r>
        <w:t>а</w:t>
      </w:r>
      <w:r>
        <w:t>ния председателей одновременно с ежегодным совещанием мандатариев сп</w:t>
      </w:r>
      <w:r>
        <w:t>е</w:t>
      </w:r>
      <w:r>
        <w:t>циальных процедур Совета по правам человека.</w:t>
      </w:r>
    </w:p>
    <w:p w:rsidR="003A26A0" w:rsidRDefault="003A26A0" w:rsidP="00EA465F">
      <w:pPr>
        <w:pStyle w:val="SingleTxt"/>
      </w:pPr>
      <w:r>
        <w:t>14.</w:t>
      </w:r>
      <w:r>
        <w:tab/>
        <w:t>Председатель сообщил участникам о том, что Председатель Междунаро</w:t>
      </w:r>
      <w:r>
        <w:t>д</w:t>
      </w:r>
      <w:r>
        <w:t>ного комитета Красного Креста выразил заинтересованность в том, чтобы в ближайшее время встреться с председателями договорных органов. Все пре</w:t>
      </w:r>
      <w:r>
        <w:t>д</w:t>
      </w:r>
      <w:r>
        <w:t>седатели горячо приветствовали эту инициативу.</w:t>
      </w:r>
    </w:p>
    <w:p w:rsidR="003A26A0" w:rsidRPr="00DF7357" w:rsidRDefault="003A26A0" w:rsidP="00EA465F">
      <w:pPr>
        <w:pStyle w:val="SingleTxt"/>
        <w:spacing w:after="0" w:line="120" w:lineRule="exact"/>
        <w:rPr>
          <w:sz w:val="10"/>
        </w:rPr>
      </w:pP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Последующие меры в связи с резолюцией </w:t>
      </w:r>
      <w:hyperlink r:id="rId27" w:history="1">
        <w:r w:rsidRPr="00E77142">
          <w:rPr>
            <w:rStyle w:val="Hyperlink"/>
          </w:rPr>
          <w:t>68/268</w:t>
        </w:r>
      </w:hyperlink>
      <w:r>
        <w:t xml:space="preserve"> Генеральной Ассамблеи об укреплении и повышении эффективности функционирования системы договорных органов по правам человека и решениями двадцать пятого совещания председателей договорных органов о согласовании методов работы</w:t>
      </w:r>
    </w:p>
    <w:p w:rsidR="003A26A0" w:rsidRPr="00DF7357" w:rsidRDefault="003A26A0" w:rsidP="00EA465F">
      <w:pPr>
        <w:pStyle w:val="SingleTxt"/>
        <w:spacing w:after="0" w:line="120" w:lineRule="exact"/>
        <w:rPr>
          <w:sz w:val="10"/>
        </w:rPr>
      </w:pPr>
    </w:p>
    <w:p w:rsidR="003A26A0" w:rsidRPr="00DF7357" w:rsidRDefault="003A26A0" w:rsidP="00EA465F">
      <w:pPr>
        <w:pStyle w:val="SingleTxt"/>
        <w:spacing w:after="0" w:line="120" w:lineRule="exact"/>
        <w:rPr>
          <w:sz w:val="10"/>
        </w:rPr>
      </w:pPr>
    </w:p>
    <w:p w:rsidR="003A26A0" w:rsidRDefault="003A26A0" w:rsidP="00EA465F">
      <w:pPr>
        <w:pStyle w:val="SingleTxt"/>
      </w:pPr>
      <w:r>
        <w:t>15.</w:t>
      </w:r>
      <w:r>
        <w:tab/>
        <w:t>Председатели выразили общее удовлетворение в связи с принятием рез</w:t>
      </w:r>
      <w:r>
        <w:t>о</w:t>
      </w:r>
      <w:r>
        <w:t>люции </w:t>
      </w:r>
      <w:hyperlink r:id="rId28" w:history="1">
        <w:r w:rsidRPr="00E77142">
          <w:rPr>
            <w:rStyle w:val="Hyperlink"/>
          </w:rPr>
          <w:t>68/268</w:t>
        </w:r>
      </w:hyperlink>
      <w:r>
        <w:t xml:space="preserve"> Генеральной Ассамблеи об укреплении и повышении эффекти</w:t>
      </w:r>
      <w:r>
        <w:t>в</w:t>
      </w:r>
      <w:r>
        <w:t>ности функционирования системы договорных органов по правам человека. Кроме того, большинство председателей заявили о своей приверженности осуществлению этой резолюции.</w:t>
      </w:r>
    </w:p>
    <w:p w:rsidR="003A26A0" w:rsidRPr="00DF7357" w:rsidRDefault="003A26A0" w:rsidP="00EA465F">
      <w:pPr>
        <w:pStyle w:val="SingleTxt"/>
      </w:pPr>
      <w:r>
        <w:t>16.</w:t>
      </w:r>
      <w:r>
        <w:tab/>
        <w:t>Каждый председатель представил краткую информацию о ходе обсужд</w:t>
      </w:r>
      <w:r>
        <w:t>е</w:t>
      </w:r>
      <w:r>
        <w:t>ний этого вопроса в их соответствующих комитетах. Комитеты, которые пр</w:t>
      </w:r>
      <w:r>
        <w:t>о</w:t>
      </w:r>
      <w:r>
        <w:t>вели сессии в период с апреля по июнь 2014 года, обсудили этот вопрос на своих сессиях. Другие комитеты провели обмен мнениями по электронной п</w:t>
      </w:r>
      <w:r>
        <w:t>о</w:t>
      </w:r>
      <w:r>
        <w:t>чте. Третья группа комитетов пока не имела возможности обсудить резол</w:t>
      </w:r>
      <w:r>
        <w:t>ю</w:t>
      </w:r>
      <w:r>
        <w:t>цию </w:t>
      </w:r>
      <w:hyperlink r:id="rId29" w:history="1">
        <w:r w:rsidRPr="00E77142">
          <w:rPr>
            <w:rStyle w:val="Hyperlink"/>
          </w:rPr>
          <w:t>68/268</w:t>
        </w:r>
      </w:hyperlink>
      <w:r>
        <w:t xml:space="preserve"> Генеральной Ассамблеи.</w:t>
      </w:r>
    </w:p>
    <w:p w:rsidR="003A26A0" w:rsidRDefault="003A26A0" w:rsidP="00EA465F">
      <w:pPr>
        <w:pStyle w:val="SingleTxt"/>
      </w:pPr>
      <w:r>
        <w:t>17.</w:t>
      </w:r>
      <w:r>
        <w:tab/>
        <w:t>Председатель Комитета по правам ребенка информировала участников о том, что в Комитете были проведены весьма конструктивные обсуждения по вопросу согласования методов работы в контексте проведения конструктивного диалога между Комитетом и государствами-участниками, а также по вопросу о заключительных замечаниях, отметив при этом сложности, связанные с подг</w:t>
      </w:r>
      <w:r>
        <w:t>о</w:t>
      </w:r>
      <w:r>
        <w:t>товкой кратких, адресных и конкретных заключительных замечаний с учетом широкого и всеобъемлющего характера Конвенции о правах ребенка</w:t>
      </w:r>
      <w:r w:rsidRPr="003072C0">
        <w:rPr>
          <w:rStyle w:val="FootnoteReference"/>
        </w:rPr>
        <w:footnoteReference w:id="2"/>
      </w:r>
      <w:r>
        <w:t>. Что к</w:t>
      </w:r>
      <w:r>
        <w:t>а</w:t>
      </w:r>
      <w:r>
        <w:t>сается упрощенной процедуры представления докладов, то она поинтересов</w:t>
      </w:r>
      <w:r>
        <w:t>а</w:t>
      </w:r>
      <w:r>
        <w:t>лась, смогут ли сотрудники Управления Верховного комиссара Организации Объединенных Наций по правам человека обеспечить поддержку этой новой процедуры при одновременном решении проблемы ликвидации отставания в представлении докладов государств-участников по стандартной процедуре представления докладов.</w:t>
      </w:r>
    </w:p>
    <w:p w:rsidR="003A26A0" w:rsidRDefault="003A26A0" w:rsidP="00EA465F">
      <w:pPr>
        <w:pStyle w:val="SingleTxt"/>
      </w:pPr>
      <w:r>
        <w:t>18.</w:t>
      </w:r>
      <w:r>
        <w:tab/>
        <w:t>Председатель Комитета по насильственным исчезновениям подчеркнул, что Международной конвенцией для защиты всех лиц от насильственных и</w:t>
      </w:r>
      <w:r>
        <w:t>с</w:t>
      </w:r>
      <w:r>
        <w:t>чезновений не предусматривается представление периодических докладов, х</w:t>
      </w:r>
      <w:r>
        <w:t>о</w:t>
      </w:r>
      <w:r>
        <w:t>тя в пункте 4 статьи 29 указывается, что Комитет может запросить у гос</w:t>
      </w:r>
      <w:r>
        <w:t>у</w:t>
      </w:r>
      <w:r>
        <w:t>дарств-участников дополнительную информацию, касающуюся осуществления Конвенции</w:t>
      </w:r>
      <w:r w:rsidRPr="003072C0">
        <w:rPr>
          <w:rStyle w:val="FootnoteReference"/>
        </w:rPr>
        <w:footnoteReference w:id="3"/>
      </w:r>
      <w:r>
        <w:t>. Председатель далее особо отметил тот факт, что ограниченный членский состав Комитета не даст ему возможности применять методы работы, принятые более крупными комитетами.</w:t>
      </w:r>
    </w:p>
    <w:p w:rsidR="003A26A0" w:rsidRDefault="003A26A0" w:rsidP="00EA465F">
      <w:pPr>
        <w:pStyle w:val="SingleTxt"/>
      </w:pPr>
      <w:r>
        <w:t>19.</w:t>
      </w:r>
      <w:r>
        <w:tab/>
        <w:t>Председатель Комитета по защите прав всех трудящихся-мигрантов и членов их семей сообщил другим участникам о необходимости увеличения числа ратификаций Международной конвенции по защите прав всех трудящи</w:t>
      </w:r>
      <w:r>
        <w:t>х</w:t>
      </w:r>
      <w:r>
        <w:t>ся-мигрантов и членов их семей</w:t>
      </w:r>
      <w:r w:rsidRPr="003072C0">
        <w:rPr>
          <w:rStyle w:val="FootnoteReference"/>
        </w:rPr>
        <w:footnoteReference w:id="4"/>
      </w:r>
      <w:r>
        <w:t xml:space="preserve"> и призвал все комитеты учитывать положения Конвенции и работу Комитета при выполнении их соответствующих мандатов.</w:t>
      </w:r>
    </w:p>
    <w:p w:rsidR="003A26A0" w:rsidRDefault="003A26A0" w:rsidP="00EA465F">
      <w:pPr>
        <w:pStyle w:val="SingleTxt"/>
      </w:pPr>
      <w:r>
        <w:t>20.</w:t>
      </w:r>
      <w:r>
        <w:tab/>
        <w:t>Председатель Подкомитета по предупреждению пыток и других жест</w:t>
      </w:r>
      <w:r>
        <w:t>о</w:t>
      </w:r>
      <w:r>
        <w:t>ких, бесчеловечных или унижающих достоинство видов обращения и наказ</w:t>
      </w:r>
      <w:r>
        <w:t>а</w:t>
      </w:r>
      <w:r>
        <w:t>ния приветствовал указанную резолюцию Генеральной Ассамблеи и дополн</w:t>
      </w:r>
      <w:r>
        <w:t>и</w:t>
      </w:r>
      <w:r>
        <w:t>тельные ресурсы, выделенные секретариату Подкомитета, а также положения об укреплении потенциала, содержащиеся в указанной резолюции. Оба этих аспекта будут способствовать укреплению возможностей Подкомитета по ос</w:t>
      </w:r>
      <w:r>
        <w:t>у</w:t>
      </w:r>
      <w:r>
        <w:t>ществлению его мандата по созданию и наращиванию потенциала национал</w:t>
      </w:r>
      <w:r>
        <w:t>ь</w:t>
      </w:r>
      <w:r>
        <w:t>ных превентивных механизмов.</w:t>
      </w:r>
    </w:p>
    <w:p w:rsidR="003A26A0" w:rsidRDefault="003A26A0" w:rsidP="00EA465F">
      <w:pPr>
        <w:pStyle w:val="SingleTxt"/>
      </w:pPr>
      <w:r>
        <w:t>21.</w:t>
      </w:r>
      <w:r>
        <w:tab/>
        <w:t>Председатель Комитета по ликвидации дискриминации в отношении женщин, особо отметив важность нахождения равновесия между единообраз</w:t>
      </w:r>
      <w:r>
        <w:t>и</w:t>
      </w:r>
      <w:r>
        <w:t>ем и конкретными особенностями, подчеркнула, что резолюция по укреплению договорных органов дает прекрасную возможность для активизации работы, а также подчеркнула важность мобилизации всей системы договорных органов для оперативного осуществления указанной резолюции. Она предложила всем договорным органам продолжать упрощать их методы работы, чтобы обле</w:t>
      </w:r>
      <w:r>
        <w:t>г</w:t>
      </w:r>
      <w:r>
        <w:t>чить государствам-участникам задачу выполнения обязательств по представл</w:t>
      </w:r>
      <w:r>
        <w:t>е</w:t>
      </w:r>
      <w:r>
        <w:t>нию докладов. Кроме того, она подчеркнула, что договорные органы должны дополнять друг друга и активизировать сотрудничество с другими правоз</w:t>
      </w:r>
      <w:r>
        <w:t>а</w:t>
      </w:r>
      <w:r>
        <w:t>щитными механизмами.</w:t>
      </w:r>
    </w:p>
    <w:p w:rsidR="003A26A0" w:rsidRDefault="003A26A0" w:rsidP="00EA465F">
      <w:pPr>
        <w:pStyle w:val="SingleTxt"/>
      </w:pPr>
      <w:r w:rsidRPr="00E1337C">
        <w:t>22</w:t>
      </w:r>
      <w:r>
        <w:t>.</w:t>
      </w:r>
      <w:r>
        <w:tab/>
        <w:t>Заместитель председателя Комитета против пыток информировал учас</w:t>
      </w:r>
      <w:r>
        <w:t>т</w:t>
      </w:r>
      <w:r>
        <w:t>ников о том, что в ноябре 2014 года Комитет планирует пересмотреть свои м</w:t>
      </w:r>
      <w:r>
        <w:t>е</w:t>
      </w:r>
      <w:r>
        <w:t>тоды работы. Этот пересмотр позволит Комитету выработать информирова</w:t>
      </w:r>
      <w:r>
        <w:t>н</w:t>
      </w:r>
      <w:r>
        <w:t>ную позицию в отношении методов работы, фигурирующих в повестке дня двадцать шестого совещания председателей, а также проанализировать прим</w:t>
      </w:r>
      <w:r>
        <w:t>е</w:t>
      </w:r>
      <w:r>
        <w:t>нение Комитетом упрощенной процедуры представления докладов (которую Комитет называет «перечнем вопросов до представления докладов») с кач</w:t>
      </w:r>
      <w:r>
        <w:t>е</w:t>
      </w:r>
      <w:r>
        <w:t>ственной и количественной точек зрения.</w:t>
      </w:r>
    </w:p>
    <w:p w:rsidR="003A26A0" w:rsidRDefault="003A26A0" w:rsidP="00EA465F">
      <w:pPr>
        <w:pStyle w:val="SingleTxt"/>
      </w:pPr>
      <w:r>
        <w:t>23.</w:t>
      </w:r>
      <w:r>
        <w:tab/>
        <w:t xml:space="preserve">Председатель Комитета по экономическим, социальным и культурным правам заявил, что Комитет позитивно воспринял эту резолюцию. Он также поделился мнением Комитета о том, что для создания согласованной системы договорных органов потребуется время для разработки единой концепции этой системы. Он также подчеркнул важность предыдущих обсуждений по этому пункту повестки дня совещания председателей на уровне комитетов. </w:t>
      </w:r>
    </w:p>
    <w:p w:rsidR="003A26A0" w:rsidRDefault="003A26A0" w:rsidP="00EA465F">
      <w:pPr>
        <w:pStyle w:val="SingleTxt"/>
      </w:pPr>
      <w:r>
        <w:t>24.</w:t>
      </w:r>
      <w:r>
        <w:tab/>
        <w:t>Председатель Комитета по правам инвалидов с удовлетворением отмет</w:t>
      </w:r>
      <w:r>
        <w:t>и</w:t>
      </w:r>
      <w:r>
        <w:t>ла, что ключевые принципы и мнения договорных органов нашли свое отраж</w:t>
      </w:r>
      <w:r>
        <w:t>е</w:t>
      </w:r>
      <w:r>
        <w:t>ние в резолюции </w:t>
      </w:r>
      <w:hyperlink r:id="rId30" w:history="1">
        <w:r w:rsidRPr="00E1337C">
          <w:rPr>
            <w:rStyle w:val="Hyperlink"/>
          </w:rPr>
          <w:t>68/268</w:t>
        </w:r>
      </w:hyperlink>
      <w:r>
        <w:t xml:space="preserve"> Генеральной Ассамблеи и информировала участников совещания о том, что она представила Комитету на его следующей сессии в сентябре 2014 года краткую информацию о ходе обсуждений, состоявшихся на двадцать шестом совещании председателей. Она также предложила совещанию председателей рассмотреть не только вопрос о согласовании процедур Комит</w:t>
      </w:r>
      <w:r>
        <w:t>е</w:t>
      </w:r>
      <w:r>
        <w:t xml:space="preserve">та, но и последовательность рассмотрения основных и правовых вопросов. </w:t>
      </w:r>
    </w:p>
    <w:p w:rsidR="003A26A0" w:rsidRDefault="003A26A0" w:rsidP="00EA465F">
      <w:pPr>
        <w:pStyle w:val="SingleTxt"/>
      </w:pPr>
      <w:r>
        <w:t>25.</w:t>
      </w:r>
      <w:r>
        <w:tab/>
        <w:t xml:space="preserve">Председатель Комитета по ликвидации расовой дискриминации сообщил участникам совещания, что Комитет пока не рассмотрел пункты повестки дня двадцать шестого совещания председателей, однако сделает это на следующей сессии, которая состоится в августе 2014 года. </w:t>
      </w:r>
    </w:p>
    <w:p w:rsidR="003A26A0" w:rsidRDefault="003A26A0" w:rsidP="00EA465F">
      <w:pPr>
        <w:pStyle w:val="SingleTxt"/>
      </w:pPr>
      <w:r>
        <w:t>26.</w:t>
      </w:r>
      <w:r>
        <w:tab/>
        <w:t>Председатель Комитета по правам человека отметил, что Комитет в поз</w:t>
      </w:r>
      <w:r>
        <w:t>и</w:t>
      </w:r>
      <w:r>
        <w:t>тивном ключе воспринял эту резолюцию Генеральной Ассамблеи, в частности тот факт, что в ней предусматривается выделение ресурсов для решения пр</w:t>
      </w:r>
      <w:r>
        <w:t>о</w:t>
      </w:r>
      <w:r>
        <w:t>блемы ликвидации отставания в представлении докладов и сообщений гос</w:t>
      </w:r>
      <w:r>
        <w:t>у</w:t>
      </w:r>
      <w:r>
        <w:t xml:space="preserve">дарств-участников. Он далее информировал участников совещания о том, что Комитет пока не имел возможности рассмотреть пункты повестки дня двадцать шестого совещания, но сделает это на следующей сессии. </w:t>
      </w:r>
    </w:p>
    <w:p w:rsidR="003A26A0" w:rsidRDefault="003A26A0" w:rsidP="00EA465F">
      <w:pPr>
        <w:pStyle w:val="SingleTxt"/>
      </w:pPr>
      <w:r>
        <w:t>27.</w:t>
      </w:r>
      <w:r>
        <w:tab/>
        <w:t>В ходе последовавшей дискуссии участники просили представить им и</w:t>
      </w:r>
      <w:r>
        <w:t>н</w:t>
      </w:r>
      <w:r>
        <w:t>формацию о расписании заседаний договорных органов на 2015 год, а также о том, какие ресурсы выделяются в соответствии с резолюцией </w:t>
      </w:r>
      <w:hyperlink r:id="rId31" w:history="1">
        <w:r w:rsidRPr="00E1337C">
          <w:rPr>
            <w:rStyle w:val="Hyperlink"/>
          </w:rPr>
          <w:t>68/268</w:t>
        </w:r>
      </w:hyperlink>
      <w:r>
        <w:t xml:space="preserve"> Генерал</w:t>
      </w:r>
      <w:r>
        <w:t>ь</w:t>
      </w:r>
      <w:r>
        <w:t>ной Ассамблеи для поддержки работы договорных органов.</w:t>
      </w:r>
    </w:p>
    <w:p w:rsidR="003A26A0" w:rsidRPr="00E1337C" w:rsidRDefault="003A26A0" w:rsidP="00EA465F">
      <w:pPr>
        <w:pStyle w:val="SingleTxt"/>
        <w:spacing w:after="0" w:line="120" w:lineRule="exact"/>
        <w:rPr>
          <w:sz w:val="10"/>
        </w:rPr>
      </w:pPr>
    </w:p>
    <w:p w:rsidR="003A26A0" w:rsidRPr="00E1337C"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Упрощенная процедура представления докладов</w:t>
      </w:r>
    </w:p>
    <w:p w:rsidR="003A26A0" w:rsidRPr="00E1337C" w:rsidRDefault="003A26A0" w:rsidP="00EA465F">
      <w:pPr>
        <w:pStyle w:val="SingleTxt"/>
        <w:spacing w:after="0" w:line="120" w:lineRule="exact"/>
        <w:rPr>
          <w:sz w:val="10"/>
        </w:rPr>
      </w:pPr>
    </w:p>
    <w:p w:rsidR="003A26A0" w:rsidRPr="00E1337C" w:rsidRDefault="003A26A0" w:rsidP="00EA465F">
      <w:pPr>
        <w:pStyle w:val="SingleTxt"/>
        <w:spacing w:after="0" w:line="120" w:lineRule="exact"/>
        <w:rPr>
          <w:sz w:val="10"/>
        </w:rPr>
      </w:pPr>
    </w:p>
    <w:p w:rsidR="003A26A0" w:rsidRDefault="003A26A0" w:rsidP="00EA465F">
      <w:pPr>
        <w:pStyle w:val="SingleTxt"/>
      </w:pPr>
      <w:r>
        <w:t>28.</w:t>
      </w:r>
      <w:r>
        <w:tab/>
        <w:t>23 и 24 июня 2014 года председатели рассмотрели вопрос об упрощенной процедуре представления докладов. Председатель обратил внимание участн</w:t>
      </w:r>
      <w:r>
        <w:t>и</w:t>
      </w:r>
      <w:r>
        <w:t>ков на записку Секретариата об упрощенной процедуре представления докл</w:t>
      </w:r>
      <w:r>
        <w:t>а</w:t>
      </w:r>
      <w:r>
        <w:t>дов (</w:t>
      </w:r>
      <w:hyperlink r:id="rId32" w:history="1">
        <w:r w:rsidRPr="00E1337C">
          <w:rPr>
            <w:rStyle w:val="Hyperlink"/>
            <w:lang w:val="en-US"/>
          </w:rPr>
          <w:t>HRI</w:t>
        </w:r>
        <w:r w:rsidRPr="00E1337C">
          <w:rPr>
            <w:rStyle w:val="Hyperlink"/>
          </w:rPr>
          <w:t>/</w:t>
        </w:r>
        <w:r w:rsidRPr="00E1337C">
          <w:rPr>
            <w:rStyle w:val="Hyperlink"/>
            <w:lang w:val="en-US"/>
          </w:rPr>
          <w:t>MC</w:t>
        </w:r>
        <w:r w:rsidRPr="00E1337C">
          <w:rPr>
            <w:rStyle w:val="Hyperlink"/>
          </w:rPr>
          <w:t>/2014/4</w:t>
        </w:r>
      </w:hyperlink>
      <w:r>
        <w:t>). В этом справочном документе описывается существу</w:t>
      </w:r>
      <w:r>
        <w:t>ю</w:t>
      </w:r>
      <w:r>
        <w:t>щая практика договорных органов, которые приняли упрощенную процедуру представления докладов, а также рассматриваются вопросы согласования и обобщения упрощенной процедуры представления докладов. Председатель указал на наличие взаимосвязи между упрощенной процедурой представления докладов и подготовкой заключительных замечаний с точки зр</w:t>
      </w:r>
      <w:r>
        <w:t>е</w:t>
      </w:r>
      <w:r>
        <w:t>ния повышения целенаправленности процедуры рассмотрения положения в государствах-участниках. Он просил участников учитывать ограничения по к</w:t>
      </w:r>
      <w:r>
        <w:t>о</w:t>
      </w:r>
      <w:r>
        <w:t>личеству слов для представляемых государствами-участниками документов, введенные в пункте 16 резолюции </w:t>
      </w:r>
      <w:hyperlink r:id="rId33" w:history="1">
        <w:r w:rsidRPr="00E1337C">
          <w:rPr>
            <w:rStyle w:val="Hyperlink"/>
          </w:rPr>
          <w:t>68/268</w:t>
        </w:r>
      </w:hyperlink>
      <w:r>
        <w:t>, а также отметил содержащиеся в пунктах 1 и 16 резолюции неоднократные просьбы ограничивать количество вопросов, соде</w:t>
      </w:r>
      <w:r>
        <w:t>р</w:t>
      </w:r>
      <w:r>
        <w:t>жащихся в списках вопросов до представления докладов. Председатель пре</w:t>
      </w:r>
      <w:r>
        <w:t>д</w:t>
      </w:r>
      <w:r>
        <w:t>ложил председателям комитетов, в которых используется упрощенная проц</w:t>
      </w:r>
      <w:r>
        <w:t>е</w:t>
      </w:r>
      <w:r>
        <w:t xml:space="preserve">дура представления докладов, поделиться своим опытом. </w:t>
      </w:r>
    </w:p>
    <w:p w:rsidR="003A26A0" w:rsidRDefault="003A26A0" w:rsidP="00EA465F">
      <w:pPr>
        <w:pStyle w:val="SingleTxt"/>
      </w:pPr>
      <w:r>
        <w:t>29.</w:t>
      </w:r>
      <w:r>
        <w:tab/>
        <w:t>Заместитель Председателя Комитета против пыток сообщил участникам совещания о том, что Комитет был вынужден принять упрощенную процедуру представления докладов, поскольку от государств-участников вовремя не п</w:t>
      </w:r>
      <w:r>
        <w:t>о</w:t>
      </w:r>
      <w:r>
        <w:t>ступали ответы на стандартные списки вопросов, а также по практическим с</w:t>
      </w:r>
      <w:r>
        <w:t>о</w:t>
      </w:r>
      <w:r>
        <w:t>ображениям, связанным с письменным переводом документов. Хотя Комитет рассмотрел вопрос о применении упрощенной процедуры представления д</w:t>
      </w:r>
      <w:r>
        <w:t>о</w:t>
      </w:r>
      <w:r>
        <w:t>кладов для первоначальных докладов, срок представления которых давно пр</w:t>
      </w:r>
      <w:r>
        <w:t>о</w:t>
      </w:r>
      <w:r>
        <w:t>шел, а также для периодических докладов, он пока не принял ее, чтобы дать возможность государствам-участникам представить всеобъемлющие первон</w:t>
      </w:r>
      <w:r>
        <w:t>а</w:t>
      </w:r>
      <w:r>
        <w:t>чальные доклады в соответствии со стандартной процедурой представления докладов. Большинство государств — участников Конвенции против пыток в позитивном ключе восприняли упрощенную процедуру представления докл</w:t>
      </w:r>
      <w:r>
        <w:t>а</w:t>
      </w:r>
      <w:r>
        <w:t>дов. Вместе с тем они отметили необходимость значительной поддержки со стороны сотрудников Управления Верховного комиссара Организации Объед</w:t>
      </w:r>
      <w:r>
        <w:t>и</w:t>
      </w:r>
      <w:r>
        <w:t>ненных Наций по правам человека в подготовке списков вопросов по упр</w:t>
      </w:r>
      <w:r>
        <w:t>о</w:t>
      </w:r>
      <w:r>
        <w:t>щенной процедуре представления докладов. Представитель Комитета против пыток далее особо отметил проблему получения своевременных ответов от государств-участников на списки вопросов до представления докладов и пр</w:t>
      </w:r>
      <w:r>
        <w:t>и</w:t>
      </w:r>
      <w:r>
        <w:t>звал выработать типовой и последовательный подход к решению этой пробл</w:t>
      </w:r>
      <w:r>
        <w:t>е</w:t>
      </w:r>
      <w:r>
        <w:t>мы. Поскольку списки вопросов до представления докладов, направляемые Комитетом пр</w:t>
      </w:r>
      <w:r>
        <w:t>о</w:t>
      </w:r>
      <w:r>
        <w:t>тив пыток государствам-участникам, содержат 35–45 вопросов, Комитет не считает возможным ограничить количество вопросов 25 вопросами, как это предлагается в справочной записке об упрощенной пр</w:t>
      </w:r>
      <w:r>
        <w:t>о</w:t>
      </w:r>
      <w:r>
        <w:t>цедуре представления докладов и в докладе Верховного комиссара об укрепл</w:t>
      </w:r>
      <w:r>
        <w:t>е</w:t>
      </w:r>
      <w:r>
        <w:t>нии системы догово</w:t>
      </w:r>
      <w:r>
        <w:t>р</w:t>
      </w:r>
      <w:r>
        <w:t>ных органов (</w:t>
      </w:r>
      <w:hyperlink r:id="rId34" w:history="1">
        <w:r w:rsidRPr="00E1337C">
          <w:rPr>
            <w:rStyle w:val="Hyperlink"/>
          </w:rPr>
          <w:t>A/66/860</w:t>
        </w:r>
      </w:hyperlink>
      <w:r>
        <w:t>). Представитель Комитета против пыток рекомендовал всем договорным органам рассмотреть вопрос о принятии этой процедуры, обратил особое внимание на необходимость проведения д</w:t>
      </w:r>
      <w:r>
        <w:t>е</w:t>
      </w:r>
      <w:r>
        <w:t>тального качественного анализа упрощенной процедуры представления докл</w:t>
      </w:r>
      <w:r>
        <w:t>а</w:t>
      </w:r>
      <w:r>
        <w:t>дов и указал, что его Комитет проведет такой анализ в соответствии с прос</w:t>
      </w:r>
      <w:r>
        <w:t>ь</w:t>
      </w:r>
      <w:r>
        <w:t xml:space="preserve">бой, сформулированной в ходе предыдущего совещания председателей. </w:t>
      </w:r>
    </w:p>
    <w:p w:rsidR="003A26A0" w:rsidRDefault="003A26A0" w:rsidP="00EA465F">
      <w:pPr>
        <w:pStyle w:val="SingleTxt"/>
      </w:pPr>
      <w:r>
        <w:t>30.</w:t>
      </w:r>
      <w:r>
        <w:tab/>
        <w:t>Председатель Комитета по правам человека информировал участников совещания о том, что с 2009 года Комитет по правам человека предлагает гос</w:t>
      </w:r>
      <w:r>
        <w:t>у</w:t>
      </w:r>
      <w:r>
        <w:t>дарствам-участникам, которые значительно превысили установленные сроки представления докладов, воспользоваться упрощенной процедурой предста</w:t>
      </w:r>
      <w:r>
        <w:t>в</w:t>
      </w:r>
      <w:r>
        <w:t>ления докладов. Он особо отметил, что необходимо установить четкие сроки для обеспечения предсказуемости сроков представления ответов на списки в</w:t>
      </w:r>
      <w:r>
        <w:t>о</w:t>
      </w:r>
      <w:r>
        <w:t>просов до представления докладов, а также сроков рассмотрения докладов</w:t>
      </w:r>
      <w:r>
        <w:br/>
        <w:t>государств-участников в соответствии с упрощенной процедурой представл</w:t>
      </w:r>
      <w:r>
        <w:t>е</w:t>
      </w:r>
      <w:r>
        <w:t>ния докладов. По</w:t>
      </w:r>
      <w:r>
        <w:noBreakHyphen/>
        <w:t>прежнему существует необходимость в конкретных догово</w:t>
      </w:r>
      <w:r>
        <w:t>р</w:t>
      </w:r>
      <w:r>
        <w:t>ных руководящих принципах, пока часть докладов представляется по ста</w:t>
      </w:r>
      <w:r>
        <w:t>н</w:t>
      </w:r>
      <w:r>
        <w:t>дартной процедуре представления докладов. Комитет по правам человека, в</w:t>
      </w:r>
      <w:r>
        <w:t>е</w:t>
      </w:r>
      <w:r>
        <w:t>роятнее всего, не будет применять упрощенную процедуру представления д</w:t>
      </w:r>
      <w:r>
        <w:t>о</w:t>
      </w:r>
      <w:r>
        <w:t>кладов к первоначальным докладам. Председатель Комитета по правам челов</w:t>
      </w:r>
      <w:r>
        <w:t>е</w:t>
      </w:r>
      <w:r>
        <w:t>ка далее информировал участников совещания о том, что Комитет выступит в поддержку предложенного ограничения в 25 вопросов, если в ходе консульт</w:t>
      </w:r>
      <w:r>
        <w:t>а</w:t>
      </w:r>
      <w:r>
        <w:t>ций среди его членов по этому вопросу будет достигнуто согласие. Он далее сообщил участникам совещания о том, что в 2015 году Комитет по правам ч</w:t>
      </w:r>
      <w:r>
        <w:t>е</w:t>
      </w:r>
      <w:r>
        <w:t>ловека намеревается рассмотреть вопрос об использовании в этом Комитете упрощенной пр</w:t>
      </w:r>
      <w:r>
        <w:t>о</w:t>
      </w:r>
      <w:r>
        <w:t>цедуры представления докладов.</w:t>
      </w:r>
    </w:p>
    <w:p w:rsidR="003A26A0" w:rsidRDefault="003A26A0" w:rsidP="00EA465F">
      <w:pPr>
        <w:pStyle w:val="SingleTxt"/>
      </w:pPr>
      <w:r>
        <w:t>31.</w:t>
      </w:r>
      <w:r>
        <w:tab/>
        <w:t>Председатель Комитета по правам трудящихся-мигрантов информировал участников совещания о том, что в этом Комитете было отмечено значительное повышение эффективности работы в результате применения упрощенной пр</w:t>
      </w:r>
      <w:r>
        <w:t>о</w:t>
      </w:r>
      <w:r>
        <w:t>цедуры представления докладов. Доклады государств-участников, представл</w:t>
      </w:r>
      <w:r>
        <w:t>я</w:t>
      </w:r>
      <w:r>
        <w:t>емые в соответствии с упрощенной процедурой представления докладов, носят более целенаправленный и сжатый характер и посвящены вопросам, которые задает Комитет. Он далее подчеркнул, что поддержка со стороны сотрудников Управления Верховного комиссара по правам человека имеет важнейшее зн</w:t>
      </w:r>
      <w:r>
        <w:t>а</w:t>
      </w:r>
      <w:r>
        <w:t>чение для эффективного использования упрощенной процедуры представления д</w:t>
      </w:r>
      <w:r>
        <w:t>о</w:t>
      </w:r>
      <w:r>
        <w:t xml:space="preserve">кладов. </w:t>
      </w:r>
    </w:p>
    <w:p w:rsidR="003A26A0" w:rsidRDefault="003A26A0" w:rsidP="00EA465F">
      <w:pPr>
        <w:pStyle w:val="SingleTxt"/>
      </w:pPr>
      <w:r>
        <w:t>32.</w:t>
      </w:r>
      <w:r>
        <w:tab/>
        <w:t>Председатель Комитета по правам инвалидов информировала участников совещания о том, что в настоящее время Комитет занимается рассмотрением первоначальных докладов, представленных в соответствии со стандартной процедурой представления докладов. В этой связи Комитет пока не имеет н</w:t>
      </w:r>
      <w:r>
        <w:t>и</w:t>
      </w:r>
      <w:r>
        <w:t>какого опыта использования упрощенной процедуры представления докладов. Вместе с тем Комитет рекомендует государствам-участникам представлять п</w:t>
      </w:r>
      <w:r>
        <w:t>е</w:t>
      </w:r>
      <w:r>
        <w:t>риодич</w:t>
      </w:r>
      <w:r>
        <w:t>е</w:t>
      </w:r>
      <w:r>
        <w:t>ские доклады в соответствии с упрощенной процедурой представления докл</w:t>
      </w:r>
      <w:r>
        <w:t>а</w:t>
      </w:r>
      <w:r>
        <w:t>дов.</w:t>
      </w:r>
    </w:p>
    <w:p w:rsidR="003A26A0" w:rsidRDefault="003A26A0" w:rsidP="00EA465F">
      <w:pPr>
        <w:pStyle w:val="SingleTxt"/>
      </w:pPr>
      <w:r>
        <w:t>33.</w:t>
      </w:r>
      <w:r>
        <w:tab/>
        <w:t>В ходе последовавшей дискуссии было отмечено, что не существует ста</w:t>
      </w:r>
      <w:r>
        <w:t>н</w:t>
      </w:r>
      <w:r>
        <w:t>дартной упрощенной процедуры представления докладов и что вместо нее и</w:t>
      </w:r>
      <w:r>
        <w:t>с</w:t>
      </w:r>
      <w:r>
        <w:t>пользуются различные процедуры, которые зависят от того, каким образом она применяется соответствующими комитетами. Председатели отметили целес</w:t>
      </w:r>
      <w:r>
        <w:t>о</w:t>
      </w:r>
      <w:r>
        <w:t>образность разработки единых рамок и сроков этой процедуры, которые могли бы использовать все договорные органы.</w:t>
      </w:r>
    </w:p>
    <w:p w:rsidR="003A26A0" w:rsidRDefault="003A26A0" w:rsidP="00EA465F">
      <w:pPr>
        <w:pStyle w:val="SingleTxt"/>
        <w:rPr>
          <w:lang w:val="en-US"/>
        </w:rPr>
      </w:pPr>
      <w:r>
        <w:t>34.</w:t>
      </w:r>
      <w:r>
        <w:tab/>
        <w:t>Председатель подчеркнул важность вклада учреждений Организации Объединенных Наций, организаций гражданского общества и национальных правозащитных учреждений в подготовку списка вопросов для упрощенной процедуры представления докладов и особо отметил необходимость обеспеч</w:t>
      </w:r>
      <w:r>
        <w:t>е</w:t>
      </w:r>
      <w:r>
        <w:t>ния эффективного участия указанных структур в этом процессе.</w:t>
      </w:r>
    </w:p>
    <w:p w:rsidR="003A26A0" w:rsidRDefault="003A26A0" w:rsidP="00EA465F">
      <w:pPr>
        <w:pStyle w:val="SingleTxt"/>
      </w:pPr>
      <w:r w:rsidRPr="008F1802">
        <w:t>35.</w:t>
      </w:r>
      <w:r w:rsidRPr="008F1802">
        <w:tab/>
      </w:r>
      <w:r>
        <w:t>Верховный комиссар Организации Объединенных Наций по правам чел</w:t>
      </w:r>
      <w:r>
        <w:t>о</w:t>
      </w:r>
      <w:r>
        <w:t>века ответила на вопросы председателей, касающиеся практических после</w:t>
      </w:r>
      <w:r>
        <w:t>д</w:t>
      </w:r>
      <w:r>
        <w:t>ствий применения упрощенной процедуры представления докладов для с</w:t>
      </w:r>
      <w:r>
        <w:t>о</w:t>
      </w:r>
      <w:r>
        <w:t>ставления расписаний обзоров, объема работы, наличия поддержки со ст</w:t>
      </w:r>
      <w:r>
        <w:t>о</w:t>
      </w:r>
      <w:r>
        <w:t>роны сотрудников и определения последовательности различных этапов примене</w:t>
      </w:r>
      <w:r>
        <w:t>н</w:t>
      </w:r>
      <w:r>
        <w:t>ия упрощенной процедуры представления докладов. Она подчеркнула, что дог</w:t>
      </w:r>
      <w:r>
        <w:t>о</w:t>
      </w:r>
      <w:r>
        <w:t>ворным органам не нужно ожидать ликвидации отставания до принятия реш</w:t>
      </w:r>
      <w:r>
        <w:t>е</w:t>
      </w:r>
      <w:r>
        <w:t>ний о переходе на упрощенную процедуру представления докладов.</w:t>
      </w:r>
    </w:p>
    <w:p w:rsidR="003A26A0" w:rsidRDefault="003A26A0" w:rsidP="00EA465F">
      <w:pPr>
        <w:pStyle w:val="SingleTxt"/>
      </w:pPr>
      <w:r>
        <w:t>36.</w:t>
      </w:r>
      <w:r>
        <w:tab/>
        <w:t>В целом, председатели приветствовали переход на упрощенную процед</w:t>
      </w:r>
      <w:r>
        <w:t>у</w:t>
      </w:r>
      <w:r>
        <w:t>ру представления докладов для выполнения обязательств по представлению периодических докладов. Большинство председателей отметили, что в идеале первоначальный доклад государств-участников должны быть представлены по стандартной процедуре представления докладов, хотя в исключительных сл</w:t>
      </w:r>
      <w:r>
        <w:t>у</w:t>
      </w:r>
      <w:r>
        <w:t>чаях такой процедурой могут воспользоваться государства, которые давно пр</w:t>
      </w:r>
      <w:r>
        <w:t>о</w:t>
      </w:r>
      <w:r>
        <w:t>срочили время представления первоначальных докладов.</w:t>
      </w:r>
    </w:p>
    <w:p w:rsidR="003A26A0" w:rsidRDefault="003A26A0" w:rsidP="00EA465F">
      <w:pPr>
        <w:pStyle w:val="SingleTxt"/>
      </w:pPr>
      <w:r>
        <w:t>37.</w:t>
      </w:r>
      <w:r>
        <w:tab/>
        <w:t>Председатели Комитета по ликвидации дискриминации в отношении женщин и Комитета по правам ребенка информировали участников совещания о том, что их комитеты в позитивном ключе рассматривают упрощенную пр</w:t>
      </w:r>
      <w:r>
        <w:t>о</w:t>
      </w:r>
      <w:r>
        <w:t>цедуру представления докладов и, вероятнее всего, предложат государствам пользоваться этой процедурой в разумные сроки. Председатель Комитета по экономическим, социальным и культурным правам информировал участников совещания о том, что его комитет планирует на экспериментальной основе предложить ряду государств-членов пользоваться этой процедурой.</w:t>
      </w:r>
    </w:p>
    <w:p w:rsidR="003A26A0" w:rsidRDefault="003A26A0" w:rsidP="00EA465F">
      <w:pPr>
        <w:pStyle w:val="SingleTxt"/>
      </w:pPr>
      <w:r>
        <w:t>38.</w:t>
      </w:r>
      <w:r>
        <w:tab/>
        <w:t>Отметив, что список вопросов до представления докладов должен быть кратким и целенаправленным, председатели в целом высказали мнение о том, что ограничение по количеству задаваемых вопросов является практически н</w:t>
      </w:r>
      <w:r>
        <w:t>е</w:t>
      </w:r>
      <w:r>
        <w:t xml:space="preserve"> выполнимым и что цифра в 25 вопросов должна является рекомендацией, а не правилом. В ответ Председатель совещания предложил комитетам исходить из объективной оценки того, на сколько вопросов соответствующее государство-участник могло бы ответить с учетом нового ограничения по количеству слов, предусмотренного в пункте 16 резолюции </w:t>
      </w:r>
      <w:hyperlink r:id="rId35" w:history="1">
        <w:r w:rsidRPr="00F57E98">
          <w:rPr>
            <w:rStyle w:val="Hyperlink"/>
          </w:rPr>
          <w:t>68/268</w:t>
        </w:r>
      </w:hyperlink>
      <w:r>
        <w:t xml:space="preserve"> Генеральной Ассамблеи.</w:t>
      </w:r>
    </w:p>
    <w:p w:rsidR="003A26A0" w:rsidRDefault="003A26A0" w:rsidP="00EA465F">
      <w:pPr>
        <w:pStyle w:val="SingleTxt"/>
      </w:pPr>
      <w:r>
        <w:t>39.</w:t>
      </w:r>
      <w:r>
        <w:tab/>
        <w:t>Председатели комитетов, которые уже применяют упрощенную процедуру представления докладов, информировали участников совещания о том, что не существует каких</w:t>
      </w:r>
      <w:r>
        <w:noBreakHyphen/>
        <w:t>либо отдельных руководящих принципов для государств-участников в соответствии с упрощенной процедурой представления докладов и что государствам-участникам рекомендуется принимать во внимание об</w:t>
      </w:r>
      <w:r>
        <w:t>у</w:t>
      </w:r>
      <w:r>
        <w:t>словленные соответствующим договором руководящие принципы, применя</w:t>
      </w:r>
      <w:r>
        <w:t>е</w:t>
      </w:r>
      <w:r>
        <w:t>мые в стандартной процедуре представления докладов. Председатели высказ</w:t>
      </w:r>
      <w:r>
        <w:t>а</w:t>
      </w:r>
      <w:r>
        <w:t>ли мнение о том, что некоторые комитеты могли бы пересмотреть свои руков</w:t>
      </w:r>
      <w:r>
        <w:t>о</w:t>
      </w:r>
      <w:r>
        <w:t>дящие принципы в отношении представления докладов с учетом упрощенной процедуры представления докладов и нового ограничения по количеству слов для докладов государств-участников.</w:t>
      </w:r>
    </w:p>
    <w:p w:rsidR="003A26A0" w:rsidRDefault="003A26A0" w:rsidP="00EA465F">
      <w:pPr>
        <w:pStyle w:val="SingleTxt"/>
      </w:pPr>
      <w:r>
        <w:t>40.</w:t>
      </w:r>
      <w:r>
        <w:tab/>
        <w:t>Председатели рассмотрели проект единого формата списка вопросов в с</w:t>
      </w:r>
      <w:r>
        <w:t>о</w:t>
      </w:r>
      <w:r>
        <w:t>ответствии с упрощенной процедурой представления докладов, приведенной в приложении </w:t>
      </w:r>
      <w:r>
        <w:rPr>
          <w:lang w:val="en-US"/>
        </w:rPr>
        <w:t>III</w:t>
      </w:r>
      <w:r>
        <w:t xml:space="preserve"> к записке Секретариата (</w:t>
      </w:r>
      <w:hyperlink r:id="rId36" w:history="1">
        <w:r w:rsidRPr="00F57E98">
          <w:rPr>
            <w:rStyle w:val="Hyperlink"/>
            <w:lang w:val="en-US"/>
          </w:rPr>
          <w:t>HRI</w:t>
        </w:r>
        <w:r w:rsidRPr="00F57E98">
          <w:rPr>
            <w:rStyle w:val="Hyperlink"/>
          </w:rPr>
          <w:t>/</w:t>
        </w:r>
        <w:r w:rsidRPr="00F57E98">
          <w:rPr>
            <w:rStyle w:val="Hyperlink"/>
            <w:lang w:val="en-US"/>
          </w:rPr>
          <w:t>MC</w:t>
        </w:r>
        <w:r w:rsidRPr="00F57E98">
          <w:rPr>
            <w:rStyle w:val="Hyperlink"/>
          </w:rPr>
          <w:t>/2014/4</w:t>
        </w:r>
      </w:hyperlink>
      <w:r>
        <w:t>). Отметив полезность единого формата для списков вопросов до представления докладов, председ</w:t>
      </w:r>
      <w:r>
        <w:t>а</w:t>
      </w:r>
      <w:r>
        <w:t>тели подчеркнули, что этот формат может служить лишь в качестве подспорья для рассмотрения докладов договорных органов и что отдельные договорные органы должны по</w:t>
      </w:r>
      <w:r>
        <w:noBreakHyphen/>
        <w:t>прежнему иметь возможность составлять списки вопросов с учетом их потребностей и ситуации в соответствующем государстве-участнике.</w:t>
      </w:r>
    </w:p>
    <w:p w:rsidR="003A26A0" w:rsidRPr="00F118E4" w:rsidRDefault="003A26A0" w:rsidP="00EA465F">
      <w:pPr>
        <w:pStyle w:val="SingleTxt"/>
        <w:spacing w:after="0" w:line="120" w:lineRule="exact"/>
        <w:rPr>
          <w:sz w:val="10"/>
        </w:rPr>
      </w:pPr>
    </w:p>
    <w:p w:rsidR="003A26A0" w:rsidRPr="00F118E4"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B</w:t>
      </w:r>
      <w:r w:rsidRPr="00AD00FB">
        <w:t>.</w:t>
      </w:r>
      <w:r w:rsidRPr="00AD00FB">
        <w:tab/>
      </w:r>
      <w:r>
        <w:t>Конструктивный диалог</w:t>
      </w:r>
    </w:p>
    <w:p w:rsidR="003A26A0" w:rsidRPr="00F118E4" w:rsidRDefault="003A26A0" w:rsidP="00EA465F">
      <w:pPr>
        <w:pStyle w:val="SingleTxt"/>
        <w:spacing w:after="0" w:line="120" w:lineRule="exact"/>
        <w:rPr>
          <w:sz w:val="10"/>
        </w:rPr>
      </w:pPr>
    </w:p>
    <w:p w:rsidR="003A26A0" w:rsidRPr="00F118E4" w:rsidRDefault="003A26A0" w:rsidP="00EA465F">
      <w:pPr>
        <w:pStyle w:val="SingleTxt"/>
        <w:spacing w:after="0" w:line="120" w:lineRule="exact"/>
        <w:rPr>
          <w:sz w:val="10"/>
        </w:rPr>
      </w:pPr>
    </w:p>
    <w:p w:rsidR="003A26A0" w:rsidRDefault="003A26A0" w:rsidP="00EA465F">
      <w:pPr>
        <w:pStyle w:val="SingleTxt"/>
      </w:pPr>
      <w:r>
        <w:t>41.</w:t>
      </w:r>
      <w:r>
        <w:tab/>
        <w:t>24 и 25 июня 2014 года председатели рассмотрели возможность соглас</w:t>
      </w:r>
      <w:r>
        <w:t>о</w:t>
      </w:r>
      <w:r>
        <w:t>вания методов проведения конструктивного диалога договорных органов с</w:t>
      </w:r>
      <w:r>
        <w:br/>
        <w:t>государствами-участниками. Председатель обратил внимание участников на записку Секретариата о конструктивном диалоге между договорными органами и государствами-участниками (</w:t>
      </w:r>
      <w:hyperlink r:id="rId37" w:history="1">
        <w:r w:rsidRPr="00F57E98">
          <w:rPr>
            <w:rStyle w:val="Hyperlink"/>
            <w:lang w:val="en-US"/>
          </w:rPr>
          <w:t>HRI</w:t>
        </w:r>
        <w:r w:rsidRPr="00F57E98">
          <w:rPr>
            <w:rStyle w:val="Hyperlink"/>
          </w:rPr>
          <w:t>/</w:t>
        </w:r>
        <w:r w:rsidRPr="00F57E98">
          <w:rPr>
            <w:rStyle w:val="Hyperlink"/>
            <w:lang w:val="en-US"/>
          </w:rPr>
          <w:t>MC</w:t>
        </w:r>
        <w:r w:rsidRPr="00F57E98">
          <w:rPr>
            <w:rStyle w:val="Hyperlink"/>
          </w:rPr>
          <w:t>/2014/3</w:t>
        </w:r>
      </w:hyperlink>
      <w:r>
        <w:t>). Он отметил, что на двадцать пятом совещании председателей было принято решение рассмотреть вопросы, касающиеся письменных рекомендаций, страновых целевых групп, объедин</w:t>
      </w:r>
      <w:r>
        <w:t>е</w:t>
      </w:r>
      <w:r>
        <w:t>ния вопросов по темам, справедливого распределения времени между членами договорного органа и представителями государства-участника, а также пред</w:t>
      </w:r>
      <w:r>
        <w:t>ы</w:t>
      </w:r>
      <w:r>
        <w:t>дущих заключительных замечаний, которым уделялось внимание в ходе ко</w:t>
      </w:r>
      <w:r>
        <w:t>н</w:t>
      </w:r>
      <w:r>
        <w:t>структивного диалога. В справочной записке представлен сопоставительный анализ существующей практики и предложения в отношении общих рекоме</w:t>
      </w:r>
      <w:r>
        <w:t>н</w:t>
      </w:r>
      <w:r>
        <w:t>даций по конструктивному диалогу. В ходе обсуждений председатели соглас</w:t>
      </w:r>
      <w:r>
        <w:t>и</w:t>
      </w:r>
      <w:r>
        <w:t>лись с тем, что термин «конструктивный диалог» охватывает лишь устный и непосредственный диалог между членами делегации государства-участника и членами Комитета.</w:t>
      </w:r>
    </w:p>
    <w:p w:rsidR="003A26A0" w:rsidRDefault="003A26A0" w:rsidP="00EA465F">
      <w:pPr>
        <w:pStyle w:val="SingleTxt"/>
      </w:pPr>
      <w:r>
        <w:t>42.</w:t>
      </w:r>
      <w:r>
        <w:tab/>
        <w:t>Председатели выступили в поддержку целей, сформулированных в пун</w:t>
      </w:r>
      <w:r>
        <w:t>к</w:t>
      </w:r>
      <w:r>
        <w:t>те 5 резолюции </w:t>
      </w:r>
      <w:hyperlink r:id="rId38" w:history="1">
        <w:r w:rsidRPr="00F57E98">
          <w:rPr>
            <w:rStyle w:val="Hyperlink"/>
          </w:rPr>
          <w:t>68/268</w:t>
        </w:r>
      </w:hyperlink>
      <w:r>
        <w:t xml:space="preserve"> Генеральной Ассамблеи, в частности касающихся п</w:t>
      </w:r>
      <w:r>
        <w:t>о</w:t>
      </w:r>
      <w:r>
        <w:t>вышения эффективности диалога, максимального использования имеющегося времени и поощрения более интерактивного и продуктивного диалога с гос</w:t>
      </w:r>
      <w:r>
        <w:t>у</w:t>
      </w:r>
      <w:r>
        <w:t>дарствами-участниками, подчеркнув при этом необходимость обеспечения каждому комитету возможности гибко корректировать диалог с учетом его ко</w:t>
      </w:r>
      <w:r>
        <w:t>н</w:t>
      </w:r>
      <w:r>
        <w:t>кретных потребностей.</w:t>
      </w:r>
    </w:p>
    <w:p w:rsidR="003A26A0" w:rsidRDefault="003A26A0" w:rsidP="00EA465F">
      <w:pPr>
        <w:pStyle w:val="SingleTxt"/>
      </w:pPr>
      <w:r>
        <w:t>43.</w:t>
      </w:r>
      <w:r>
        <w:tab/>
        <w:t>Председатели напомнили о том, что в процессе диалога председатель д</w:t>
      </w:r>
      <w:r>
        <w:t>о</w:t>
      </w:r>
      <w:r>
        <w:t>говорного органа несет ответственность за обеспечение эффективного распр</w:t>
      </w:r>
      <w:r>
        <w:t>е</w:t>
      </w:r>
      <w:r>
        <w:t>деления времени. При необходимости это предусматривает руководство диал</w:t>
      </w:r>
      <w:r>
        <w:t>о</w:t>
      </w:r>
      <w:r>
        <w:t>гом, ограничение продолжительности выступлений членов делегаций госуда</w:t>
      </w:r>
      <w:r>
        <w:t>р</w:t>
      </w:r>
      <w:r>
        <w:t>ства-участника, а также членов договорных органов. Они также единодушно отметили, что, насколько это возможно и в пределах полномочий председат</w:t>
      </w:r>
      <w:r>
        <w:t>е</w:t>
      </w:r>
      <w:r>
        <w:t>лей, договорные органы, в принципе, должны проводить непосредственный диалог с представителями государств-участников в течение двух совещаний продолжительностью в три часа в ходе двух рабочих дней подряд. Кроме того, государствам-участникам необходимо сообщить, сколько времени представ</w:t>
      </w:r>
      <w:r>
        <w:t>и</w:t>
      </w:r>
      <w:r>
        <w:t>телям отводится для вступительных и завершающих заявлений.</w:t>
      </w:r>
    </w:p>
    <w:p w:rsidR="003A26A0" w:rsidRDefault="003A26A0" w:rsidP="00EA465F">
      <w:pPr>
        <w:pStyle w:val="SingleTxt"/>
      </w:pPr>
      <w:r>
        <w:t>44.</w:t>
      </w:r>
      <w:r>
        <w:tab/>
        <w:t>Помимо перечисленных выше вопросов, по которым было достигнуто единство мнений, председатели обратили особое внимание на позиции соо</w:t>
      </w:r>
      <w:r>
        <w:t>т</w:t>
      </w:r>
      <w:r>
        <w:t>ветствующих комитетов в отношении использования целевых страновых групп и определения порядка проведения конструктивного диалога по тематическим вопросам. Председатели Комитета по ликвидации дискриминации в отношении женщин, Комитета против пыток, Комитета по правам ребенка и Комитета по правам человека выразили мнение о том, что страновые группы (группы чл</w:t>
      </w:r>
      <w:r>
        <w:t>е</w:t>
      </w:r>
      <w:r>
        <w:t>нов дог</w:t>
      </w:r>
      <w:r>
        <w:t>о</w:t>
      </w:r>
      <w:r>
        <w:t>ворных органов), также называемые страновыми целевыми группами, работа которых координируется одним или более страновыми докладчиками, позволили повысить качество диалога. Председатель Комитета по экономич</w:t>
      </w:r>
      <w:r>
        <w:t>е</w:t>
      </w:r>
      <w:r>
        <w:t>ским, с</w:t>
      </w:r>
      <w:r>
        <w:t>о</w:t>
      </w:r>
      <w:r>
        <w:t>циальным и культурным правам информировал участников совещания о том, что недавно его комитет на экспериментальной основе ввел систему страновых докладчиков и что на данном этапе он считает преждевременным вводить систему страновых групп. Председатели Комитета по ликвидации р</w:t>
      </w:r>
      <w:r>
        <w:t>а</w:t>
      </w:r>
      <w:r>
        <w:t>совой дискриминации и Комитета по правам всех трудящихся мигрантов, в к</w:t>
      </w:r>
      <w:r>
        <w:t>о</w:t>
      </w:r>
      <w:r>
        <w:t>торых в настоящее время не существует страновых групп, заявили, что любые изменения в существующей методологии необходимо тщательно изучить и о</w:t>
      </w:r>
      <w:r>
        <w:t>б</w:t>
      </w:r>
      <w:r>
        <w:t>судить в их комитетах. Председатели Комитета по правам инвалидов и Комит</w:t>
      </w:r>
      <w:r>
        <w:t>е</w:t>
      </w:r>
      <w:r>
        <w:t>та по насильственным исчезновениям, в которых в настоящее время не испол</w:t>
      </w:r>
      <w:r>
        <w:t>ь</w:t>
      </w:r>
      <w:r>
        <w:t>зуются страновые группы, информировали участников совещания о том, что их комитеты в положительном ключе рассматривают возможность внедрения т</w:t>
      </w:r>
      <w:r>
        <w:t>а</w:t>
      </w:r>
      <w:r>
        <w:t>кой практики. Председатель Комитета по насильственным исчезновениям по</w:t>
      </w:r>
      <w:r>
        <w:t>д</w:t>
      </w:r>
      <w:r>
        <w:t>черкнул, что одной из проблем является размер комитета, и подчеркнул, что в составе страновых групп необходимо учитывать не только географический и гендерный баланс, но также и знание языков.</w:t>
      </w:r>
    </w:p>
    <w:p w:rsidR="003A26A0" w:rsidRDefault="003A26A0" w:rsidP="00EA465F">
      <w:pPr>
        <w:pStyle w:val="SingleTxt"/>
      </w:pPr>
      <w:r>
        <w:t>45.</w:t>
      </w:r>
      <w:r>
        <w:tab/>
        <w:t>Председатели Комитета по экономическим, социальным и культурным правам, Комитета по ликвидации дискриминации в отношении женщин, Ком</w:t>
      </w:r>
      <w:r>
        <w:t>и</w:t>
      </w:r>
      <w:r>
        <w:t>тета по правам ребенка, Комитета по правам инвалидов и Комитета по насил</w:t>
      </w:r>
      <w:r>
        <w:t>ь</w:t>
      </w:r>
      <w:r>
        <w:t>ственным исчезновениям заявили, что в их комитетах конструктивный диалог с представителями государств-участников уже строится на основе тематических групп вопросов. Председатель Комитета по правам человека отметил, что его комитет мог бы рассмотреть эту возможность при условии, что ему будет обе</w:t>
      </w:r>
      <w:r>
        <w:t>с</w:t>
      </w:r>
      <w:r>
        <w:t>печена возможность по</w:t>
      </w:r>
      <w:r>
        <w:noBreakHyphen/>
        <w:t>прежнему менять формат тематических групп вопр</w:t>
      </w:r>
      <w:r>
        <w:t>о</w:t>
      </w:r>
      <w:r>
        <w:t>сов с учетом конкретной ситуации в том или ином государстве-участнике. Председатель Комитета по ликвидации расовой дискриминации указал, что в его комитете в настоящее время в диалоге не используются тематические в</w:t>
      </w:r>
      <w:r>
        <w:t>о</w:t>
      </w:r>
      <w:r>
        <w:t>просы. Председатель Комитета по правам всех трудящихся мигрантов инфо</w:t>
      </w:r>
      <w:r>
        <w:t>р</w:t>
      </w:r>
      <w:r>
        <w:t>мировал участников совещания о том, что в его комитете конструктивный ди</w:t>
      </w:r>
      <w:r>
        <w:t>а</w:t>
      </w:r>
      <w:r>
        <w:t xml:space="preserve">лог основывается на статьях Конвенции и что он не предполагает менять этот порядок. </w:t>
      </w:r>
    </w:p>
    <w:p w:rsidR="003A26A0" w:rsidRDefault="003A26A0" w:rsidP="00EA465F">
      <w:pPr>
        <w:pStyle w:val="SingleTxt"/>
      </w:pPr>
      <w:r>
        <w:t>46.</w:t>
      </w:r>
      <w:r>
        <w:tab/>
        <w:t>Председатели отметили, что в пункте 5 резолюции </w:t>
      </w:r>
      <w:hyperlink r:id="rId39" w:history="1">
        <w:r w:rsidRPr="00F57E98">
          <w:rPr>
            <w:rStyle w:val="Hyperlink"/>
          </w:rPr>
          <w:t>68/268</w:t>
        </w:r>
      </w:hyperlink>
      <w:r>
        <w:t xml:space="preserve"> Генеральной Ассамблеи договорным органам рекомендуется выработать согласованную м</w:t>
      </w:r>
      <w:r>
        <w:t>е</w:t>
      </w:r>
      <w:r>
        <w:t>тодологию конструктивного диалога. После состоявшегося обсуждения пре</w:t>
      </w:r>
      <w:r>
        <w:t>д</w:t>
      </w:r>
      <w:r>
        <w:t>седатели предложили договорным органам рассмотреть записку о рекоменд</w:t>
      </w:r>
      <w:r>
        <w:t>а</w:t>
      </w:r>
      <w:r>
        <w:t>циях государствам-участникам в отношении конструктивного диалога с дог</w:t>
      </w:r>
      <w:r>
        <w:t>о</w:t>
      </w:r>
      <w:r>
        <w:t>ворными органами по правам человека, содержащуюся в приложении </w:t>
      </w:r>
      <w:r>
        <w:rPr>
          <w:lang w:val="en-US"/>
        </w:rPr>
        <w:t>I</w:t>
      </w:r>
      <w:r>
        <w:t xml:space="preserve"> к настоящему докладу, с целью ее доведения до сведения государств-участников. </w:t>
      </w:r>
    </w:p>
    <w:p w:rsidR="003A26A0" w:rsidRPr="00241A10" w:rsidRDefault="003A26A0" w:rsidP="00EA465F">
      <w:pPr>
        <w:pStyle w:val="SingleTxt"/>
        <w:spacing w:after="0" w:line="120" w:lineRule="exact"/>
        <w:rPr>
          <w:sz w:val="10"/>
        </w:rPr>
      </w:pPr>
    </w:p>
    <w:p w:rsidR="003A26A0" w:rsidRPr="00241A10"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C</w:t>
      </w:r>
      <w:r w:rsidRPr="00C82329">
        <w:t>.</w:t>
      </w:r>
      <w:r w:rsidRPr="00C82329">
        <w:tab/>
      </w:r>
      <w:r>
        <w:t>Заключительные замечания</w:t>
      </w:r>
    </w:p>
    <w:p w:rsidR="003A26A0" w:rsidRPr="00241A10" w:rsidRDefault="003A26A0" w:rsidP="00EA465F">
      <w:pPr>
        <w:pStyle w:val="SingleTxt"/>
        <w:spacing w:after="0" w:line="120" w:lineRule="exact"/>
        <w:rPr>
          <w:sz w:val="10"/>
        </w:rPr>
      </w:pPr>
    </w:p>
    <w:p w:rsidR="003A26A0" w:rsidRPr="00241A10" w:rsidRDefault="003A26A0" w:rsidP="00EA465F">
      <w:pPr>
        <w:pStyle w:val="SingleTxt"/>
        <w:spacing w:after="0" w:line="120" w:lineRule="exact"/>
        <w:rPr>
          <w:sz w:val="10"/>
        </w:rPr>
      </w:pPr>
    </w:p>
    <w:p w:rsidR="003A26A0" w:rsidRDefault="003A26A0" w:rsidP="00EA465F">
      <w:pPr>
        <w:pStyle w:val="SingleTxt"/>
      </w:pPr>
      <w:r>
        <w:t>47.</w:t>
      </w:r>
      <w:r>
        <w:tab/>
        <w:t>26 июня 2014 года Председатели обсудили записку Секретариата о закл</w:t>
      </w:r>
      <w:r>
        <w:t>ю</w:t>
      </w:r>
      <w:r>
        <w:t>чительных замечаниях (</w:t>
      </w:r>
      <w:hyperlink r:id="rId40" w:history="1">
        <w:r w:rsidRPr="00F57E98">
          <w:rPr>
            <w:rStyle w:val="Hyperlink"/>
            <w:lang w:val="en-US"/>
          </w:rPr>
          <w:t>HRI</w:t>
        </w:r>
        <w:r w:rsidRPr="00F57E98">
          <w:rPr>
            <w:rStyle w:val="Hyperlink"/>
          </w:rPr>
          <w:t>/</w:t>
        </w:r>
        <w:r w:rsidRPr="00F57E98">
          <w:rPr>
            <w:rStyle w:val="Hyperlink"/>
            <w:lang w:val="en-US"/>
          </w:rPr>
          <w:t>MC</w:t>
        </w:r>
        <w:r w:rsidRPr="00F57E98">
          <w:rPr>
            <w:rStyle w:val="Hyperlink"/>
          </w:rPr>
          <w:t>/2014/2</w:t>
        </w:r>
      </w:hyperlink>
      <w:r w:rsidRPr="00241A10">
        <w:t>),</w:t>
      </w:r>
      <w:r>
        <w:t xml:space="preserve"> в том числе предложение в отнош</w:t>
      </w:r>
      <w:r>
        <w:t>е</w:t>
      </w:r>
      <w:r>
        <w:t>нии проекта согласованного формата заключительных замечаний, содержащ</w:t>
      </w:r>
      <w:r>
        <w:t>е</w:t>
      </w:r>
      <w:r>
        <w:t>гося в приложении к записке.</w:t>
      </w:r>
    </w:p>
    <w:p w:rsidR="003A26A0" w:rsidRDefault="003A26A0" w:rsidP="00EA465F">
      <w:pPr>
        <w:pStyle w:val="SingleTxt"/>
      </w:pPr>
      <w:r w:rsidRPr="00B369FA">
        <w:t>48.</w:t>
      </w:r>
      <w:r w:rsidRPr="00B369FA">
        <w:tab/>
      </w:r>
      <w:r>
        <w:t>Председатели приветствовали содержащийся в пункте 6 резол</w:t>
      </w:r>
      <w:r>
        <w:t>ю</w:t>
      </w:r>
      <w:r>
        <w:t>ции </w:t>
      </w:r>
      <w:hyperlink r:id="rId41" w:history="1">
        <w:r w:rsidRPr="00D10748">
          <w:rPr>
            <w:rStyle w:val="Hyperlink"/>
          </w:rPr>
          <w:t>68/268</w:t>
        </w:r>
      </w:hyperlink>
      <w:r>
        <w:t xml:space="preserve"> призыв давать краткие, адресные и конкретные заключительные з</w:t>
      </w:r>
      <w:r>
        <w:t>а</w:t>
      </w:r>
      <w:r>
        <w:t>мечания. Вместе с тем некоторые председатели подчеркнули, что в заключ</w:t>
      </w:r>
      <w:r>
        <w:t>и</w:t>
      </w:r>
      <w:r>
        <w:t>тельных замечаниях необходимо учитывать особенности соответствующих к</w:t>
      </w:r>
      <w:r>
        <w:t>о</w:t>
      </w:r>
      <w:r>
        <w:t>митетов.</w:t>
      </w:r>
    </w:p>
    <w:p w:rsidR="003A26A0" w:rsidRDefault="003A26A0" w:rsidP="00EA465F">
      <w:pPr>
        <w:pStyle w:val="SingleTxt"/>
      </w:pPr>
      <w:r>
        <w:t>49.</w:t>
      </w:r>
      <w:r>
        <w:tab/>
        <w:t>Был рассмотрен вопрос о том, следует ли обсуждать в ходе диалога в</w:t>
      </w:r>
      <w:r>
        <w:t>о</w:t>
      </w:r>
      <w:r>
        <w:t>просы, затронутые в заключительных замечаниях, причем некоторые из пре</w:t>
      </w:r>
      <w:r>
        <w:t>д</w:t>
      </w:r>
      <w:r>
        <w:t>седателей выступили в поддержку такого подхода, а другие указали, что ответы на список вопросов могли бы также послужить основой для формулирования опасений в заключительных замечаниях, даже если они не затрагивались в х</w:t>
      </w:r>
      <w:r>
        <w:t>о</w:t>
      </w:r>
      <w:r>
        <w:t>де диалога. Кроме того, председатели обменялись мнениями по в</w:t>
      </w:r>
      <w:r>
        <w:t>о</w:t>
      </w:r>
      <w:r>
        <w:t>просу о том, насколько в проекте заключительных замечаний следует отражать ход ос</w:t>
      </w:r>
      <w:r>
        <w:t>у</w:t>
      </w:r>
      <w:r>
        <w:t>ществления государством-участником предыдущих заключительных замеч</w:t>
      </w:r>
      <w:r>
        <w:t>а</w:t>
      </w:r>
      <w:r>
        <w:t>ний.</w:t>
      </w:r>
    </w:p>
    <w:p w:rsidR="003A26A0" w:rsidRDefault="003A26A0" w:rsidP="00EA465F">
      <w:pPr>
        <w:pStyle w:val="SingleTxt"/>
      </w:pPr>
      <w:r>
        <w:t>50.</w:t>
      </w:r>
      <w:r>
        <w:tab/>
        <w:t>Председатели пришли к общему мнению о том, что соответствующим д</w:t>
      </w:r>
      <w:r>
        <w:t>о</w:t>
      </w:r>
      <w:r>
        <w:t>говорным органам следует рекомендовать разрабатывать рекомендации, соде</w:t>
      </w:r>
      <w:r>
        <w:t>р</w:t>
      </w:r>
      <w:r>
        <w:t>жащие конкретные и исполнимые указания для государств-участников в отн</w:t>
      </w:r>
      <w:r>
        <w:t>о</w:t>
      </w:r>
      <w:r>
        <w:t>шении мер по выполнению договорных обязательств, в том числе, в соотве</w:t>
      </w:r>
      <w:r>
        <w:t>т</w:t>
      </w:r>
      <w:r>
        <w:t>ствующих случаях, предусматривать ограниченные по времени целевые пок</w:t>
      </w:r>
      <w:r>
        <w:t>а</w:t>
      </w:r>
      <w:r>
        <w:t>затели или другие первоочередные задачи. Председатели отметили, что вопрос о включении показателей оценки деятельности государств-участников по ос</w:t>
      </w:r>
      <w:r>
        <w:t>у</w:t>
      </w:r>
      <w:r>
        <w:t>ществлению конкретных договорных положений в заключительные замечания нуждается в дальнейшем изучении.</w:t>
      </w:r>
    </w:p>
    <w:p w:rsidR="003A26A0" w:rsidRDefault="003A26A0" w:rsidP="00EA465F">
      <w:pPr>
        <w:pStyle w:val="SingleTxt"/>
      </w:pPr>
      <w:r>
        <w:t>51.</w:t>
      </w:r>
      <w:r>
        <w:tab/>
        <w:t>Председатели также пришли к общему мнению о том, что в заключител</w:t>
      </w:r>
      <w:r>
        <w:t>ь</w:t>
      </w:r>
      <w:r>
        <w:t>ных замечаниях следует указывать соответствующую статью договора и что в этой связи полезными могли бы оказаться подзаголовки заключительных зам</w:t>
      </w:r>
      <w:r>
        <w:t>е</w:t>
      </w:r>
      <w:r>
        <w:t>чаний. Председатели далее отметили, что, насколько это возможно, комит</w:t>
      </w:r>
      <w:r>
        <w:t>е</w:t>
      </w:r>
      <w:r>
        <w:t>там следует рекомендовать ограничивать использование стандартных пунктов в ц</w:t>
      </w:r>
      <w:r>
        <w:t>е</w:t>
      </w:r>
      <w:r>
        <w:t>лях процедурной эффективности или в тех случаях, когда в конкретных обст</w:t>
      </w:r>
      <w:r>
        <w:t>о</w:t>
      </w:r>
      <w:r>
        <w:t>ятельствах возникает необходимость обеспечить последовательность процед</w:t>
      </w:r>
      <w:r>
        <w:t>у</w:t>
      </w:r>
      <w:r>
        <w:t>ры и/или равноправное отношение к государствам-участникам.</w:t>
      </w:r>
    </w:p>
    <w:p w:rsidR="003A26A0" w:rsidRDefault="003A26A0" w:rsidP="00EA465F">
      <w:pPr>
        <w:pStyle w:val="SingleTxt"/>
      </w:pPr>
      <w:r>
        <w:t>52.</w:t>
      </w:r>
      <w:r>
        <w:tab/>
        <w:t>Председатели отметили нецелесообразность введения ограничения в ра</w:t>
      </w:r>
      <w:r>
        <w:t>з</w:t>
      </w:r>
      <w:r>
        <w:t>мере 3300 слов для заключительных замечаний по периодическим докладам. Кроме того, председатели обсудили вопрос о размещении рекомендаций в п</w:t>
      </w:r>
      <w:r>
        <w:t>о</w:t>
      </w:r>
      <w:r>
        <w:t>рядке первоочередности с учетом возможности государств-участников прин</w:t>
      </w:r>
      <w:r>
        <w:t>и</w:t>
      </w:r>
      <w:r>
        <w:t>мать эффективные практические меры в течение того или иного цикла пре</w:t>
      </w:r>
      <w:r>
        <w:t>д</w:t>
      </w:r>
      <w:r>
        <w:t>ставления докладов и с учетом необходимости балансирования безотлагател</w:t>
      </w:r>
      <w:r>
        <w:t>ь</w:t>
      </w:r>
      <w:r>
        <w:t>ных и более долгосрочных первоочередных задач, как с точки зрения их сро</w:t>
      </w:r>
      <w:r>
        <w:t>ч</w:t>
      </w:r>
      <w:r>
        <w:t>ности, так и выполнимости. Хотя некоторые комитеты фактически определяют порядок приоритетности рекомендаций в контексте процедуры их выполн</w:t>
      </w:r>
      <w:r>
        <w:t>е</w:t>
      </w:r>
      <w:r>
        <w:t>ния, большинство комитетов отметили, что такая практика может оказаться сло</w:t>
      </w:r>
      <w:r>
        <w:t>ж</w:t>
      </w:r>
      <w:r>
        <w:t>ной и контрпродуктивной.</w:t>
      </w:r>
    </w:p>
    <w:p w:rsidR="003A26A0" w:rsidRDefault="003A26A0" w:rsidP="00EA465F">
      <w:pPr>
        <w:pStyle w:val="SingleTxt"/>
      </w:pPr>
      <w:r>
        <w:t>53.</w:t>
      </w:r>
      <w:r>
        <w:tab/>
        <w:t>Кроме того, некоторые председатели согласились с тем, что рекомендации других договорных органов и механизмов по правам человека следует анал</w:t>
      </w:r>
      <w:r>
        <w:t>и</w:t>
      </w:r>
      <w:r>
        <w:t>зировать на этапе рассмотрения положения в государствах-участниках в целях повышения взаимодополняемости правозащитных механизмов, однако другие председатели указали на непрактичность включения в заключительные замеч</w:t>
      </w:r>
      <w:r>
        <w:t>а</w:t>
      </w:r>
      <w:r>
        <w:t>ния систематических перекрестных ссылок на соответствующие рекомендации других договорных органов и механизмов.</w:t>
      </w:r>
    </w:p>
    <w:p w:rsidR="003A26A0" w:rsidRDefault="003A26A0" w:rsidP="00EA465F">
      <w:pPr>
        <w:pStyle w:val="SingleTxt"/>
      </w:pPr>
      <w:r>
        <w:t>54.</w:t>
      </w:r>
      <w:r>
        <w:tab/>
        <w:t>Председатели отметили, что в пункте 6 резолюции </w:t>
      </w:r>
      <w:hyperlink r:id="rId42" w:history="1">
        <w:r w:rsidRPr="00D10748">
          <w:rPr>
            <w:rStyle w:val="Hyperlink"/>
          </w:rPr>
          <w:t>68/268</w:t>
        </w:r>
      </w:hyperlink>
      <w:r>
        <w:t xml:space="preserve"> Генеральной Ассамблеи к договорным органам обращен призыв разработать общие руков</w:t>
      </w:r>
      <w:r>
        <w:t>о</w:t>
      </w:r>
      <w:r>
        <w:t>дящие принципы подготовки заключительных замечаний. После обсуждения председатели предложили договорным органам рассмотреть рамочную основу заключительных замечаний, приведенную в приложении II к настоящему д</w:t>
      </w:r>
      <w:r>
        <w:t>о</w:t>
      </w:r>
      <w:r>
        <w:t>кладу. Председатели подчеркнули, что договорные органы должны оставлять за собой право адаптировать эту рамочную основу с учетом конкретных ос</w:t>
      </w:r>
      <w:r>
        <w:t>о</w:t>
      </w:r>
      <w:r>
        <w:t>бенностей каждого договора.</w:t>
      </w:r>
    </w:p>
    <w:p w:rsidR="003A26A0" w:rsidRPr="009214C0" w:rsidRDefault="003A26A0" w:rsidP="00EA465F">
      <w:pPr>
        <w:pStyle w:val="SingleTxt"/>
        <w:spacing w:after="0" w:line="120" w:lineRule="exact"/>
        <w:rPr>
          <w:sz w:val="10"/>
        </w:rPr>
      </w:pPr>
    </w:p>
    <w:p w:rsidR="003A26A0" w:rsidRPr="009214C0" w:rsidRDefault="003A26A0" w:rsidP="00EA465F">
      <w:pPr>
        <w:pStyle w:val="SingleTxt"/>
        <w:spacing w:after="0" w:line="120" w:lineRule="exact"/>
        <w:rPr>
          <w:sz w:val="10"/>
        </w:rPr>
      </w:pP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Неофициальные консультации с государствами-участниками</w:t>
      </w:r>
    </w:p>
    <w:p w:rsidR="003A26A0" w:rsidRPr="009214C0" w:rsidRDefault="003A26A0" w:rsidP="00EA465F">
      <w:pPr>
        <w:pStyle w:val="SingleTxt"/>
        <w:spacing w:after="0" w:line="120" w:lineRule="exact"/>
        <w:rPr>
          <w:sz w:val="10"/>
        </w:rPr>
      </w:pPr>
    </w:p>
    <w:p w:rsidR="003A26A0" w:rsidRPr="009214C0" w:rsidRDefault="003A26A0" w:rsidP="00EA465F">
      <w:pPr>
        <w:pStyle w:val="SingleTxt"/>
        <w:spacing w:after="0" w:line="120" w:lineRule="exact"/>
        <w:rPr>
          <w:sz w:val="10"/>
        </w:rPr>
      </w:pPr>
    </w:p>
    <w:p w:rsidR="003A26A0" w:rsidRPr="009214C0" w:rsidRDefault="003A26A0" w:rsidP="00EA465F">
      <w:pPr>
        <w:pStyle w:val="SingleTxt"/>
      </w:pPr>
      <w:r>
        <w:t>55.</w:t>
      </w:r>
      <w:r>
        <w:tab/>
        <w:t>25 июня 2014 года председатели провели неофициальные консультации с государствами-участниками в отношении резолюции </w:t>
      </w:r>
      <w:hyperlink r:id="rId43" w:history="1">
        <w:r w:rsidRPr="00D10748">
          <w:rPr>
            <w:rStyle w:val="Hyperlink"/>
          </w:rPr>
          <w:t>68/268</w:t>
        </w:r>
      </w:hyperlink>
      <w:r>
        <w:t xml:space="preserve"> Генеральной А</w:t>
      </w:r>
      <w:r>
        <w:t>с</w:t>
      </w:r>
      <w:r>
        <w:t>самблеи об укреплении и повышении эффективности функционирования с</w:t>
      </w:r>
      <w:r>
        <w:t>и</w:t>
      </w:r>
      <w:r>
        <w:t>стемы договорных органов по правам человека.</w:t>
      </w:r>
    </w:p>
    <w:p w:rsidR="003A26A0" w:rsidRPr="009214C0" w:rsidRDefault="003A26A0" w:rsidP="00EA465F">
      <w:pPr>
        <w:pStyle w:val="SingleTxt"/>
      </w:pPr>
      <w:r>
        <w:t>56.</w:t>
      </w:r>
      <w:r>
        <w:tab/>
        <w:t>Председатель двадцать шестого совещания председателей приветствовал возможность возобновить партнерство с государствами-участниками и выст</w:t>
      </w:r>
      <w:r>
        <w:t>у</w:t>
      </w:r>
      <w:r>
        <w:t>пил в поддержку осуществления государствами-участниками резолюции Ген</w:t>
      </w:r>
      <w:r>
        <w:t>е</w:t>
      </w:r>
      <w:r>
        <w:t>ральной Ассамблеи об укреплении договорных органов. Он приветствовал возможности, которые открывает эта резолюция, в частности обеспечение д</w:t>
      </w:r>
      <w:r>
        <w:t>о</w:t>
      </w:r>
      <w:r>
        <w:t>полнительного времени для проведения совещаний в целях ликвидации отст</w:t>
      </w:r>
      <w:r>
        <w:t>а</w:t>
      </w:r>
      <w:r>
        <w:t>вания в рассмотрении докладов государств-участников и индивидуальных с</w:t>
      </w:r>
      <w:r>
        <w:t>о</w:t>
      </w:r>
      <w:r>
        <w:t>общений.</w:t>
      </w:r>
    </w:p>
    <w:p w:rsidR="003A26A0" w:rsidRDefault="003A26A0" w:rsidP="00EA465F">
      <w:pPr>
        <w:pStyle w:val="SingleTxt"/>
      </w:pPr>
      <w:r>
        <w:t>57.</w:t>
      </w:r>
      <w:r>
        <w:tab/>
        <w:t>Другие председатели представили мнения их соответствующих комитетов в отношении резолюций, подчеркнув независимость и беспристрастность чл</w:t>
      </w:r>
      <w:r>
        <w:t>е</w:t>
      </w:r>
      <w:r>
        <w:t>нов этих комитетов и указав на особенности соответствующих договоров. В целом они изъявили готовность согласовать различные методы работы на о</w:t>
      </w:r>
      <w:r>
        <w:t>с</w:t>
      </w:r>
      <w:r>
        <w:t>нове передовой практики и обеспечить повышение эффективности использу</w:t>
      </w:r>
      <w:r>
        <w:t>е</w:t>
      </w:r>
      <w:r>
        <w:t>мых ими процедур с учетом различного характера каждого договора. В частн</w:t>
      </w:r>
      <w:r>
        <w:t>о</w:t>
      </w:r>
      <w:r>
        <w:t>сти, председатели указали, что эта резолюция является одним из инструментов упрощения работы государств-участников при подготовке докладов, и приве</w:t>
      </w:r>
      <w:r>
        <w:t>т</w:t>
      </w:r>
      <w:r>
        <w:t>ствовали положения по укреплению потенциала и оказанию технической п</w:t>
      </w:r>
      <w:r>
        <w:t>о</w:t>
      </w:r>
      <w:r>
        <w:t>мощи, принятые Генеральной Ассамблеей. Они указали, что общими задачами являются повышение заметности, активизация деятельности по осуществл</w:t>
      </w:r>
      <w:r>
        <w:t>е</w:t>
      </w:r>
      <w:r>
        <w:t>нию соответствующих договоров и расширение потенциала национальных с</w:t>
      </w:r>
      <w:r>
        <w:t>и</w:t>
      </w:r>
      <w:r>
        <w:t>стем защиты.</w:t>
      </w:r>
    </w:p>
    <w:p w:rsidR="003A26A0" w:rsidRDefault="003A26A0" w:rsidP="00EA465F">
      <w:pPr>
        <w:pStyle w:val="SingleTxt"/>
      </w:pPr>
      <w:r>
        <w:t>58.</w:t>
      </w:r>
      <w:r>
        <w:tab/>
        <w:t>Государства-участники отметили, что резолюция </w:t>
      </w:r>
      <w:hyperlink r:id="rId44" w:history="1">
        <w:r w:rsidRPr="00D10748">
          <w:rPr>
            <w:rStyle w:val="Hyperlink"/>
          </w:rPr>
          <w:t>68/268</w:t>
        </w:r>
      </w:hyperlink>
      <w:r>
        <w:t xml:space="preserve"> является эп</w:t>
      </w:r>
      <w:r>
        <w:t>о</w:t>
      </w:r>
      <w:r>
        <w:t>хальным документом. Они указали, что оперативное осуществление ее пол</w:t>
      </w:r>
      <w:r>
        <w:t>о</w:t>
      </w:r>
      <w:r>
        <w:t>жений имеет существенно важное значение для укрепления защиты прав чел</w:t>
      </w:r>
      <w:r>
        <w:t>о</w:t>
      </w:r>
      <w:r>
        <w:t>века на местах. Государства-участники призвали договорные органы операти</w:t>
      </w:r>
      <w:r>
        <w:t>в</w:t>
      </w:r>
      <w:r>
        <w:t>но сократить накопившееся отставание, согласовать их методы работы, вкл</w:t>
      </w:r>
      <w:r>
        <w:t>ю</w:t>
      </w:r>
      <w:r>
        <w:t>чая подготовку упрощенной процедуры представления докладов, а также и</w:t>
      </w:r>
      <w:r>
        <w:t>с</w:t>
      </w:r>
      <w:r>
        <w:t>пользовать современные технологии, такие как веб-кастинг и видеоконфере</w:t>
      </w:r>
      <w:r>
        <w:t>н</w:t>
      </w:r>
      <w:r>
        <w:t>ции. Кроме того, ряд государств-участников призвали Управление Верховного комиссара Организации Объединенных Наций по правам человека оказать го</w:t>
      </w:r>
      <w:r>
        <w:t>с</w:t>
      </w:r>
      <w:r>
        <w:t>ударствам помощь в выполнении их договорных обязательств путем провед</w:t>
      </w:r>
      <w:r>
        <w:t>е</w:t>
      </w:r>
      <w:r>
        <w:t>ния мероприятий по наращиванию потенциала.</w:t>
      </w:r>
    </w:p>
    <w:p w:rsidR="003A26A0" w:rsidRDefault="003A26A0" w:rsidP="00EA465F">
      <w:pPr>
        <w:pStyle w:val="SingleTxt"/>
      </w:pPr>
      <w:r>
        <w:t>59.</w:t>
      </w:r>
      <w:r>
        <w:tab/>
        <w:t>Представители некоторых государств-участников подчеркнули различную роль договорных органов, государств-участников и Управления Верховного комиссара Организации Объединенных Наций по правам человека в отнош</w:t>
      </w:r>
      <w:r>
        <w:t>е</w:t>
      </w:r>
      <w:r>
        <w:t>нии осуществления резолюции и заявили, что всем участникам деятельности необходимо решать сформулированные в ней задачи первостепенной важности.</w:t>
      </w:r>
    </w:p>
    <w:p w:rsidR="003A26A0" w:rsidRDefault="003A26A0" w:rsidP="00EA465F">
      <w:pPr>
        <w:pStyle w:val="SingleTxt"/>
      </w:pPr>
      <w:r>
        <w:t>60.</w:t>
      </w:r>
      <w:r>
        <w:tab/>
        <w:t>27 июня 2014 года председатели провели неофициальные консультации по видеоконференции, организованной отделением Управления Верховного к</w:t>
      </w:r>
      <w:r>
        <w:t>о</w:t>
      </w:r>
      <w:r>
        <w:t>миссара в Нью-Йорке с представителями государств, не имеющих постоянных представительств в Женеве. Делегации-участники приветствовали возмо</w:t>
      </w:r>
      <w:r>
        <w:t>ж</w:t>
      </w:r>
      <w:r>
        <w:t>ность проведения диалога с Председателем и особо отметили позитивные ст</w:t>
      </w:r>
      <w:r>
        <w:t>о</w:t>
      </w:r>
      <w:r>
        <w:t>роны предоставленной государствам, не имеющим постоянных представител</w:t>
      </w:r>
      <w:r>
        <w:t>ь</w:t>
      </w:r>
      <w:r>
        <w:t>ств в Женеве, возможности взаимодействовать с договорными органами в Нью-Йорке.</w:t>
      </w:r>
    </w:p>
    <w:p w:rsidR="003A26A0" w:rsidRDefault="003A26A0" w:rsidP="00EA465F">
      <w:pPr>
        <w:pStyle w:val="SingleTxt"/>
      </w:pPr>
      <w:r w:rsidRPr="00543019">
        <w:t>61.</w:t>
      </w:r>
      <w:r w:rsidRPr="00543019">
        <w:tab/>
      </w:r>
      <w:r>
        <w:t>Делегаты задали вопрос относительно мер, принятых договорными орг</w:t>
      </w:r>
      <w:r>
        <w:t>а</w:t>
      </w:r>
      <w:r>
        <w:t>нами для повышения целенаправленности заключительных замечаний и сб</w:t>
      </w:r>
      <w:r>
        <w:t>а</w:t>
      </w:r>
      <w:r>
        <w:t>лансированности диалога. Кроме того, они просили все договорные органы обеспечить возможность применения упрощенной процедуры представления докладов для облегчения задачи представления докладов малым государствам, не обладающим достаточным потенциалом. Кроме того, был задан вопрос о</w:t>
      </w:r>
      <w:r>
        <w:t>т</w:t>
      </w:r>
      <w:r>
        <w:t>носительно осуществления принятых в Аддис-Абебе руководящих принципов (</w:t>
      </w:r>
      <w:hyperlink r:id="rId45" w:history="1">
        <w:r w:rsidRPr="00D10748">
          <w:rPr>
            <w:rStyle w:val="Hyperlink"/>
            <w:lang w:val="en-US"/>
          </w:rPr>
          <w:t>A</w:t>
        </w:r>
        <w:r w:rsidRPr="00D10748">
          <w:rPr>
            <w:rStyle w:val="Hyperlink"/>
          </w:rPr>
          <w:t>/67/222</w:t>
        </w:r>
      </w:hyperlink>
      <w:r>
        <w:t>, приложение I) и их возможного пересмотра в буд</w:t>
      </w:r>
      <w:r>
        <w:t>у</w:t>
      </w:r>
      <w:r>
        <w:t>щем.</w:t>
      </w:r>
    </w:p>
    <w:p w:rsidR="003A26A0" w:rsidRPr="00543019" w:rsidRDefault="003A26A0" w:rsidP="00EA465F">
      <w:pPr>
        <w:pStyle w:val="SingleTxt"/>
        <w:spacing w:after="0" w:line="120" w:lineRule="exact"/>
        <w:rPr>
          <w:sz w:val="10"/>
        </w:rPr>
      </w:pPr>
    </w:p>
    <w:p w:rsidR="003A26A0" w:rsidRPr="00543019" w:rsidRDefault="003A26A0" w:rsidP="00EA465F">
      <w:pPr>
        <w:pStyle w:val="SingleTxt"/>
        <w:spacing w:after="0" w:line="120" w:lineRule="exact"/>
        <w:rPr>
          <w:sz w:val="10"/>
        </w:rPr>
      </w:pP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Неофициальные консультации с представителями организаций гражданского общества и Международным координационным комитетом национальных правозащитных учреждений</w:t>
      </w:r>
    </w:p>
    <w:p w:rsidR="003A26A0" w:rsidRPr="00543019" w:rsidRDefault="003A26A0" w:rsidP="00EA465F">
      <w:pPr>
        <w:pStyle w:val="SingleTxt"/>
        <w:spacing w:after="0" w:line="120" w:lineRule="exact"/>
        <w:rPr>
          <w:sz w:val="10"/>
        </w:rPr>
      </w:pPr>
    </w:p>
    <w:p w:rsidR="003A26A0" w:rsidRPr="00543019" w:rsidRDefault="003A26A0" w:rsidP="00EA465F">
      <w:pPr>
        <w:pStyle w:val="SingleTxt"/>
        <w:spacing w:after="0" w:line="120" w:lineRule="exact"/>
        <w:rPr>
          <w:sz w:val="10"/>
        </w:rPr>
      </w:pPr>
    </w:p>
    <w:p w:rsidR="003A26A0" w:rsidRDefault="003A26A0" w:rsidP="00EA465F">
      <w:pPr>
        <w:pStyle w:val="SingleTxt"/>
      </w:pPr>
      <w:r>
        <w:t>62.</w:t>
      </w:r>
      <w:r>
        <w:tab/>
        <w:t>26 мая 2014 года председатели провели неофициальные консультации с представителями организаций гражданского общества и Международным к</w:t>
      </w:r>
      <w:r>
        <w:t>о</w:t>
      </w:r>
      <w:r>
        <w:t>ординационным комитетом национальных правозащитных учреждений. В со</w:t>
      </w:r>
      <w:r>
        <w:t>в</w:t>
      </w:r>
      <w:r>
        <w:t>местном заявлении 18 организаций гражданского общества приветствовали итоги процесса укрепления договорных органов. Они отметили важную роль, которую члены договорных органов сыграли в этом процессе, и особо отмет</w:t>
      </w:r>
      <w:r>
        <w:t>и</w:t>
      </w:r>
      <w:r>
        <w:t>ли ряд приоритетных областей, которые необходимо рассмотреть председат</w:t>
      </w:r>
      <w:r>
        <w:t>е</w:t>
      </w:r>
      <w:r>
        <w:t>лям.</w:t>
      </w:r>
    </w:p>
    <w:p w:rsidR="003A26A0" w:rsidRDefault="003A26A0" w:rsidP="00EA465F">
      <w:pPr>
        <w:pStyle w:val="SingleTxt"/>
      </w:pPr>
      <w:r>
        <w:t>63.</w:t>
      </w:r>
      <w:r>
        <w:tab/>
        <w:t>Представители гражданского общества далее подчеркнули важность с</w:t>
      </w:r>
      <w:r>
        <w:t>о</w:t>
      </w:r>
      <w:r>
        <w:t>гласования методов работы в целях обеспечения более широких возможностей для участия организаций гражданского общества в работе дог</w:t>
      </w:r>
      <w:r>
        <w:t>о</w:t>
      </w:r>
      <w:r>
        <w:t>ворных органов. Они выразили опасения по поводу того, что некоторые рекомендации, вын</w:t>
      </w:r>
      <w:r>
        <w:t>е</w:t>
      </w:r>
      <w:r>
        <w:t>сенные на предыдущем совещании председателей, до сих пор не выполнены, и выразили надежду на то, что принятие резолюции Генеральной Ассамблеи обеспечит новый стимул для этой деятельности. Представители гражда</w:t>
      </w:r>
      <w:r>
        <w:t>н</w:t>
      </w:r>
      <w:r>
        <w:t>ского общества призвали договорные органы обеспечить возможность для использ</w:t>
      </w:r>
      <w:r>
        <w:t>о</w:t>
      </w:r>
      <w:r>
        <w:t>вания упрощенной процедуры представления докладов, четко определив при этом, каким образом неправительственные организации могли бы участвовать в этом процессе. Участники совещания из числа представителей гражданского общества также подчеркнули важность того, чтобы все договорные органы проводили закрытые заседания с участием представителей организаций гра</w:t>
      </w:r>
      <w:r>
        <w:t>ж</w:t>
      </w:r>
      <w:r>
        <w:t>данского общества. Они далее просили договорные органы изучить возмо</w:t>
      </w:r>
      <w:r>
        <w:t>ж</w:t>
      </w:r>
      <w:r>
        <w:t>ность проведения сдвоенных заседаний и предложили им разработать новые методы работы, которые позволили бы оптимально использовать время, отв</w:t>
      </w:r>
      <w:r>
        <w:t>е</w:t>
      </w:r>
      <w:r>
        <w:t>денное им для проведения заседаний, с учетом ожидаемого в предстоящие г</w:t>
      </w:r>
      <w:r>
        <w:t>о</w:t>
      </w:r>
      <w:r>
        <w:t>ды знач</w:t>
      </w:r>
      <w:r>
        <w:t>и</w:t>
      </w:r>
      <w:r>
        <w:t>тельного увеличения объема работы договорных органов.</w:t>
      </w:r>
    </w:p>
    <w:p w:rsidR="003A26A0" w:rsidRDefault="003A26A0" w:rsidP="00EA465F">
      <w:pPr>
        <w:pStyle w:val="SingleTxt"/>
      </w:pPr>
      <w:r>
        <w:t>64.</w:t>
      </w:r>
      <w:r>
        <w:tab/>
        <w:t>Некоторые представители гражданского общества выразили опасение по поводу имеющегося, как они считают, отсутствия политической воли со стор</w:t>
      </w:r>
      <w:r>
        <w:t>о</w:t>
      </w:r>
      <w:r>
        <w:t>ны некоторых государств-участников выполнять их обязательства по предста</w:t>
      </w:r>
      <w:r>
        <w:t>в</w:t>
      </w:r>
      <w:r>
        <w:t>лению докладов. В этой связи они призвали договорные органы рассматривать положения в таких государствах-участниках в отсутствие доклада, особенно при наличии серьезных нарушений прав человека.</w:t>
      </w:r>
    </w:p>
    <w:p w:rsidR="003A26A0" w:rsidRDefault="003A26A0" w:rsidP="00EA465F">
      <w:pPr>
        <w:pStyle w:val="SingleTxt"/>
      </w:pPr>
      <w:r>
        <w:t>65.</w:t>
      </w:r>
      <w:r>
        <w:tab/>
        <w:t>Представители гражданского общества далее приветствовали тот факт, что в пункте 8 резолюции </w:t>
      </w:r>
      <w:hyperlink r:id="rId46" w:history="1">
        <w:r w:rsidRPr="00D10748">
          <w:rPr>
            <w:rStyle w:val="Hyperlink"/>
          </w:rPr>
          <w:t>68/268</w:t>
        </w:r>
      </w:hyperlink>
      <w:r>
        <w:t xml:space="preserve"> Генеральной Ассамблеи содержится реш</w:t>
      </w:r>
      <w:r>
        <w:t>и</w:t>
      </w:r>
      <w:r>
        <w:t>тельное осуждение всех репрессивных мер и актов запугивания в отношении отдельных лиц и групп из</w:t>
      </w:r>
      <w:r>
        <w:noBreakHyphen/>
        <w:t>за их вклада в работу договорных органов и рек</w:t>
      </w:r>
      <w:r>
        <w:t>о</w:t>
      </w:r>
      <w:r>
        <w:t>мендовали председателям принять эффективные меры в этой связи.</w:t>
      </w:r>
    </w:p>
    <w:p w:rsidR="003A26A0" w:rsidRDefault="003A26A0" w:rsidP="00EA465F">
      <w:pPr>
        <w:pStyle w:val="SingleTxt"/>
      </w:pPr>
      <w:r>
        <w:t>66.</w:t>
      </w:r>
      <w:r>
        <w:tab/>
        <w:t>Кроме того, договорным органам было настоятельно предложено одо</w:t>
      </w:r>
      <w:r>
        <w:t>б</w:t>
      </w:r>
      <w:r>
        <w:t>рить принятые в Аддис-Абебе руководящие принципы и принять меры для их выполнения всеми членами.</w:t>
      </w:r>
    </w:p>
    <w:p w:rsidR="003A26A0" w:rsidRDefault="003A26A0" w:rsidP="00EA465F">
      <w:pPr>
        <w:pStyle w:val="SingleTxt"/>
      </w:pPr>
      <w:r>
        <w:t>67.</w:t>
      </w:r>
      <w:r>
        <w:tab/>
        <w:t>Представители гражданского общества выступили с предложениями в о</w:t>
      </w:r>
      <w:r>
        <w:t>т</w:t>
      </w:r>
      <w:r>
        <w:t>ношении доступности мероприятий договорных органов для инвалидов и обеспечения их равноправного участия в таких мероприятиях. Хотя системат</w:t>
      </w:r>
      <w:r>
        <w:t>и</w:t>
      </w:r>
      <w:r>
        <w:t>ческое применение практики подготовки видеообращений и веб-кастинга и</w:t>
      </w:r>
      <w:r>
        <w:t>н</w:t>
      </w:r>
      <w:r>
        <w:t>терактивных диалогов позволило всем национальным заинтересованным ст</w:t>
      </w:r>
      <w:r>
        <w:t>о</w:t>
      </w:r>
      <w:r>
        <w:t>ронам следить за работой договорных органов и принимать в ней участие, лишь Комитет по правам инвалидов принял такие меры для обеспечения д</w:t>
      </w:r>
      <w:r>
        <w:t>о</w:t>
      </w:r>
      <w:r>
        <w:t>ступности, как титрование и перевод на язык жестов. Кроме того, догово</w:t>
      </w:r>
      <w:r>
        <w:t>р</w:t>
      </w:r>
      <w:r>
        <w:t>ным органам было предложено провести оценку доступности их информации и с</w:t>
      </w:r>
      <w:r>
        <w:t>о</w:t>
      </w:r>
      <w:r>
        <w:t>общений с уделением особого внимания формату файлов, загружаемых на веб</w:t>
      </w:r>
      <w:r>
        <w:noBreakHyphen/>
        <w:t>сайты, а также обеспечить широкое применение экологической политики, которая уже используется в Комитете по правам инвалидов и предусматривает использов</w:t>
      </w:r>
      <w:r>
        <w:t>а</w:t>
      </w:r>
      <w:r>
        <w:t>ние электронных документов вместо печатных.</w:t>
      </w:r>
    </w:p>
    <w:p w:rsidR="003A26A0" w:rsidRDefault="003A26A0" w:rsidP="00EA465F">
      <w:pPr>
        <w:pStyle w:val="SingleTxt"/>
      </w:pPr>
      <w:r>
        <w:t>68.</w:t>
      </w:r>
      <w:r>
        <w:tab/>
        <w:t>Председатели приветствовали ценный вклад организаций гражданского общества в работу договорных органов путем представления материалов и д</w:t>
      </w:r>
      <w:r>
        <w:t>о</w:t>
      </w:r>
      <w:r>
        <w:t>кументов, а также участие в слушаниях и брифингах. Они призвали организ</w:t>
      </w:r>
      <w:r>
        <w:t>а</w:t>
      </w:r>
      <w:r>
        <w:t>ции гражданского общества и далее участвовать в обзорах положения в гос</w:t>
      </w:r>
      <w:r>
        <w:t>у</w:t>
      </w:r>
      <w:r>
        <w:t>дарствах, а также в осуществлении рекомендаций договорных органов.</w:t>
      </w:r>
    </w:p>
    <w:p w:rsidR="003A26A0" w:rsidRPr="003A26A0" w:rsidRDefault="003A26A0" w:rsidP="003A26A0">
      <w:pPr>
        <w:pStyle w:val="SingleTxt"/>
        <w:spacing w:after="0" w:line="120" w:lineRule="exact"/>
        <w:rPr>
          <w:sz w:val="10"/>
        </w:rPr>
      </w:pPr>
    </w:p>
    <w:p w:rsidR="003A26A0" w:rsidRPr="003A26A0" w:rsidRDefault="003A26A0" w:rsidP="003A26A0">
      <w:pPr>
        <w:pStyle w:val="SingleTxt"/>
        <w:spacing w:after="0" w:line="120" w:lineRule="exact"/>
        <w:rPr>
          <w:sz w:val="10"/>
        </w:rPr>
      </w:pP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VI.</w:t>
      </w:r>
      <w:r>
        <w:tab/>
        <w:t>Прочие вопросы</w:t>
      </w:r>
    </w:p>
    <w:p w:rsidR="003A26A0" w:rsidRPr="0024189C" w:rsidRDefault="003A26A0" w:rsidP="00EA465F">
      <w:pPr>
        <w:pStyle w:val="SingleTxt"/>
        <w:spacing w:after="0" w:line="120" w:lineRule="exact"/>
        <w:rPr>
          <w:sz w:val="10"/>
        </w:rPr>
      </w:pPr>
    </w:p>
    <w:p w:rsidR="003A26A0" w:rsidRPr="0024189C"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Репрессии против лиц и групп, взаимодействующих или стремящихся взаимодействовать с договорными органами</w:t>
      </w:r>
    </w:p>
    <w:p w:rsidR="003A26A0" w:rsidRPr="0024189C" w:rsidRDefault="003A26A0" w:rsidP="00EA465F">
      <w:pPr>
        <w:pStyle w:val="SingleTxt"/>
        <w:spacing w:after="0" w:line="120" w:lineRule="exact"/>
        <w:rPr>
          <w:sz w:val="10"/>
        </w:rPr>
      </w:pPr>
    </w:p>
    <w:p w:rsidR="003A26A0" w:rsidRPr="0024189C" w:rsidRDefault="003A26A0" w:rsidP="00EA465F">
      <w:pPr>
        <w:pStyle w:val="SingleTxt"/>
        <w:spacing w:after="0" w:line="120" w:lineRule="exact"/>
        <w:rPr>
          <w:sz w:val="10"/>
        </w:rPr>
      </w:pPr>
    </w:p>
    <w:p w:rsidR="003A26A0" w:rsidRDefault="003A26A0" w:rsidP="00EA465F">
      <w:pPr>
        <w:pStyle w:val="SingleTxt"/>
      </w:pPr>
      <w:r>
        <w:t>69.</w:t>
      </w:r>
      <w:r>
        <w:tab/>
        <w:t>27 июня сопредседатели провели встречу с представителем Сектора сп</w:t>
      </w:r>
      <w:r>
        <w:t>е</w:t>
      </w:r>
      <w:r>
        <w:t>циальных процедур Управления Верховного комиссара Организации Объед</w:t>
      </w:r>
      <w:r>
        <w:t>и</w:t>
      </w:r>
      <w:r>
        <w:t>ненных Наций по правам человека Марой Бустело. Г</w:t>
      </w:r>
      <w:r>
        <w:noBreakHyphen/>
        <w:t>жа Бустело отметила, что специальные процедуры получили большую пользу благодаря работе с дог</w:t>
      </w:r>
      <w:r>
        <w:t>о</w:t>
      </w:r>
      <w:r>
        <w:t>ворными органами, в частности в ходе своих страновых визитов, и выразила надежду, что оба механизма будут укреплять деятельность друг друга на осн</w:t>
      </w:r>
      <w:r>
        <w:t>о</w:t>
      </w:r>
      <w:r>
        <w:t>ве более систематического взаимодействия.</w:t>
      </w:r>
    </w:p>
    <w:p w:rsidR="003A26A0" w:rsidRDefault="003A26A0" w:rsidP="00EA465F">
      <w:pPr>
        <w:pStyle w:val="SingleTxt"/>
      </w:pPr>
      <w:r>
        <w:t>70.</w:t>
      </w:r>
      <w:r>
        <w:tab/>
        <w:t>По просьбе председателей г</w:t>
      </w:r>
      <w:r>
        <w:noBreakHyphen/>
        <w:t>жа Бустело информировала участников с</w:t>
      </w:r>
      <w:r>
        <w:t>о</w:t>
      </w:r>
      <w:r>
        <w:t>вещания о мерах, принятых специальными процедурами, для рассмотрения в</w:t>
      </w:r>
      <w:r>
        <w:t>о</w:t>
      </w:r>
      <w:r>
        <w:t>проса о репрессиях против лиц и групп, сотрудничающих с правозащитными механизмами Организации Объединенных Наций. Эти меры включали подг</w:t>
      </w:r>
      <w:r>
        <w:t>о</w:t>
      </w:r>
      <w:r>
        <w:t>товку протокола для рассмотрения индивидуальных дел, касающихся репре</w:t>
      </w:r>
      <w:r>
        <w:t>с</w:t>
      </w:r>
      <w:r>
        <w:t>сий, осуществление Специальным докладчиком по вопросу о положении пр</w:t>
      </w:r>
      <w:r>
        <w:t>а</w:t>
      </w:r>
      <w:r>
        <w:t>возащитников функций координатора по делам, касающимся репрессий, и по</w:t>
      </w:r>
      <w:r>
        <w:t>д</w:t>
      </w:r>
      <w:r>
        <w:t>готовку новых мандатариев по вопросу о том, как избежать применения р</w:t>
      </w:r>
      <w:r>
        <w:t>е</w:t>
      </w:r>
      <w:r>
        <w:t>прессий при рассмотрении сообщений и осуществлении страновых виз</w:t>
      </w:r>
      <w:r>
        <w:t>и</w:t>
      </w:r>
      <w:r>
        <w:t>тов.</w:t>
      </w:r>
    </w:p>
    <w:p w:rsidR="003A26A0" w:rsidRDefault="003A26A0" w:rsidP="00EA465F">
      <w:pPr>
        <w:pStyle w:val="SingleTxt"/>
      </w:pPr>
      <w:r>
        <w:t>71.</w:t>
      </w:r>
      <w:r>
        <w:tab/>
        <w:t>Почеркнув важное значение общесистемного подхода всеми правозащи</w:t>
      </w:r>
      <w:r>
        <w:t>т</w:t>
      </w:r>
      <w:r>
        <w:t>ными механизмами при рассмотрении вопроса о репрессиях, председатели в</w:t>
      </w:r>
      <w:r>
        <w:t>ы</w:t>
      </w:r>
      <w:r>
        <w:t>разили заинтересованность в разработке общей политики договорных орг</w:t>
      </w:r>
      <w:r>
        <w:t>а</w:t>
      </w:r>
      <w:r>
        <w:t>нов по вопросу о репрессиях и решили постоянно включать этот пункт в п</w:t>
      </w:r>
      <w:r>
        <w:t>о</w:t>
      </w:r>
      <w:r>
        <w:t>вестку дня ежегодного совещания председателей. Они рекомендовали всем догово</w:t>
      </w:r>
      <w:r>
        <w:t>р</w:t>
      </w:r>
      <w:r>
        <w:t>ным органам, которые еще не сделали этого, учредить должность координатора по вопросу о репрессиях и постановили рассмотреть и принять совместную политику по вопросу о репрессиях на двадцать седьмом совещании председ</w:t>
      </w:r>
      <w:r>
        <w:t>а</w:t>
      </w:r>
      <w:r>
        <w:t>телей в 2015 году.</w:t>
      </w:r>
    </w:p>
    <w:p w:rsidR="003A26A0" w:rsidRPr="0024189C" w:rsidRDefault="003A26A0" w:rsidP="00EA465F">
      <w:pPr>
        <w:pStyle w:val="SingleTxt"/>
        <w:spacing w:after="0" w:line="120" w:lineRule="exact"/>
        <w:rPr>
          <w:sz w:val="10"/>
        </w:rPr>
      </w:pPr>
    </w:p>
    <w:p w:rsidR="003A26A0" w:rsidRPr="0024189C"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В.</w:t>
      </w:r>
      <w:r>
        <w:tab/>
        <w:t xml:space="preserve">Совещание с Сектором по универсальному периодическому обзору Управления Верховного комиссара Организации Объединенных Наций по правам человека </w:t>
      </w:r>
    </w:p>
    <w:p w:rsidR="003A26A0" w:rsidRPr="0024189C" w:rsidRDefault="003A26A0" w:rsidP="00EA465F">
      <w:pPr>
        <w:pStyle w:val="SingleTxt"/>
        <w:spacing w:after="0" w:line="120" w:lineRule="exact"/>
        <w:rPr>
          <w:sz w:val="10"/>
        </w:rPr>
      </w:pPr>
    </w:p>
    <w:p w:rsidR="003A26A0" w:rsidRPr="0024189C" w:rsidRDefault="003A26A0" w:rsidP="00EA465F">
      <w:pPr>
        <w:pStyle w:val="SingleTxt"/>
        <w:spacing w:after="0" w:line="120" w:lineRule="exact"/>
        <w:rPr>
          <w:sz w:val="10"/>
        </w:rPr>
      </w:pPr>
    </w:p>
    <w:p w:rsidR="003A26A0" w:rsidRDefault="003A26A0" w:rsidP="00EA465F">
      <w:pPr>
        <w:pStyle w:val="SingleTxt"/>
      </w:pPr>
      <w:r>
        <w:t>72.</w:t>
      </w:r>
      <w:r>
        <w:tab/>
        <w:t>25 июня 2014 года председатели провели совещание с начальником Се</w:t>
      </w:r>
      <w:r>
        <w:t>к</w:t>
      </w:r>
      <w:r>
        <w:t>тора по универсальному периодическому обзору Управления Верховного к</w:t>
      </w:r>
      <w:r>
        <w:t>о</w:t>
      </w:r>
      <w:r>
        <w:t>миссара Организации Объединенных Наций по правам человека Шахрзад Т</w:t>
      </w:r>
      <w:r>
        <w:t>а</w:t>
      </w:r>
      <w:r>
        <w:t>джбакш, которая коснулась вопроса о взаимодополняемости работы догово</w:t>
      </w:r>
      <w:r>
        <w:t>р</w:t>
      </w:r>
      <w:r>
        <w:t>ных органов и универсального периодического обзора и отметила, что закл</w:t>
      </w:r>
      <w:r>
        <w:t>ю</w:t>
      </w:r>
      <w:r>
        <w:t>чительные замечания договорных органов представляют собой важный комп</w:t>
      </w:r>
      <w:r>
        <w:t>о</w:t>
      </w:r>
      <w:r>
        <w:t>нент дискуссий и рекомендаций универсального периодического обзора, и о</w:t>
      </w:r>
      <w:r>
        <w:t>б</w:t>
      </w:r>
      <w:r>
        <w:t>ратила внимание на многочисленные рекомендации универсального период</w:t>
      </w:r>
      <w:r>
        <w:t>и</w:t>
      </w:r>
      <w:r>
        <w:t>ческого обзора, адресованные государствам, относительно того, чтобы они р</w:t>
      </w:r>
      <w:r>
        <w:t>а</w:t>
      </w:r>
      <w:r>
        <w:t>тифицировали договоры по правам человека. Она также информировала пре</w:t>
      </w:r>
      <w:r>
        <w:t>д</w:t>
      </w:r>
      <w:r>
        <w:t>седателей о комплексном подходе Управления Верховного комиссара Орган</w:t>
      </w:r>
      <w:r>
        <w:t>и</w:t>
      </w:r>
      <w:r>
        <w:t>зации Объединенных Наций по правам человека к последующей деятельности в связи с рекомендациями всех правозащитных механизмов — универсального периодического обзора, договорных органов и специальных процедур, — а также Управления Верховного комиссара Организации Объединенных Наций по правам ч</w:t>
      </w:r>
      <w:r>
        <w:t>е</w:t>
      </w:r>
      <w:r>
        <w:t>ловека.</w:t>
      </w:r>
    </w:p>
    <w:p w:rsidR="003A26A0" w:rsidRDefault="003A26A0" w:rsidP="00EA465F">
      <w:pPr>
        <w:pStyle w:val="SingleTxt"/>
      </w:pPr>
      <w:r>
        <w:t>73.</w:t>
      </w:r>
      <w:r>
        <w:tab/>
        <w:t>Председатели выразили озабоченность в связи со случаями, в которых р</w:t>
      </w:r>
      <w:r>
        <w:t>е</w:t>
      </w:r>
      <w:r>
        <w:t>комендации универсального периодического обзора, основанные на заключ</w:t>
      </w:r>
      <w:r>
        <w:t>и</w:t>
      </w:r>
      <w:r>
        <w:t>тельных замечаниях договорных органов, были отвергнуты государствами. Г</w:t>
      </w:r>
      <w:r>
        <w:noBreakHyphen/>
        <w:t>жа Таджбакш уточнила, что универсальный периодический обзор не пред</w:t>
      </w:r>
      <w:r>
        <w:t>у</w:t>
      </w:r>
      <w:r>
        <w:t>сматривает ситуаций, в которых государства могли бы отвергать его рекоме</w:t>
      </w:r>
      <w:r>
        <w:t>н</w:t>
      </w:r>
      <w:r>
        <w:t>дации. Скорее, он предоставляет государствам возможность принять к свед</w:t>
      </w:r>
      <w:r>
        <w:t>е</w:t>
      </w:r>
      <w:r>
        <w:t>нию рекомендации, которые, по их мнению, не могут быть осуществлены в т</w:t>
      </w:r>
      <w:r>
        <w:t>е</w:t>
      </w:r>
      <w:r>
        <w:t>чение конкретного цикла универсального периодического обзора. Председ</w:t>
      </w:r>
      <w:r>
        <w:t>а</w:t>
      </w:r>
      <w:r>
        <w:t>тель Комитета по правам инвалидов подчеркнул необходимость улучшения ф</w:t>
      </w:r>
      <w:r>
        <w:t>и</w:t>
      </w:r>
      <w:r>
        <w:t>зического доступа инвалидов с точки зрения их участия в работе Совета по правам чел</w:t>
      </w:r>
      <w:r>
        <w:t>о</w:t>
      </w:r>
      <w:r>
        <w:t>века.</w:t>
      </w:r>
    </w:p>
    <w:p w:rsidR="003A26A0" w:rsidRPr="00245FD0" w:rsidRDefault="003A26A0" w:rsidP="00EA465F">
      <w:pPr>
        <w:pStyle w:val="SingleTxt"/>
        <w:spacing w:after="0" w:line="120" w:lineRule="exact"/>
        <w:rPr>
          <w:sz w:val="10"/>
        </w:rPr>
      </w:pPr>
    </w:p>
    <w:p w:rsidR="003A26A0" w:rsidRPr="00245FD0" w:rsidRDefault="003A26A0" w:rsidP="00EA465F">
      <w:pPr>
        <w:pStyle w:val="SingleTxt"/>
        <w:spacing w:after="0" w:line="120" w:lineRule="exact"/>
        <w:rPr>
          <w:sz w:val="10"/>
        </w:rPr>
      </w:pP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Выводы, решения и рекомендации</w:t>
      </w:r>
    </w:p>
    <w:p w:rsidR="003A26A0" w:rsidRPr="00245FD0" w:rsidRDefault="003A26A0" w:rsidP="00EA465F">
      <w:pPr>
        <w:pStyle w:val="SingleTxt"/>
        <w:spacing w:after="0" w:line="120" w:lineRule="exact"/>
        <w:rPr>
          <w:sz w:val="10"/>
        </w:rPr>
      </w:pPr>
    </w:p>
    <w:p w:rsidR="003A26A0" w:rsidRPr="00245FD0" w:rsidRDefault="003A26A0" w:rsidP="00EA465F">
      <w:pPr>
        <w:pStyle w:val="SingleTxt"/>
        <w:spacing w:after="0" w:line="120" w:lineRule="exact"/>
        <w:rPr>
          <w:sz w:val="10"/>
        </w:rPr>
      </w:pPr>
    </w:p>
    <w:p w:rsidR="003A26A0" w:rsidRDefault="003A26A0" w:rsidP="00EA465F">
      <w:pPr>
        <w:pStyle w:val="SingleTxt"/>
      </w:pPr>
      <w:r>
        <w:t>74.</w:t>
      </w:r>
      <w:r>
        <w:tab/>
        <w:t>На своем двадцать шестом совещании председатели договорных органов по правам человека приняли следующие выводы, решения и рекомендации:</w:t>
      </w:r>
    </w:p>
    <w:p w:rsidR="003A26A0" w:rsidRPr="00245FD0" w:rsidRDefault="003A26A0" w:rsidP="00EA465F">
      <w:pPr>
        <w:pStyle w:val="SingleTxt"/>
        <w:spacing w:after="0" w:line="120" w:lineRule="exact"/>
        <w:rPr>
          <w:sz w:val="10"/>
        </w:rPr>
      </w:pPr>
    </w:p>
    <w:p w:rsidR="003A26A0" w:rsidRPr="00245FD0"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Роль председателей в достижении целей, определенных в резолюции </w:t>
      </w:r>
      <w:hyperlink r:id="rId47" w:history="1">
        <w:r w:rsidRPr="00983D23">
          <w:rPr>
            <w:rStyle w:val="Hyperlink"/>
          </w:rPr>
          <w:t>68/268</w:t>
        </w:r>
      </w:hyperlink>
      <w:r>
        <w:t xml:space="preserve"> Генеральной Ассамблеи об укреплении и повышении эффективности функционирования системы договорных органов по правам человека</w:t>
      </w:r>
    </w:p>
    <w:p w:rsidR="003A26A0" w:rsidRPr="00245FD0" w:rsidRDefault="003A26A0" w:rsidP="00EA465F">
      <w:pPr>
        <w:pStyle w:val="SingleTxt"/>
        <w:spacing w:after="0" w:line="120" w:lineRule="exact"/>
        <w:rPr>
          <w:sz w:val="10"/>
        </w:rPr>
      </w:pPr>
    </w:p>
    <w:p w:rsidR="003A26A0" w:rsidRPr="00245FD0" w:rsidRDefault="003A26A0" w:rsidP="00EA465F">
      <w:pPr>
        <w:pStyle w:val="SingleTxt"/>
        <w:spacing w:after="0" w:line="120" w:lineRule="exact"/>
        <w:rPr>
          <w:sz w:val="10"/>
        </w:rPr>
      </w:pPr>
    </w:p>
    <w:p w:rsidR="003A26A0" w:rsidRDefault="003A26A0" w:rsidP="00EA465F">
      <w:pPr>
        <w:pStyle w:val="SingleTxt"/>
      </w:pPr>
      <w:r>
        <w:t>75.</w:t>
      </w:r>
      <w:r>
        <w:tab/>
        <w:t>Председатели отметили приверженность договорных органов по правам человека дальнейшему усилению своей работы как системы путем постоянного обзора передовой практики, касающейся применения правил процедуры и м</w:t>
      </w:r>
      <w:r>
        <w:t>е</w:t>
      </w:r>
      <w:r>
        <w:t>тодов работы в рамках своих непрестанных усилий по укреплению и повыш</w:t>
      </w:r>
      <w:r>
        <w:t>е</w:t>
      </w:r>
      <w:r>
        <w:t>нию эффективности функционирования системы договорных органов по пр</w:t>
      </w:r>
      <w:r>
        <w:t>а</w:t>
      </w:r>
      <w:r>
        <w:t xml:space="preserve">вам человека. </w:t>
      </w:r>
    </w:p>
    <w:p w:rsidR="003A26A0" w:rsidRDefault="003A26A0" w:rsidP="00EA465F">
      <w:pPr>
        <w:pStyle w:val="SingleTxt"/>
      </w:pPr>
      <w:r>
        <w:t>76.</w:t>
      </w:r>
      <w:r>
        <w:tab/>
        <w:t>В этом контексте председатели приветствовали рекомендацию Генерал</w:t>
      </w:r>
      <w:r>
        <w:t>ь</w:t>
      </w:r>
      <w:r>
        <w:t>ной Ассамблеи в адрес договорных органов в связи с их непрестанной работой по укреплению роли председателей в решении процедурных вопросов, в том числе в отношении подготовки выводов по вопросам, касающимся методов р</w:t>
      </w:r>
      <w:r>
        <w:t>а</w:t>
      </w:r>
      <w:r>
        <w:t>боты, обобщения передового опыта и методологии в рамках всех договорных органов, обеспечения согласованности работы всех договорных органов и стандартизации методов работы.</w:t>
      </w:r>
    </w:p>
    <w:p w:rsidR="003A26A0" w:rsidRDefault="003A26A0" w:rsidP="00EA465F">
      <w:pPr>
        <w:pStyle w:val="SingleTxt"/>
      </w:pPr>
      <w:r>
        <w:t>77.</w:t>
      </w:r>
      <w:r>
        <w:tab/>
        <w:t>Председатели подтвердили свою ранее отмеченную роль в деле соде</w:t>
      </w:r>
      <w:r>
        <w:t>й</w:t>
      </w:r>
      <w:r>
        <w:t>ствия представительству и координации общей деятельности, в том числе по таким вопросам, как рассмотрение и принятие совместных заявлений, на осн</w:t>
      </w:r>
      <w:r>
        <w:t>о</w:t>
      </w:r>
      <w:r>
        <w:t>ве уважения независимости и специфического характера деятельности каждого договорного органа. Председатели также подтвердили принятое на предыд</w:t>
      </w:r>
      <w:r>
        <w:t>у</w:t>
      </w:r>
      <w:r>
        <w:t>щем совещании председателей решение о том, что председатели должны пр</w:t>
      </w:r>
      <w:r>
        <w:t>и</w:t>
      </w:r>
      <w:r>
        <w:t>нимать меры в отношении рабочих методов и процедурных вопросов, которые являю</w:t>
      </w:r>
      <w:r>
        <w:t>т</w:t>
      </w:r>
      <w:r>
        <w:t>ся общими для всей системы договорных органов и обсуждались ранее с каждым комитетом, и что такие меры должны осуществляться всеми дог</w:t>
      </w:r>
      <w:r>
        <w:t>о</w:t>
      </w:r>
      <w:r>
        <w:t>ворными органами, если только какой</w:t>
      </w:r>
      <w:r>
        <w:noBreakHyphen/>
        <w:t>либо из комитетов впоследствии не о</w:t>
      </w:r>
      <w:r>
        <w:t>т</w:t>
      </w:r>
      <w:r>
        <w:t>кажется от их применения.</w:t>
      </w:r>
    </w:p>
    <w:p w:rsidR="003A26A0" w:rsidRPr="00A12E6B" w:rsidRDefault="003A26A0" w:rsidP="00EA465F">
      <w:pPr>
        <w:pStyle w:val="SingleTxt"/>
        <w:spacing w:after="0" w:line="120" w:lineRule="exact"/>
        <w:rPr>
          <w:sz w:val="10"/>
        </w:rPr>
      </w:pPr>
    </w:p>
    <w:p w:rsidR="003A26A0" w:rsidRPr="00A12E6B"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Согласование методов работы договорных органов</w:t>
      </w:r>
    </w:p>
    <w:p w:rsidR="003A26A0" w:rsidRPr="00A12E6B" w:rsidRDefault="003A26A0" w:rsidP="00EA465F">
      <w:pPr>
        <w:pStyle w:val="SingleTxt"/>
        <w:spacing w:after="0" w:line="120" w:lineRule="exact"/>
        <w:rPr>
          <w:sz w:val="10"/>
        </w:rPr>
      </w:pPr>
    </w:p>
    <w:p w:rsidR="003A26A0" w:rsidRPr="00A12E6B" w:rsidRDefault="003A26A0" w:rsidP="00EA465F">
      <w:pPr>
        <w:pStyle w:val="SingleTxt"/>
        <w:spacing w:after="0" w:line="120" w:lineRule="exact"/>
        <w:rPr>
          <w:sz w:val="10"/>
        </w:rPr>
      </w:pPr>
    </w:p>
    <w:p w:rsidR="003A26A0" w:rsidRDefault="003A26A0" w:rsidP="00EA465F">
      <w:pPr>
        <w:pStyle w:val="SingleTxt"/>
      </w:pPr>
      <w:r>
        <w:t>78.</w:t>
      </w:r>
      <w:r>
        <w:tab/>
        <w:t>Председатели рассмотрели вопрос о методах работы, включенных в п</w:t>
      </w:r>
      <w:r>
        <w:t>о</w:t>
      </w:r>
      <w:r>
        <w:t>вестку дня двадцать шестого совещания, с целью определения передовых м</w:t>
      </w:r>
      <w:r>
        <w:t>е</w:t>
      </w:r>
      <w:r>
        <w:t>тодов и приняли следующие решения.</w:t>
      </w:r>
    </w:p>
    <w:p w:rsidR="003A26A0" w:rsidRDefault="003A26A0" w:rsidP="00EA465F">
      <w:pPr>
        <w:pStyle w:val="SingleTxt"/>
      </w:pPr>
      <w:r>
        <w:t>79.</w:t>
      </w:r>
      <w:r>
        <w:tab/>
        <w:t>Председатели приветствовали итоги работы Генеральной Ассамблеи по вопросу об укреплении и повышении эффективности функционирования дог</w:t>
      </w:r>
      <w:r>
        <w:t>о</w:t>
      </w:r>
      <w:r>
        <w:t>ворных органов по правам человека, которая увенчалась принятием резол</w:t>
      </w:r>
      <w:r>
        <w:t>ю</w:t>
      </w:r>
      <w:r>
        <w:t>ции </w:t>
      </w:r>
      <w:hyperlink r:id="rId48" w:history="1">
        <w:r w:rsidRPr="00983D23">
          <w:rPr>
            <w:rStyle w:val="Hyperlink"/>
          </w:rPr>
          <w:t>68/268</w:t>
        </w:r>
      </w:hyperlink>
      <w:r>
        <w:t xml:space="preserve"> Ассамблеи.</w:t>
      </w:r>
    </w:p>
    <w:p w:rsidR="003A26A0" w:rsidRDefault="003A26A0" w:rsidP="00EA465F">
      <w:pPr>
        <w:pStyle w:val="SingleTxt"/>
      </w:pPr>
      <w:r>
        <w:t>80.</w:t>
      </w:r>
      <w:r>
        <w:tab/>
        <w:t>Председатели признали и подтвердили, что успешное осуществление процесса повышения эффективности зависит от конструктивного партнерства между всеми заинтересованными сторонами, стремящимися к достижению общей цели.</w:t>
      </w:r>
      <w:r w:rsidRPr="003A26A0">
        <w:t xml:space="preserve"> </w:t>
      </w:r>
      <w:r>
        <w:t>Действуя в этом духе, председатели преисполнены решимости в полной мере учитывать содержание этой резолюции как совместно с соотве</w:t>
      </w:r>
      <w:r>
        <w:t>т</w:t>
      </w:r>
      <w:r>
        <w:t>ствующими комитетами, так и в каждом отдельном комитете. В этой связи председатели поддерживают подход, в соответствии с которым приоритетное внимание в первую очередь уделяется реализации одной из принципиальных целей резолюции, а именно поощрение усиления соблюдения государствами своих обязательств в области прав человека.</w:t>
      </w:r>
    </w:p>
    <w:p w:rsidR="003A26A0" w:rsidRDefault="003A26A0" w:rsidP="00EA465F">
      <w:pPr>
        <w:pStyle w:val="SingleTxt"/>
      </w:pPr>
      <w:r>
        <w:t>81.</w:t>
      </w:r>
      <w:r>
        <w:tab/>
        <w:t>Эту цель нельзя достичь без оперативного выделения полноценного д</w:t>
      </w:r>
      <w:r>
        <w:t>о</w:t>
      </w:r>
      <w:r>
        <w:t>полнительного времени для совещаний договорных органов, которое будет с</w:t>
      </w:r>
      <w:r>
        <w:t>о</w:t>
      </w:r>
      <w:r>
        <w:t>провождаться выделением дополнительных кадровых и финансовых ресурсов, как предусматривается Генеральной Ассамблеей в ее резолюции </w:t>
      </w:r>
      <w:hyperlink r:id="rId49" w:history="1">
        <w:r w:rsidRPr="00D81763">
          <w:rPr>
            <w:rStyle w:val="Hyperlink"/>
          </w:rPr>
          <w:t>68/268</w:t>
        </w:r>
      </w:hyperlink>
      <w:r>
        <w:t>. Ли</w:t>
      </w:r>
      <w:r>
        <w:t>к</w:t>
      </w:r>
      <w:r>
        <w:t>видация нынешнего отставания в рассмотрении докладов и индивидуальных сообщений, которое договорные органы должны осуществлять наряду с в</w:t>
      </w:r>
      <w:r>
        <w:t>ы</w:t>
      </w:r>
      <w:r>
        <w:t>полнением своих других важных функций, является важным аспектом более эффективного взаимодействия с государствами-членами, а также внесения б</w:t>
      </w:r>
      <w:r>
        <w:t>о</w:t>
      </w:r>
      <w:r>
        <w:t>лее эффективного вклада в защиту прав ч</w:t>
      </w:r>
      <w:r>
        <w:t>е</w:t>
      </w:r>
      <w:r>
        <w:t>ловека.</w:t>
      </w:r>
    </w:p>
    <w:p w:rsidR="003A26A0" w:rsidRDefault="003A26A0" w:rsidP="00EA465F">
      <w:pPr>
        <w:pStyle w:val="SingleTxt"/>
      </w:pPr>
      <w:r>
        <w:t>82.</w:t>
      </w:r>
      <w:r>
        <w:tab/>
        <w:t>Председатели считают, что в соответствии с положениями резол</w:t>
      </w:r>
      <w:r>
        <w:t>ю</w:t>
      </w:r>
      <w:r>
        <w:t>ции </w:t>
      </w:r>
      <w:hyperlink r:id="rId50" w:history="1">
        <w:r w:rsidRPr="00D81763">
          <w:rPr>
            <w:rStyle w:val="Hyperlink"/>
          </w:rPr>
          <w:t>68/268</w:t>
        </w:r>
      </w:hyperlink>
      <w:r>
        <w:t xml:space="preserve"> все сэкономленные средства, полученные в результате осуществл</w:t>
      </w:r>
      <w:r>
        <w:t>е</w:t>
      </w:r>
      <w:r>
        <w:t>ния резолюции, и дополнительное финансирование должны предоставляться системе договорных органов, с тем чтобы пополнить имеющиеся бюджетные и внебюджетные ресурсы. В этой связи председатели хотели бы просить разъя</w:t>
      </w:r>
      <w:r>
        <w:t>с</w:t>
      </w:r>
      <w:r>
        <w:t>нений относительно будущих процедур в отношении времени, выделяемого для совещаний, и персонала, выделяемого для поддержки и разработки плана действий, который будет наглядно демонстрировать, каким образом будет р</w:t>
      </w:r>
      <w:r>
        <w:t>е</w:t>
      </w:r>
      <w:r>
        <w:t>шен вопрос об отставании в работе в рамках предусмотренных временных п</w:t>
      </w:r>
      <w:r>
        <w:t>а</w:t>
      </w:r>
      <w:r>
        <w:t>раметров.</w:t>
      </w:r>
    </w:p>
    <w:p w:rsidR="003A26A0" w:rsidRDefault="003A26A0" w:rsidP="00EA465F">
      <w:pPr>
        <w:pStyle w:val="SingleTxt"/>
      </w:pPr>
      <w:r>
        <w:t>83.</w:t>
      </w:r>
      <w:r>
        <w:tab/>
        <w:t>Председатели считают необходимым представить своим комитетам ряд предложений относительно корректировки их работы, которая, после того как им будет предоставлена возможность обсудить их, позволит приступить к их вынесению на рассмотрение двадцать седьмого совещания председателей. Председатели также сознают свою ответственность за осуществление допо</w:t>
      </w:r>
      <w:r>
        <w:t>л</w:t>
      </w:r>
      <w:r>
        <w:t>нительных усилий, направленных на упорядочение методов работы догово</w:t>
      </w:r>
      <w:r>
        <w:t>р</w:t>
      </w:r>
      <w:r>
        <w:t>ных органов.</w:t>
      </w:r>
    </w:p>
    <w:p w:rsidR="003A26A0" w:rsidRDefault="003A26A0" w:rsidP="00EA465F">
      <w:pPr>
        <w:pStyle w:val="SingleTxt"/>
      </w:pPr>
      <w:r>
        <w:t>84.</w:t>
      </w:r>
      <w:r>
        <w:tab/>
        <w:t>Председатели с удовлетворением отмечают документацию (</w:t>
      </w:r>
      <w:hyperlink r:id="rId51" w:history="1">
        <w:r w:rsidRPr="00D81763">
          <w:rPr>
            <w:rStyle w:val="Hyperlink"/>
            <w:lang w:val="en-US"/>
          </w:rPr>
          <w:t>HRI</w:t>
        </w:r>
        <w:r w:rsidRPr="00D81763">
          <w:rPr>
            <w:rStyle w:val="Hyperlink"/>
          </w:rPr>
          <w:t>/</w:t>
        </w:r>
        <w:r w:rsidRPr="00D81763">
          <w:rPr>
            <w:rStyle w:val="Hyperlink"/>
            <w:lang w:val="en-US"/>
          </w:rPr>
          <w:t>MC</w:t>
        </w:r>
        <w:r w:rsidRPr="00D81763">
          <w:rPr>
            <w:rStyle w:val="Hyperlink"/>
          </w:rPr>
          <w:t>/2014/2</w:t>
        </w:r>
      </w:hyperlink>
      <w:r w:rsidRPr="00941A5D">
        <w:t xml:space="preserve">, </w:t>
      </w:r>
      <w:hyperlink r:id="rId52" w:history="1">
        <w:r w:rsidRPr="00D81763">
          <w:rPr>
            <w:rStyle w:val="Hyperlink"/>
            <w:lang w:val="en-US"/>
          </w:rPr>
          <w:t>HRI</w:t>
        </w:r>
        <w:r w:rsidRPr="00D81763">
          <w:rPr>
            <w:rStyle w:val="Hyperlink"/>
          </w:rPr>
          <w:t>/</w:t>
        </w:r>
        <w:r w:rsidRPr="00D81763">
          <w:rPr>
            <w:rStyle w:val="Hyperlink"/>
            <w:lang w:val="en-US"/>
          </w:rPr>
          <w:t>MC</w:t>
        </w:r>
        <w:r w:rsidRPr="00D81763">
          <w:rPr>
            <w:rStyle w:val="Hyperlink"/>
          </w:rPr>
          <w:t>/2014/3</w:t>
        </w:r>
      </w:hyperlink>
      <w:r w:rsidRPr="00941A5D">
        <w:t xml:space="preserve"> </w:t>
      </w:r>
      <w:r>
        <w:t xml:space="preserve">и </w:t>
      </w:r>
      <w:hyperlink r:id="rId53" w:history="1">
        <w:r w:rsidRPr="00D81763">
          <w:rPr>
            <w:rStyle w:val="Hyperlink"/>
            <w:lang w:val="en-US"/>
          </w:rPr>
          <w:t>HRI</w:t>
        </w:r>
        <w:r w:rsidRPr="00D81763">
          <w:rPr>
            <w:rStyle w:val="Hyperlink"/>
          </w:rPr>
          <w:t>/</w:t>
        </w:r>
        <w:r w:rsidRPr="00D81763">
          <w:rPr>
            <w:rStyle w:val="Hyperlink"/>
            <w:lang w:val="en-US"/>
          </w:rPr>
          <w:t>MC</w:t>
        </w:r>
        <w:r w:rsidRPr="00D81763">
          <w:rPr>
            <w:rStyle w:val="Hyperlink"/>
          </w:rPr>
          <w:t>/2014/4</w:t>
        </w:r>
      </w:hyperlink>
      <w:r>
        <w:t>), которая была подготовлена для оказания им помощи в их дискуссиях относительно того, как они могут с</w:t>
      </w:r>
      <w:r>
        <w:t>о</w:t>
      </w:r>
      <w:r>
        <w:t>действовать укреплению системы договорных органов в соответствии с рек</w:t>
      </w:r>
      <w:r>
        <w:t>о</w:t>
      </w:r>
      <w:r>
        <w:t>мендациями Генеральной Ассамблеи, содержащимися в ее резолюции </w:t>
      </w:r>
      <w:hyperlink r:id="rId54" w:history="1">
        <w:r w:rsidRPr="00D81763">
          <w:rPr>
            <w:rStyle w:val="Hyperlink"/>
          </w:rPr>
          <w:t>68/268</w:t>
        </w:r>
      </w:hyperlink>
      <w:r>
        <w:t>, а также с учетом комментариев, сделанных в ходе консультаций с заинтерес</w:t>
      </w:r>
      <w:r>
        <w:t>о</w:t>
      </w:r>
      <w:r>
        <w:t>ванными ст</w:t>
      </w:r>
      <w:r>
        <w:t>о</w:t>
      </w:r>
      <w:r>
        <w:t>ронами на их двадцать шестом ежегодном совещании.</w:t>
      </w:r>
    </w:p>
    <w:p w:rsidR="003A26A0" w:rsidRDefault="003A26A0" w:rsidP="00EA465F">
      <w:pPr>
        <w:pStyle w:val="SingleTxt"/>
      </w:pPr>
      <w:r>
        <w:t>85.</w:t>
      </w:r>
      <w:r>
        <w:tab/>
        <w:t>Договорные органы, возможно, пожелают рассмотреть рекомендации др</w:t>
      </w:r>
      <w:r>
        <w:t>у</w:t>
      </w:r>
      <w:r>
        <w:t>гих договорных органов и механизмов по правам человека при подготовке пр</w:t>
      </w:r>
      <w:r>
        <w:t>о</w:t>
      </w:r>
      <w:r>
        <w:t>екта перечня вопросов (перед представлением доклада), которые следует ра</w:t>
      </w:r>
      <w:r>
        <w:t>с</w:t>
      </w:r>
      <w:r>
        <w:t>смотреть в ходе диалога и, когда это уместно, в заключительных з</w:t>
      </w:r>
      <w:r>
        <w:t>а</w:t>
      </w:r>
      <w:r>
        <w:t>мечаниях, с тем чтобы усилить согласованность и взаимодополняемость работы правоз</w:t>
      </w:r>
      <w:r>
        <w:t>а</w:t>
      </w:r>
      <w:r>
        <w:t>щитных механизмов.</w:t>
      </w:r>
    </w:p>
    <w:p w:rsidR="003A26A0" w:rsidRPr="00941A5D" w:rsidRDefault="003A26A0" w:rsidP="00EA465F">
      <w:pPr>
        <w:pStyle w:val="SingleTxt"/>
        <w:spacing w:after="0" w:line="120" w:lineRule="exact"/>
        <w:rPr>
          <w:sz w:val="10"/>
        </w:rPr>
      </w:pPr>
    </w:p>
    <w:p w:rsidR="003A26A0" w:rsidRPr="00941A5D"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A</w:t>
      </w:r>
      <w:r>
        <w:t>.</w:t>
      </w:r>
      <w:r>
        <w:tab/>
        <w:t>Упрощение процедуры представления докладов</w:t>
      </w:r>
    </w:p>
    <w:p w:rsidR="003A26A0" w:rsidRPr="00941A5D" w:rsidRDefault="003A26A0" w:rsidP="00EA465F">
      <w:pPr>
        <w:pStyle w:val="SingleTxt"/>
        <w:spacing w:after="0" w:line="120" w:lineRule="exact"/>
        <w:rPr>
          <w:sz w:val="10"/>
        </w:rPr>
      </w:pPr>
    </w:p>
    <w:p w:rsidR="003A26A0" w:rsidRPr="00941A5D" w:rsidRDefault="003A26A0" w:rsidP="00EA465F">
      <w:pPr>
        <w:pStyle w:val="SingleTxt"/>
        <w:spacing w:after="0" w:line="120" w:lineRule="exact"/>
        <w:rPr>
          <w:sz w:val="10"/>
        </w:rPr>
      </w:pPr>
    </w:p>
    <w:p w:rsidR="003A26A0" w:rsidRDefault="003A26A0" w:rsidP="00EA465F">
      <w:pPr>
        <w:pStyle w:val="SingleTxt"/>
      </w:pPr>
      <w:r>
        <w:t>86.</w:t>
      </w:r>
      <w:r>
        <w:tab/>
        <w:t>Председатели обратили внимание комитетов на призыв Генеральной А</w:t>
      </w:r>
      <w:r>
        <w:t>с</w:t>
      </w:r>
      <w:r>
        <w:t>самблеи, содержащийся в пункте 1 резолюции </w:t>
      </w:r>
      <w:hyperlink r:id="rId55" w:history="1">
        <w:r w:rsidRPr="00D81763">
          <w:rPr>
            <w:rStyle w:val="Hyperlink"/>
          </w:rPr>
          <w:t>68/268</w:t>
        </w:r>
      </w:hyperlink>
      <w:r>
        <w:t>, относительно пред</w:t>
      </w:r>
      <w:r>
        <w:t>о</w:t>
      </w:r>
      <w:r>
        <w:t>ставления в распоряжение государств упрощенной процедуры представления докладов.</w:t>
      </w:r>
    </w:p>
    <w:p w:rsidR="003A26A0" w:rsidRDefault="003A26A0" w:rsidP="00EA465F">
      <w:pPr>
        <w:pStyle w:val="SingleTxt"/>
      </w:pPr>
      <w:r>
        <w:t>87.</w:t>
      </w:r>
      <w:r>
        <w:tab/>
        <w:t>Председатели также признали, что с 1 января 2015 года периодические доклады будут ограничиваться количеством слов, как указано в пункте 16 р</w:t>
      </w:r>
      <w:r>
        <w:t>е</w:t>
      </w:r>
      <w:r>
        <w:t>золюции </w:t>
      </w:r>
      <w:hyperlink r:id="rId56" w:history="1">
        <w:r w:rsidRPr="00D81763">
          <w:rPr>
            <w:rStyle w:val="Hyperlink"/>
          </w:rPr>
          <w:t>68/268</w:t>
        </w:r>
      </w:hyperlink>
      <w:r>
        <w:t xml:space="preserve"> Генеральной Ассамблеи. Учитывая меняющуюся ситуацию, председатели одобрили мнение о том, что комитеты, которые рассматривают периодические доклады, должны рассмотреть вопрос о том, чтобы предложить такую процедуру после 1 января 2015 года.</w:t>
      </w:r>
    </w:p>
    <w:p w:rsidR="003A26A0" w:rsidRDefault="003A26A0" w:rsidP="00EA465F">
      <w:pPr>
        <w:pStyle w:val="SingleTxt"/>
      </w:pPr>
      <w:r>
        <w:t>88.</w:t>
      </w:r>
      <w:r>
        <w:tab/>
        <w:t>Они далее одобрили мнение о том, что комитеты, возможно, пожелают рассмотреть вопрос о разработке упрощенного порядка рассмотрения первон</w:t>
      </w:r>
      <w:r>
        <w:t>а</w:t>
      </w:r>
      <w:r>
        <w:t>чальных докладов в тех конкретных ситуациях, когда они считают, что это по</w:t>
      </w:r>
      <w:r>
        <w:t>з</w:t>
      </w:r>
      <w:r>
        <w:t>волит провести конструктивный диалог.</w:t>
      </w:r>
    </w:p>
    <w:p w:rsidR="003A26A0" w:rsidRDefault="003A26A0" w:rsidP="00EA465F">
      <w:pPr>
        <w:pStyle w:val="SingleTxt"/>
      </w:pPr>
      <w:r>
        <w:t>89.</w:t>
      </w:r>
      <w:r>
        <w:tab/>
        <w:t>Председатели считают, что такой упрощенный процесс позволит привлечь внимание комитетов к вопросам или темам, которые, по их мнению, будут наиболее выгодными для предоставляющих доклады государств, с тем чтобы концентрировать на них внимание в письменном докладе без ущерба для во</w:t>
      </w:r>
      <w:r>
        <w:t>з</w:t>
      </w:r>
      <w:r>
        <w:t>можности рассмотрения других важных вопросов на последующем этапе в рамках этого процесса, как со стороны государств, так и со стороны догово</w:t>
      </w:r>
      <w:r>
        <w:t>р</w:t>
      </w:r>
      <w:r>
        <w:t>ного органа.</w:t>
      </w:r>
    </w:p>
    <w:p w:rsidR="003A26A0" w:rsidRDefault="003A26A0" w:rsidP="00EA465F">
      <w:pPr>
        <w:pStyle w:val="SingleTxt"/>
      </w:pPr>
      <w:r>
        <w:t>90.</w:t>
      </w:r>
      <w:r>
        <w:tab/>
        <w:t>С целью оказания помощи в этой работе председатели будут обращать внимание договорных органов на примеры работы Комитета по борьбе против пыток и Комитета по правам человека, считая, что эти примеры включают эл</w:t>
      </w:r>
      <w:r>
        <w:t>е</w:t>
      </w:r>
      <w:r>
        <w:t>менты, которые могут быть полезными при рассмотрении конкретных руков</w:t>
      </w:r>
      <w:r>
        <w:t>о</w:t>
      </w:r>
      <w:r>
        <w:t>дящих принципов в отношении докладов государств.</w:t>
      </w:r>
    </w:p>
    <w:p w:rsidR="003A26A0" w:rsidRDefault="003A26A0" w:rsidP="00EA465F">
      <w:pPr>
        <w:pStyle w:val="SingleTxt"/>
      </w:pPr>
      <w:r>
        <w:t>91.</w:t>
      </w:r>
      <w:r>
        <w:tab/>
        <w:t>Председатели призывают договорные органы, которые воспользовались упрощенной процедурой представления докладов, осуществить оценку ее пр</w:t>
      </w:r>
      <w:r>
        <w:t>е</w:t>
      </w:r>
      <w:r>
        <w:t>имуществ и недостатков, с тем чтобы передовой опыт в этой области можно было использовать в работе всех комитетов.</w:t>
      </w:r>
    </w:p>
    <w:p w:rsidR="003A26A0" w:rsidRDefault="003A26A0" w:rsidP="00EA465F">
      <w:pPr>
        <w:pStyle w:val="SingleTxt"/>
      </w:pPr>
      <w:r>
        <w:t>92.</w:t>
      </w:r>
      <w:r>
        <w:tab/>
        <w:t>Председатели также признали, что государства могут пожелать не прим</w:t>
      </w:r>
      <w:r>
        <w:t>е</w:t>
      </w:r>
      <w:r>
        <w:t>нять упрощенные процедуры и вместо этого отдать предпочтение представл</w:t>
      </w:r>
      <w:r>
        <w:t>е</w:t>
      </w:r>
      <w:r>
        <w:t>нию докладов в соответствии с руководящими принципами того или иного д</w:t>
      </w:r>
      <w:r>
        <w:t>о</w:t>
      </w:r>
      <w:r>
        <w:t>говорного органа. Председатели считают, что каждый договорный орган до</w:t>
      </w:r>
      <w:r>
        <w:t>л</w:t>
      </w:r>
      <w:r>
        <w:t>жен рассмотреть вопрос о пересмотре своих существующих руководящих принципов предоставления докладов с целью обеспечения того, чтобы гос</w:t>
      </w:r>
      <w:r>
        <w:t>у</w:t>
      </w:r>
      <w:r>
        <w:t>дарства-участники могли представлять свои доклады, которые соответствуют как этим принципам, так и установленным ограничениям на количество слов, как предусмотрено в пун</w:t>
      </w:r>
      <w:r>
        <w:t>к</w:t>
      </w:r>
      <w:r>
        <w:t>те 16 резолюции </w:t>
      </w:r>
      <w:hyperlink r:id="rId57" w:history="1">
        <w:r w:rsidRPr="00D81763">
          <w:rPr>
            <w:rStyle w:val="Hyperlink"/>
          </w:rPr>
          <w:t>68/268</w:t>
        </w:r>
      </w:hyperlink>
      <w:r>
        <w:t xml:space="preserve"> Генеральной Ассамблеи.</w:t>
      </w:r>
    </w:p>
    <w:p w:rsidR="003A26A0" w:rsidRDefault="003A26A0" w:rsidP="00EA465F">
      <w:pPr>
        <w:pStyle w:val="SingleTxt"/>
      </w:pPr>
      <w:r>
        <w:t>93.</w:t>
      </w:r>
      <w:r>
        <w:tab/>
        <w:t>Комитеты могут пожелать рассмотреть необходимость определения п</w:t>
      </w:r>
      <w:r>
        <w:t>о</w:t>
      </w:r>
      <w:r>
        <w:t>рядка процедуры представления докладов, включая принятие перечня вопр</w:t>
      </w:r>
      <w:r>
        <w:t>о</w:t>
      </w:r>
      <w:r>
        <w:t>сов, с тем чтобы содействовать своевременному и продуктивному рассмотр</w:t>
      </w:r>
      <w:r>
        <w:t>е</w:t>
      </w:r>
      <w:r>
        <w:t>нию докладов государств-участников.</w:t>
      </w:r>
    </w:p>
    <w:p w:rsidR="003A26A0" w:rsidRPr="000407B0" w:rsidRDefault="003A26A0" w:rsidP="00EA465F">
      <w:pPr>
        <w:pStyle w:val="SingleTxt"/>
        <w:spacing w:after="0" w:line="120" w:lineRule="exact"/>
        <w:rPr>
          <w:sz w:val="10"/>
        </w:rPr>
      </w:pPr>
    </w:p>
    <w:p w:rsidR="003A26A0" w:rsidRPr="000407B0"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B</w:t>
      </w:r>
      <w:r>
        <w:t>.</w:t>
      </w:r>
      <w:r>
        <w:tab/>
        <w:t>Конструктивный диалог</w:t>
      </w:r>
    </w:p>
    <w:p w:rsidR="003A26A0" w:rsidRPr="000407B0" w:rsidRDefault="003A26A0" w:rsidP="00EA465F">
      <w:pPr>
        <w:pStyle w:val="SingleTxt"/>
        <w:spacing w:after="0" w:line="120" w:lineRule="exact"/>
        <w:rPr>
          <w:sz w:val="10"/>
        </w:rPr>
      </w:pPr>
    </w:p>
    <w:p w:rsidR="003A26A0" w:rsidRPr="000407B0" w:rsidRDefault="003A26A0" w:rsidP="00EA465F">
      <w:pPr>
        <w:pStyle w:val="SingleTxt"/>
        <w:spacing w:after="0" w:line="120" w:lineRule="exact"/>
        <w:rPr>
          <w:sz w:val="10"/>
        </w:rPr>
      </w:pPr>
    </w:p>
    <w:p w:rsidR="003A26A0" w:rsidRDefault="003A26A0" w:rsidP="00EA465F">
      <w:pPr>
        <w:pStyle w:val="SingleTxt"/>
      </w:pPr>
      <w:r>
        <w:t>94.</w:t>
      </w:r>
      <w:r>
        <w:tab/>
        <w:t>Председатели поддерживают цели, изложенные в пункте 5 резол</w:t>
      </w:r>
      <w:r>
        <w:t>ю</w:t>
      </w:r>
      <w:r>
        <w:t>ции </w:t>
      </w:r>
      <w:hyperlink r:id="rId58" w:history="1">
        <w:r w:rsidRPr="00D81763">
          <w:rPr>
            <w:rStyle w:val="Hyperlink"/>
          </w:rPr>
          <w:t>68/268</w:t>
        </w:r>
      </w:hyperlink>
      <w:r>
        <w:t xml:space="preserve"> Генеральной Ассамблеи, в том числе предложение о том, чтобы сделать диалог более эффективным, максимально использовать имеющееся время и содействовать проведению более интерактивного и продуктивного диалога с государствами-участниками. Председатели подчеркнули необход</w:t>
      </w:r>
      <w:r>
        <w:t>и</w:t>
      </w:r>
      <w:r>
        <w:t>мость того, чтобы каждый договорный орган мог применять гибкий подход к проведению диалога в соответствии со специфическими особенностями ка</w:t>
      </w:r>
      <w:r>
        <w:t>ж</w:t>
      </w:r>
      <w:r>
        <w:t>дой конвенции.</w:t>
      </w:r>
    </w:p>
    <w:p w:rsidR="003A26A0" w:rsidRDefault="003A26A0" w:rsidP="00EA465F">
      <w:pPr>
        <w:pStyle w:val="SingleTxt"/>
      </w:pPr>
      <w:r>
        <w:t>95.</w:t>
      </w:r>
      <w:r>
        <w:tab/>
        <w:t>Напомнив о том, что председатель каждого комитета несет ответстве</w:t>
      </w:r>
      <w:r>
        <w:t>н</w:t>
      </w:r>
      <w:r>
        <w:t>ность за обеспечение того, чтобы диалог осуществлялся на конструктивной, эффективной и результативной основе, председатели предложили комитетам рассмотреть следующие элементы такого подхода.</w:t>
      </w:r>
    </w:p>
    <w:p w:rsidR="003A26A0" w:rsidRDefault="003A26A0" w:rsidP="00EA465F">
      <w:pPr>
        <w:pStyle w:val="SingleTxt"/>
      </w:pPr>
      <w:r w:rsidRPr="00957CAD">
        <w:t>9</w:t>
      </w:r>
      <w:r>
        <w:t>6.</w:t>
      </w:r>
      <w:r>
        <w:tab/>
        <w:t>Как правило, проводить такой диалог в течение двух заседаний продо</w:t>
      </w:r>
      <w:r>
        <w:t>л</w:t>
      </w:r>
      <w:r>
        <w:t>жительностью до трех часов и, когда возможно, проводить его в течение двух последующих рабочих дней. В качестве исключения может быть созвано д</w:t>
      </w:r>
      <w:r>
        <w:t>о</w:t>
      </w:r>
      <w:r>
        <w:t>полнительное заседание продолжительностью до трех часов, когда Комитет с</w:t>
      </w:r>
      <w:r>
        <w:t>о</w:t>
      </w:r>
      <w:r>
        <w:t>чтет его проведение необходимым и целесоо</w:t>
      </w:r>
      <w:r>
        <w:t>б</w:t>
      </w:r>
      <w:r>
        <w:t>разным.</w:t>
      </w:r>
    </w:p>
    <w:p w:rsidR="003A26A0" w:rsidRDefault="003A26A0" w:rsidP="00EA465F">
      <w:pPr>
        <w:pStyle w:val="SingleTxt"/>
      </w:pPr>
      <w:r>
        <w:t>97.</w:t>
      </w:r>
      <w:r>
        <w:tab/>
        <w:t xml:space="preserve">Государства-члены должны получать информацию о структуре диалога и информацию о регламенте для их вступительных заявлений (15–30 минут) и для своих заключительных замечаний (до 10 минут) с целью экономии времени для непосредственного обмена мнениями между делегацией государства-участника и членами Комитета. </w:t>
      </w:r>
    </w:p>
    <w:p w:rsidR="003A26A0" w:rsidRDefault="003A26A0" w:rsidP="00EA465F">
      <w:pPr>
        <w:pStyle w:val="SingleTxt"/>
      </w:pPr>
      <w:r>
        <w:t>98.</w:t>
      </w:r>
      <w:r>
        <w:tab/>
        <w:t>Использование страновых групп, которые координируются одним или б</w:t>
      </w:r>
      <w:r>
        <w:t>о</w:t>
      </w:r>
      <w:r>
        <w:t>лее членами Комитета, продемонстрировало свою пользу как средства пов</w:t>
      </w:r>
      <w:r>
        <w:t>ы</w:t>
      </w:r>
      <w:r>
        <w:t xml:space="preserve">шения качества и сферы охвата диалога в тех комитетах, которые применили этот подход. </w:t>
      </w:r>
    </w:p>
    <w:p w:rsidR="003A26A0" w:rsidRDefault="003A26A0" w:rsidP="00EA465F">
      <w:pPr>
        <w:pStyle w:val="SingleTxt"/>
      </w:pPr>
      <w:r>
        <w:t>99.</w:t>
      </w:r>
      <w:r>
        <w:tab/>
        <w:t>Необходимо, когда целесообразно, устанавливать ограничения на пр</w:t>
      </w:r>
      <w:r>
        <w:t>о</w:t>
      </w:r>
      <w:r>
        <w:t>должительность выступлений как членов договорного органа, так и гос</w:t>
      </w:r>
      <w:r>
        <w:t>у</w:t>
      </w:r>
      <w:r>
        <w:t>дарств-участников под руководством председателя.</w:t>
      </w:r>
    </w:p>
    <w:p w:rsidR="003A26A0" w:rsidRDefault="003A26A0" w:rsidP="00EA465F">
      <w:pPr>
        <w:pStyle w:val="SingleTxt"/>
      </w:pPr>
      <w:r>
        <w:t>100.</w:t>
      </w:r>
      <w:r>
        <w:tab/>
        <w:t>В ходе диалога, касающегося периодических докладов, следует делать упор на проблемах или тематических приоритетах, определенных договорн</w:t>
      </w:r>
      <w:r>
        <w:t>ы</w:t>
      </w:r>
      <w:r>
        <w:t>ми органами. Такие приоритетные вопросы могут включать ранее вынесенные заключительные замечания, вопросы, определенные в перечне вопросов, и возможные новые события в государстве-участнике, которые были доведены до сведения Комитета.</w:t>
      </w:r>
    </w:p>
    <w:p w:rsidR="003A26A0" w:rsidRDefault="003A26A0" w:rsidP="00EA465F">
      <w:pPr>
        <w:pStyle w:val="SingleTxt"/>
      </w:pPr>
      <w:r>
        <w:t>101.</w:t>
      </w:r>
      <w:r>
        <w:tab/>
        <w:t>В качестве помощи и содействия государствам-участникам необходимо предоставлять в распоряжение государств-участников инструкцию о ходе пр</w:t>
      </w:r>
      <w:r>
        <w:t>о</w:t>
      </w:r>
      <w:r>
        <w:t>ведения конструктивного диалога, проект которой содержится в приложении I к настоящему докладу.</w:t>
      </w:r>
    </w:p>
    <w:p w:rsidR="003A26A0" w:rsidRPr="00957CAD" w:rsidRDefault="003A26A0" w:rsidP="00EA465F">
      <w:pPr>
        <w:pStyle w:val="SingleTxt"/>
        <w:spacing w:after="0" w:line="120" w:lineRule="exact"/>
        <w:rPr>
          <w:sz w:val="10"/>
        </w:rPr>
      </w:pPr>
    </w:p>
    <w:p w:rsidR="003A26A0" w:rsidRPr="00957CAD"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C</w:t>
      </w:r>
      <w:r>
        <w:t>.</w:t>
      </w:r>
      <w:r>
        <w:tab/>
        <w:t>Заключительные замечания</w:t>
      </w:r>
    </w:p>
    <w:p w:rsidR="003A26A0" w:rsidRPr="00957CAD" w:rsidRDefault="003A26A0" w:rsidP="00EA465F">
      <w:pPr>
        <w:pStyle w:val="SingleTxt"/>
        <w:spacing w:after="0" w:line="120" w:lineRule="exact"/>
        <w:rPr>
          <w:sz w:val="10"/>
        </w:rPr>
      </w:pPr>
    </w:p>
    <w:p w:rsidR="003A26A0" w:rsidRPr="00957CAD" w:rsidRDefault="003A26A0" w:rsidP="00EA465F">
      <w:pPr>
        <w:pStyle w:val="SingleTxt"/>
        <w:spacing w:after="0" w:line="120" w:lineRule="exact"/>
        <w:rPr>
          <w:sz w:val="10"/>
        </w:rPr>
      </w:pPr>
    </w:p>
    <w:p w:rsidR="003A26A0" w:rsidRDefault="003A26A0" w:rsidP="00EA465F">
      <w:pPr>
        <w:pStyle w:val="SingleTxt"/>
      </w:pPr>
      <w:r>
        <w:t>102.</w:t>
      </w:r>
      <w:r>
        <w:tab/>
        <w:t>Председатели поддержали призыв Генеральной Ассамблеи, содержащийся в пункте 6 резолюции </w:t>
      </w:r>
      <w:hyperlink r:id="rId59" w:history="1">
        <w:r w:rsidRPr="00464512">
          <w:rPr>
            <w:rStyle w:val="Hyperlink"/>
          </w:rPr>
          <w:t>68/268</w:t>
        </w:r>
      </w:hyperlink>
      <w:r>
        <w:t xml:space="preserve">, о том, что заключительные замечания должны быть короткими, сконцентрированными и конкретными, принимая во внимание специфические особенности соответствующих комитетов и их мандатов. </w:t>
      </w:r>
    </w:p>
    <w:p w:rsidR="003A26A0" w:rsidRDefault="003A26A0" w:rsidP="00EA465F">
      <w:pPr>
        <w:pStyle w:val="SingleTxt"/>
      </w:pPr>
      <w:r>
        <w:t>103.</w:t>
      </w:r>
      <w:r>
        <w:tab/>
        <w:t>Председатель далее считает, что было бы полезно поднимать вопросы в заключительных замечаниях, которые были предметом дискуссии в ходе ди</w:t>
      </w:r>
      <w:r>
        <w:t>а</w:t>
      </w:r>
      <w:r>
        <w:t>лога и рассмотреть вопрос о том, чтобы это стало обычной процедурой.</w:t>
      </w:r>
    </w:p>
    <w:p w:rsidR="003A26A0" w:rsidRDefault="003A26A0" w:rsidP="00EA465F">
      <w:pPr>
        <w:pStyle w:val="SingleTxt"/>
      </w:pPr>
      <w:r>
        <w:t>104.</w:t>
      </w:r>
      <w:r>
        <w:tab/>
        <w:t>Председатели рекомендуют договорным органам сформулировать рек</w:t>
      </w:r>
      <w:r>
        <w:t>о</w:t>
      </w:r>
      <w:r>
        <w:t>мендации, в которых будут содержаться конкретные и осуществимые руков</w:t>
      </w:r>
      <w:r>
        <w:t>о</w:t>
      </w:r>
      <w:r>
        <w:t>дящие указания относительно мер по осуществлению договорных обяз</w:t>
      </w:r>
      <w:r>
        <w:t>а</w:t>
      </w:r>
      <w:r>
        <w:t>тельств, включая ограниченные сроками цели или любые приоритеты, когда это целесообразно. В этом контексте председатели предлагают договорным о</w:t>
      </w:r>
      <w:r>
        <w:t>р</w:t>
      </w:r>
      <w:r>
        <w:t>ганам определить соответствующие статьи соответствующего договора в своих заключительных замечаниях и разработать руководящие указания в отношении любых директивных или структурных изменений, которые могут потребоват</w:t>
      </w:r>
      <w:r>
        <w:t>ь</w:t>
      </w:r>
      <w:r>
        <w:t>ся со стороны государства-участника. В тех случаях, когда они способствуют уточнению вопросов, председатели поддержали стандартное использование подзаголовков в з</w:t>
      </w:r>
      <w:r>
        <w:t>а</w:t>
      </w:r>
      <w:r>
        <w:t xml:space="preserve">ключительных замечаниях. </w:t>
      </w:r>
    </w:p>
    <w:p w:rsidR="003A26A0" w:rsidRDefault="003A26A0" w:rsidP="00EA465F">
      <w:pPr>
        <w:pStyle w:val="SingleTxt"/>
      </w:pPr>
      <w:r>
        <w:t>105.</w:t>
      </w:r>
      <w:r>
        <w:tab/>
        <w:t>Договорным органам рекомендуется использовать стандартные пункты, только когда это целесообразно с процедурной точки зрения или когда, в ко</w:t>
      </w:r>
      <w:r>
        <w:t>н</w:t>
      </w:r>
      <w:r>
        <w:t>кретных случаях, это желательно для обеспечения последовательности юри</w:t>
      </w:r>
      <w:r>
        <w:t>с</w:t>
      </w:r>
      <w:r>
        <w:t>пруденции и/или равного обращения с государствами-участниками. Догово</w:t>
      </w:r>
      <w:r>
        <w:t>р</w:t>
      </w:r>
      <w:r>
        <w:t>ным органам не рекомендуется включать в их заключительные замечания ста</w:t>
      </w:r>
      <w:r>
        <w:t>н</w:t>
      </w:r>
      <w:r>
        <w:t>дартные пункты рутинного характера, если это только не является необход</w:t>
      </w:r>
      <w:r>
        <w:t>и</w:t>
      </w:r>
      <w:r>
        <w:t xml:space="preserve">мым. </w:t>
      </w:r>
    </w:p>
    <w:p w:rsidR="003A26A0" w:rsidRDefault="003A26A0" w:rsidP="00EA465F">
      <w:pPr>
        <w:pStyle w:val="SingleTxt"/>
      </w:pPr>
      <w:r>
        <w:t>106.</w:t>
      </w:r>
      <w:r>
        <w:tab/>
        <w:t>Исходя из пункта 6 резолюции </w:t>
      </w:r>
      <w:hyperlink r:id="rId60" w:history="1">
        <w:r w:rsidRPr="00464512">
          <w:rPr>
            <w:rStyle w:val="Hyperlink"/>
          </w:rPr>
          <w:t>68/268</w:t>
        </w:r>
      </w:hyperlink>
      <w:r>
        <w:t xml:space="preserve"> председатели одобрили рамки для заключительных замечаний, как предложено в приложении II к настоящему д</w:t>
      </w:r>
      <w:r>
        <w:t>о</w:t>
      </w:r>
      <w:r>
        <w:t>кладу, которые следует понимать в свете необходимости того, чтобы каждый договорный орган гибко применял эти рамки, с тем чтобы их заключительные замечания учитывали и отражали специфические особенности каждой конве</w:t>
      </w:r>
      <w:r>
        <w:t>н</w:t>
      </w:r>
      <w:r>
        <w:t>ции и договорного органа.</w:t>
      </w:r>
    </w:p>
    <w:p w:rsidR="003A26A0" w:rsidRPr="00957CAD" w:rsidRDefault="003A26A0" w:rsidP="00EA465F">
      <w:pPr>
        <w:pStyle w:val="SingleTxt"/>
        <w:spacing w:after="0" w:line="120" w:lineRule="exact"/>
        <w:rPr>
          <w:sz w:val="10"/>
        </w:rPr>
      </w:pPr>
    </w:p>
    <w:p w:rsidR="003A26A0" w:rsidRPr="00957CAD" w:rsidRDefault="003A26A0" w:rsidP="00EA465F">
      <w:pPr>
        <w:pStyle w:val="SingleTxt"/>
        <w:spacing w:after="0" w:line="120" w:lineRule="exact"/>
        <w:rPr>
          <w:sz w:val="10"/>
        </w:rPr>
      </w:pPr>
    </w:p>
    <w:p w:rsidR="003A26A0" w:rsidRDefault="003A26A0" w:rsidP="003A26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Репрессии</w:t>
      </w:r>
    </w:p>
    <w:p w:rsidR="003A26A0" w:rsidRPr="00957CAD" w:rsidRDefault="003A26A0" w:rsidP="00EA465F">
      <w:pPr>
        <w:pStyle w:val="SingleTxt"/>
        <w:spacing w:after="0" w:line="120" w:lineRule="exact"/>
        <w:rPr>
          <w:sz w:val="10"/>
        </w:rPr>
      </w:pPr>
    </w:p>
    <w:p w:rsidR="003A26A0" w:rsidRPr="00957CAD" w:rsidRDefault="003A26A0" w:rsidP="00EA465F">
      <w:pPr>
        <w:pStyle w:val="SingleTxt"/>
        <w:spacing w:after="0" w:line="120" w:lineRule="exact"/>
        <w:rPr>
          <w:sz w:val="10"/>
        </w:rPr>
      </w:pPr>
    </w:p>
    <w:p w:rsidR="003A26A0" w:rsidRDefault="003A26A0" w:rsidP="00EA465F">
      <w:pPr>
        <w:pStyle w:val="SingleTxt"/>
      </w:pPr>
      <w:r>
        <w:t>107.</w:t>
      </w:r>
      <w:r>
        <w:tab/>
        <w:t>Председатели решительно осуждают случаи запугивания и репрессий против лиц, которые стремятся взаимодействовать с договорными органами.</w:t>
      </w:r>
    </w:p>
    <w:p w:rsidR="003A26A0" w:rsidRDefault="003A26A0" w:rsidP="00EA465F">
      <w:pPr>
        <w:pStyle w:val="SingleTxt"/>
      </w:pPr>
      <w:r>
        <w:t>108.</w:t>
      </w:r>
      <w:r>
        <w:tab/>
        <w:t>Председатели также приветствуют решительное осуждение со стороны Генеральной Ассамблеи — в пункте 8 ее резолюции </w:t>
      </w:r>
      <w:hyperlink r:id="rId61" w:history="1">
        <w:r w:rsidRPr="00464512">
          <w:rPr>
            <w:rStyle w:val="Hyperlink"/>
          </w:rPr>
          <w:t>68/268</w:t>
        </w:r>
      </w:hyperlink>
      <w:r>
        <w:t> — всех актов зап</w:t>
      </w:r>
      <w:r>
        <w:t>у</w:t>
      </w:r>
      <w:r>
        <w:t>гивания и репрессий против лиц и групп, которые вносят вклад в работу дог</w:t>
      </w:r>
      <w:r>
        <w:t>о</w:t>
      </w:r>
      <w:r>
        <w:t>ворных органов и поддерживают призыв Генеральной Ассамблеи к госуда</w:t>
      </w:r>
      <w:r>
        <w:t>р</w:t>
      </w:r>
      <w:r>
        <w:t>ствам принять все необходимые меры для предотвращения и исключения таких нарушений прав человека.</w:t>
      </w:r>
    </w:p>
    <w:p w:rsidR="003A26A0" w:rsidRDefault="003A26A0" w:rsidP="00EA465F">
      <w:pPr>
        <w:pStyle w:val="SingleTxt"/>
      </w:pPr>
      <w:r>
        <w:t>109.</w:t>
      </w:r>
      <w:r>
        <w:tab/>
        <w:t>Председатели предлагают всем договорным органам, которые еще не сд</w:t>
      </w:r>
      <w:r>
        <w:t>е</w:t>
      </w:r>
      <w:r>
        <w:t>лали этого, учредить докладчика по вопросу о репрессиях, который будет пр</w:t>
      </w:r>
      <w:r>
        <w:t>и</w:t>
      </w:r>
      <w:r>
        <w:t>нимать такие меры, которые необходимы для предотвращения, защиты, рассл</w:t>
      </w:r>
      <w:r>
        <w:t>е</w:t>
      </w:r>
      <w:r>
        <w:t xml:space="preserve">дования и судебного преследования за акты запугивания или репрессий. </w:t>
      </w:r>
    </w:p>
    <w:p w:rsidR="003A26A0" w:rsidRDefault="003A26A0" w:rsidP="00EA465F">
      <w:pPr>
        <w:pStyle w:val="SingleTxt"/>
      </w:pPr>
      <w:r>
        <w:t>110.</w:t>
      </w:r>
      <w:r>
        <w:tab/>
        <w:t>Председатели далее постановили включить вопрос о репрессиях в кач</w:t>
      </w:r>
      <w:r>
        <w:t>е</w:t>
      </w:r>
      <w:r>
        <w:t>стве постоянного пункта в повестку дня ежегодных совещаний председателей и взаимодействовать с другими органами, которые осуществляют защиту прав поборников прав человека и других лиц от репрессий.</w:t>
      </w:r>
    </w:p>
    <w:p w:rsidR="003A26A0" w:rsidRDefault="003A26A0" w:rsidP="00EA465F">
      <w:pPr>
        <w:pStyle w:val="SingleTxt"/>
      </w:pPr>
      <w:r>
        <w:t>111.</w:t>
      </w:r>
      <w:r>
        <w:tab/>
        <w:t>В целях определения общесистемного подхода к вопросу о репрессиях председатели далее постановили разработать и принять общую политику дог</w:t>
      </w:r>
      <w:r>
        <w:t>о</w:t>
      </w:r>
      <w:r>
        <w:t>ворных органов по вопросу о репрессиях на своем двадцать седьмом совещ</w:t>
      </w:r>
      <w:r>
        <w:t>а</w:t>
      </w:r>
      <w:r>
        <w:t>нии. Такая политика должна стать одним из элементов более общего подхода к вопросу о репрессиях со стороны соответствующих правозащитных механи</w:t>
      </w:r>
      <w:r>
        <w:t>з</w:t>
      </w:r>
      <w:r>
        <w:t>мов Орган</w:t>
      </w:r>
      <w:r>
        <w:t>и</w:t>
      </w:r>
      <w:r>
        <w:t xml:space="preserve">зации Объединенных Наций. </w:t>
      </w:r>
    </w:p>
    <w:p w:rsidR="003A26A0" w:rsidRPr="00395864" w:rsidRDefault="003A26A0" w:rsidP="00EA465F">
      <w:pPr>
        <w:pStyle w:val="SingleTxt"/>
        <w:spacing w:after="0" w:line="120" w:lineRule="exact"/>
        <w:rPr>
          <w:sz w:val="10"/>
        </w:rPr>
      </w:pPr>
    </w:p>
    <w:p w:rsidR="003A26A0" w:rsidRPr="00395864" w:rsidRDefault="003A26A0" w:rsidP="00EA465F">
      <w:pPr>
        <w:pStyle w:val="SingleTxt"/>
        <w:spacing w:after="0" w:line="120" w:lineRule="exact"/>
        <w:rPr>
          <w:sz w:val="10"/>
        </w:rPr>
      </w:pPr>
    </w:p>
    <w:p w:rsidR="003A26A0" w:rsidRDefault="003A26A0" w:rsidP="003A26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Задержки с представлением и непредставление докладов государствами-участниками</w:t>
      </w:r>
    </w:p>
    <w:p w:rsidR="003A26A0" w:rsidRPr="00395864" w:rsidRDefault="003A26A0" w:rsidP="00EA465F">
      <w:pPr>
        <w:pStyle w:val="SingleTxt"/>
        <w:spacing w:after="0" w:line="120" w:lineRule="exact"/>
        <w:rPr>
          <w:sz w:val="10"/>
        </w:rPr>
      </w:pPr>
    </w:p>
    <w:p w:rsidR="003A26A0" w:rsidRPr="00395864" w:rsidRDefault="003A26A0" w:rsidP="00EA465F">
      <w:pPr>
        <w:pStyle w:val="SingleTxt"/>
        <w:spacing w:after="0" w:line="120" w:lineRule="exact"/>
        <w:rPr>
          <w:sz w:val="10"/>
        </w:rPr>
      </w:pPr>
    </w:p>
    <w:p w:rsidR="003A26A0" w:rsidRDefault="003A26A0" w:rsidP="00EA465F">
      <w:pPr>
        <w:pStyle w:val="SingleTxt"/>
      </w:pPr>
      <w:r>
        <w:t>112.</w:t>
      </w:r>
      <w:r>
        <w:tab/>
        <w:t>Председатели подтвердили решение, принятое на двадцать пятом совещ</w:t>
      </w:r>
      <w:r>
        <w:t>а</w:t>
      </w:r>
      <w:r>
        <w:t>нии председателей, включить вопрос о задержках с представлением докладов государствами-участниками или их непредставлении в качестве постоянного пункта повестки дня ежегодных совещаний председателей, и постановили включить вопрос о задержках с представлением или непредставлении докл</w:t>
      </w:r>
      <w:r>
        <w:t>а</w:t>
      </w:r>
      <w:r>
        <w:t>дов в повестку дня ежегодных совещаний. Председатели приветствуют осущест</w:t>
      </w:r>
      <w:r>
        <w:t>в</w:t>
      </w:r>
      <w:r>
        <w:t>ление рекомендации, вынесенной на их двадцать пятом совещании, относ</w:t>
      </w:r>
      <w:r>
        <w:t>и</w:t>
      </w:r>
      <w:r>
        <w:t>тельно того, чтобы Управление Верховного комиссара Организации Объед</w:t>
      </w:r>
      <w:r>
        <w:t>и</w:t>
      </w:r>
      <w:r>
        <w:t>ненных Наций по правам человека размещало информацию о своевреме</w:t>
      </w:r>
      <w:r>
        <w:t>н</w:t>
      </w:r>
      <w:r>
        <w:t>ном и запоздалом представлении докладов или об их непредставлении государств</w:t>
      </w:r>
      <w:r>
        <w:t>а</w:t>
      </w:r>
      <w:r>
        <w:t xml:space="preserve">ми-участниками на своем веб-сайте. Они рекомендовали вести и обновлять эту веб-страницу на постоянной основе. </w:t>
      </w:r>
    </w:p>
    <w:p w:rsidR="003A26A0" w:rsidRPr="003A26A0" w:rsidRDefault="003A26A0" w:rsidP="003A26A0">
      <w:pPr>
        <w:pStyle w:val="SingleTxt"/>
        <w:spacing w:after="0" w:line="120" w:lineRule="exact"/>
        <w:rPr>
          <w:sz w:val="10"/>
        </w:rPr>
      </w:pPr>
    </w:p>
    <w:p w:rsidR="003A26A0" w:rsidRPr="003A26A0" w:rsidRDefault="003A26A0" w:rsidP="003A26A0">
      <w:pPr>
        <w:pStyle w:val="SingleTxt"/>
        <w:spacing w:after="0" w:line="120" w:lineRule="exact"/>
        <w:rPr>
          <w:sz w:val="10"/>
        </w:rPr>
      </w:pPr>
    </w:p>
    <w:p w:rsidR="003A26A0" w:rsidRDefault="003A26A0" w:rsidP="003A26A0">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rPr>
          <w:lang w:val="en-US"/>
        </w:rPr>
        <w:t>V</w:t>
      </w:r>
      <w:r>
        <w:t>.</w:t>
      </w:r>
      <w:r>
        <w:tab/>
        <w:t>Ежегодные совещания председателей договорных органов</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SingleTxt"/>
      </w:pPr>
      <w:r>
        <w:t>113.</w:t>
      </w:r>
      <w:r>
        <w:tab/>
        <w:t>Председатели рекомендуют пересмотреть вопрос о графике своих еж</w:t>
      </w:r>
      <w:r>
        <w:t>е</w:t>
      </w:r>
      <w:r>
        <w:t>годных совещаний, с тем чтобы совещания проводились в наиболее подход</w:t>
      </w:r>
      <w:r>
        <w:t>я</w:t>
      </w:r>
      <w:r>
        <w:t>щий момент в рамках ежегодного цикла работы системы договорных органов и управления Верховного комиссара Организации Объединенных Наций по пр</w:t>
      </w:r>
      <w:r>
        <w:t>а</w:t>
      </w:r>
      <w:r>
        <w:t>вам человека.</w:t>
      </w:r>
    </w:p>
    <w:p w:rsidR="003A26A0" w:rsidRDefault="003A26A0" w:rsidP="00EA465F">
      <w:pPr>
        <w:pStyle w:val="SingleTxt"/>
      </w:pPr>
      <w:r>
        <w:t>114.</w:t>
      </w:r>
      <w:r>
        <w:tab/>
        <w:t>Кроме того, председатели рекомендуют созывать второе дополнительное совещание с участием членов договорных органов каждый год.</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Повестка дня двадцать седьмого совещания председателей</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SingleTxt"/>
      </w:pPr>
      <w:r>
        <w:t>115.</w:t>
      </w:r>
      <w:r>
        <w:tab/>
        <w:t>На своем двадцать шестом совещании председатели постановили, что двадцать седьмое ежегодное совещание будет, в частности, рассматривать сл</w:t>
      </w:r>
      <w:r>
        <w:t>е</w:t>
      </w:r>
      <w:r>
        <w:t>дующие пункты, включенные в ее повестку дня:</w:t>
      </w:r>
    </w:p>
    <w:p w:rsidR="003A26A0" w:rsidRDefault="003A26A0" w:rsidP="00EA465F">
      <w:pPr>
        <w:pStyle w:val="SingleTxt"/>
      </w:pPr>
      <w:r>
        <w:tab/>
        <w:t>a)</w:t>
      </w:r>
      <w:r>
        <w:tab/>
        <w:t>последующие меры, касающиеся вопросов существа, которые о</w:t>
      </w:r>
      <w:r>
        <w:t>б</w:t>
      </w:r>
      <w:r>
        <w:t>суждались на их двадцать шестом ежегодном совещании относительно согл</w:t>
      </w:r>
      <w:r>
        <w:t>а</w:t>
      </w:r>
      <w:r>
        <w:t>сования методов раб</w:t>
      </w:r>
      <w:r>
        <w:t>о</w:t>
      </w:r>
      <w:r>
        <w:t>ты;</w:t>
      </w:r>
    </w:p>
    <w:p w:rsidR="003A26A0" w:rsidRDefault="003A26A0" w:rsidP="00EA465F">
      <w:pPr>
        <w:pStyle w:val="SingleTxt"/>
      </w:pPr>
      <w:r>
        <w:tab/>
        <w:t>b)</w:t>
      </w:r>
      <w:r>
        <w:tab/>
        <w:t>общая политика системы договорных органов по вопросу о запуг</w:t>
      </w:r>
      <w:r>
        <w:t>и</w:t>
      </w:r>
      <w:r>
        <w:t>вании и репрессиях;</w:t>
      </w:r>
    </w:p>
    <w:p w:rsidR="003A26A0" w:rsidRDefault="003A26A0" w:rsidP="00EA465F">
      <w:pPr>
        <w:pStyle w:val="SingleTxt"/>
      </w:pPr>
      <w:r>
        <w:tab/>
        <w:t>c)</w:t>
      </w:r>
      <w:r>
        <w:tab/>
        <w:t>возможное упорядочивание процесса консультаций для разработки общих замечаний;</w:t>
      </w:r>
    </w:p>
    <w:p w:rsidR="003A26A0" w:rsidRDefault="003A26A0" w:rsidP="00EA465F">
      <w:pPr>
        <w:pStyle w:val="SingleTxt"/>
      </w:pPr>
      <w:r>
        <w:tab/>
        <w:t>d)</w:t>
      </w:r>
      <w:r>
        <w:tab/>
        <w:t>задержки с представлением докладов или непредставление докладов государствами-участниками — вопрос, перенесенный с двадцать шестого еж</w:t>
      </w:r>
      <w:r>
        <w:t>е</w:t>
      </w:r>
      <w:r>
        <w:t>годного сов</w:t>
      </w:r>
      <w:r>
        <w:t>е</w:t>
      </w:r>
      <w:r>
        <w:t>щания;</w:t>
      </w:r>
    </w:p>
    <w:p w:rsidR="003A26A0" w:rsidRDefault="003A26A0" w:rsidP="00EA465F">
      <w:pPr>
        <w:pStyle w:val="SingleTxt"/>
      </w:pPr>
      <w:r>
        <w:tab/>
        <w:t>e)</w:t>
      </w:r>
      <w:r>
        <w:tab/>
        <w:t>обзор событий, касающихся совместного заявления пре</w:t>
      </w:r>
      <w:r>
        <w:t>д</w:t>
      </w:r>
      <w:r>
        <w:t>седателей о повестке дня в области развития на период после 2015 года, принятого на дв</w:t>
      </w:r>
      <w:r>
        <w:t>а</w:t>
      </w:r>
      <w:r>
        <w:t>дцать п</w:t>
      </w:r>
      <w:r>
        <w:t>я</w:t>
      </w:r>
      <w:r>
        <w:t>том ежегодном совещании;</w:t>
      </w:r>
    </w:p>
    <w:p w:rsidR="003A26A0" w:rsidRDefault="003A26A0" w:rsidP="00EA465F">
      <w:pPr>
        <w:pStyle w:val="SingleTxt"/>
      </w:pPr>
      <w:r>
        <w:tab/>
        <w:t>f)</w:t>
      </w:r>
      <w:r>
        <w:tab/>
        <w:t>оказание помощи в деле наращивания потенциала и технического сотрудничества в свете резолюции </w:t>
      </w:r>
      <w:hyperlink r:id="rId62" w:history="1">
        <w:r w:rsidRPr="002919A5">
          <w:rPr>
            <w:rStyle w:val="Hyperlink"/>
          </w:rPr>
          <w:t>68/268</w:t>
        </w:r>
      </w:hyperlink>
      <w:r>
        <w:t xml:space="preserve"> Генеральной Ассамблеи.</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Место проведения ежегодного совещания председателей</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SingleTxt"/>
      </w:pPr>
      <w:r>
        <w:t>116.</w:t>
      </w:r>
      <w:r>
        <w:tab/>
        <w:t>Женева была традиционным местом проведения ежегодных совещаний председателей. В 2010 году председатели решили перенести место проведения своих совещаний в регионы. В этом контексте были проведены совещания в Брюсселе (2010 год) и Аддис-Абебе (2012 год). В 2013 году совещание предс</w:t>
      </w:r>
      <w:r>
        <w:t>е</w:t>
      </w:r>
      <w:r>
        <w:t>дателей было проведено в Нью-Йорке, с тем чтобы содействовать взаимоде</w:t>
      </w:r>
      <w:r>
        <w:t>й</w:t>
      </w:r>
      <w:r>
        <w:t>ствию председателей с межправительственным процессом по укреплению с</w:t>
      </w:r>
      <w:r>
        <w:t>и</w:t>
      </w:r>
      <w:r>
        <w:t>стемы договорных органов.</w:t>
      </w:r>
    </w:p>
    <w:p w:rsidR="003A26A0" w:rsidRDefault="003A26A0" w:rsidP="00EA465F">
      <w:pPr>
        <w:pStyle w:val="SingleTxt"/>
      </w:pPr>
      <w:r>
        <w:t>117.</w:t>
      </w:r>
      <w:r>
        <w:tab/>
        <w:t>С целью проведения диалога с государствами и другими заинтересова</w:t>
      </w:r>
      <w:r>
        <w:t>н</w:t>
      </w:r>
      <w:r>
        <w:t>ными сторонами в Нью-Йорке председатели рекомендуют проводить их еж</w:t>
      </w:r>
      <w:r>
        <w:t>е</w:t>
      </w:r>
      <w:r>
        <w:t>годное совещание в Нью-Йорке в те годы, когда Генеральной Ассамблее пре</w:t>
      </w:r>
      <w:r>
        <w:t>д</w:t>
      </w:r>
      <w:r>
        <w:t>ставляется двухгодичный доклад Генерального секретаря о ходе работы по укреплению договорных о</w:t>
      </w:r>
      <w:r>
        <w:t>р</w:t>
      </w:r>
      <w:r>
        <w:t>ганов.</w:t>
      </w:r>
    </w:p>
    <w:p w:rsidR="003A26A0" w:rsidRDefault="003A26A0" w:rsidP="00EA465F">
      <w:pPr>
        <w:pStyle w:val="SingleTxt"/>
      </w:pPr>
      <w:r>
        <w:t>118.</w:t>
      </w:r>
      <w:r>
        <w:tab/>
        <w:t>Председатели далее рекомендуют проводить совещания по очереди в Ж</w:t>
      </w:r>
      <w:r>
        <w:t>е</w:t>
      </w:r>
      <w:r>
        <w:t>неве, Нью-Йорке и регионах. В этой связи председатели рекомендуют провести двадцать седьмое совещание в Нью-Йорке в сроки, которые будут подтвержд</w:t>
      </w:r>
      <w:r>
        <w:t>е</w:t>
      </w:r>
      <w:r>
        <w:t xml:space="preserve">ны с учетом имеющихся ресурсов. </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Докладчик-председатель и докладчик-заместитель председателя на двадцать седьмом совещании</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SingleTxt"/>
      </w:pPr>
      <w:r>
        <w:t>119.</w:t>
      </w:r>
      <w:r>
        <w:tab/>
        <w:t xml:space="preserve">Председатели постановили, что в соответствии с принципом ротации и включением новых комитетов в перечень председателем-докладчиком двадцать седьмого совещания председателей в 2015 году будет председатель-докладчик Комитета по насильственным исчезновениям, а заместителем председателя-докладчика будет Председатель Комитета по правам человека. </w:t>
      </w: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w:t>
      </w:r>
    </w:p>
    <w:p w:rsidR="003A26A0" w:rsidRPr="0090064A" w:rsidRDefault="003A26A0" w:rsidP="00EA465F">
      <w:pPr>
        <w:pStyle w:val="SingleTxt"/>
        <w:spacing w:after="0" w:line="120" w:lineRule="exact"/>
        <w:rPr>
          <w:sz w:val="10"/>
        </w:rPr>
      </w:pPr>
      <w:r>
        <w:rPr>
          <w:sz w:val="10"/>
        </w:rPr>
        <w:t xml:space="preserve"> </w:t>
      </w: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Инструкция для государств-участников по вопросу о конструктивном диалоге с договорными органами по правам человека</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SingleTxt"/>
      </w:pPr>
      <w:r>
        <w:tab/>
        <w:t>Договорные органы по правам человека рассматривают доклады гос</w:t>
      </w:r>
      <w:r>
        <w:t>у</w:t>
      </w:r>
      <w:r>
        <w:t>дарств-участников путем их обсуждения на основе процедуры, которая вкл</w:t>
      </w:r>
      <w:r>
        <w:t>ю</w:t>
      </w:r>
      <w:r>
        <w:t>чает конструктивный диалог с представителями соответствующих гос</w:t>
      </w:r>
      <w:r>
        <w:t>у</w:t>
      </w:r>
      <w:r>
        <w:t>дарств-участников. Этот диалог помогает договорным органам понять и оценить сит</w:t>
      </w:r>
      <w:r>
        <w:t>у</w:t>
      </w:r>
      <w:r>
        <w:t>ацию в области прав человека в государстве-участнике с точки зрения соотве</w:t>
      </w:r>
      <w:r>
        <w:t>т</w:t>
      </w:r>
      <w:r>
        <w:t>ствующего договора. Диалог также служит в качестве основы для разработки заключительных замечаний договорных органов. Конструктивный диалог предоставляет государствам-участникам возможность получить экспертные консультации по вопросу о соблюдении их международных обязательств в о</w:t>
      </w:r>
      <w:r>
        <w:t>б</w:t>
      </w:r>
      <w:r>
        <w:t>ласти прав человека, что помогает им в осуществлении договоров на наци</w:t>
      </w:r>
      <w:r>
        <w:t>о</w:t>
      </w:r>
      <w:r>
        <w:t>нальном уровне.</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Состав делегаций государств-участников для проведения конструктивного диалога</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SingleTxt"/>
      </w:pPr>
      <w:r>
        <w:tab/>
        <w:t>Договорные органы рекомендуют делегациям государств-участников для проведения конструктивного диалога действовать под руководством старшего государственного должностного лица, отвечающего за осуществление соотве</w:t>
      </w:r>
      <w:r>
        <w:t>т</w:t>
      </w:r>
      <w:r>
        <w:t>ствующего договора. Договорные органы также рекоме</w:t>
      </w:r>
      <w:r>
        <w:t>н</w:t>
      </w:r>
      <w:r>
        <w:t>дуют государствам-участникам включать, по мере возможности, в состав их делегаций представ</w:t>
      </w:r>
      <w:r>
        <w:t>и</w:t>
      </w:r>
      <w:r>
        <w:t>телей, обладающих необходимым опытом работы в основных исполнител</w:t>
      </w:r>
      <w:r>
        <w:t>ь</w:t>
      </w:r>
      <w:r>
        <w:t>ных и других органах власти, отвечающих за осуществление соответствующего д</w:t>
      </w:r>
      <w:r>
        <w:t>о</w:t>
      </w:r>
      <w:r>
        <w:t>говора с надлежащим учетом потребностей в экспертах и гендерного бала</w:t>
      </w:r>
      <w:r>
        <w:t>н</w:t>
      </w:r>
      <w:r>
        <w:t>са. Государства-участники могут также пожелать рассмотреть вопрос о включ</w:t>
      </w:r>
      <w:r>
        <w:t>е</w:t>
      </w:r>
      <w:r>
        <w:t>нии в число представителей их делегаций представителей других соответству</w:t>
      </w:r>
      <w:r>
        <w:t>ю</w:t>
      </w:r>
      <w:r>
        <w:t>щих институтов или учр</w:t>
      </w:r>
      <w:r>
        <w:t>е</w:t>
      </w:r>
      <w:r>
        <w:t>ждений.</w:t>
      </w:r>
    </w:p>
    <w:p w:rsidR="003A26A0" w:rsidRDefault="003A26A0" w:rsidP="00EA465F">
      <w:pPr>
        <w:pStyle w:val="SingleTxt"/>
      </w:pPr>
      <w:r>
        <w:tab/>
        <w:t>Доклады государств-участников рассматриваются договорными органами в том порядке, который определяется соответствующим договорным органом, как правило, с учетом очередности представления докладов. После установл</w:t>
      </w:r>
      <w:r>
        <w:t>е</w:t>
      </w:r>
      <w:r>
        <w:t>ния даты для рассмотрения доклада государства-участника соответствующим органам власти направляется приглашение по крайней мере за шесть месяцев до даты пров</w:t>
      </w:r>
      <w:r>
        <w:t>е</w:t>
      </w:r>
      <w:r>
        <w:t>дения предлагаемого совещания. Дата заседания, в ходе которого будет проводиться конструктивный диалог, может быть изменена только в и</w:t>
      </w:r>
      <w:r>
        <w:t>с</w:t>
      </w:r>
      <w:r>
        <w:t>ключительных обстоятельствах по решению Комит</w:t>
      </w:r>
      <w:r>
        <w:t>е</w:t>
      </w:r>
      <w:r>
        <w:t xml:space="preserve">та. </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Страновые докладчики и страновые группы договорных органов</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SingleTxt"/>
      </w:pPr>
      <w:r>
        <w:tab/>
        <w:t>Договорные органы могут назначать членов для работы в качестве стр</w:t>
      </w:r>
      <w:r>
        <w:t>а</w:t>
      </w:r>
      <w:r>
        <w:t>новых докладчиков, которые могут затем действовать в качестве координат</w:t>
      </w:r>
      <w:r>
        <w:t>о</w:t>
      </w:r>
      <w:r>
        <w:t>ров для представления и координации конструктивного устного диалога с д</w:t>
      </w:r>
      <w:r>
        <w:t>е</w:t>
      </w:r>
      <w:r>
        <w:t>легацией государства-участника. Договорные органы могут также пожелать р</w:t>
      </w:r>
      <w:r>
        <w:t>е</w:t>
      </w:r>
      <w:r>
        <w:t>комендовать более широкий состав группы членов, которые могут действовать в этом качестве. Эксперты, языки и географический гендерный баланс должны, в частности, приниматься во внимание при определении состава таких групп.</w:t>
      </w:r>
    </w:p>
    <w:p w:rsidR="003A26A0" w:rsidRDefault="003A26A0" w:rsidP="00EA465F">
      <w:pPr>
        <w:pStyle w:val="SingleTxt"/>
      </w:pPr>
      <w:r>
        <w:tab/>
        <w:t>Страновые докладчики (или их эквиваленты в группах, учрежденных для этой цели), как правило, несут основную ответственность за подготовку ко</w:t>
      </w:r>
      <w:r>
        <w:t>н</w:t>
      </w:r>
      <w:r>
        <w:t>структивного устного диалога с государством-участником. Это включает пр</w:t>
      </w:r>
      <w:r>
        <w:t>о</w:t>
      </w:r>
      <w:r>
        <w:t>ведение предварительных консультаций и координацию в отношении любых приоритетных тем или вопросов, которые будут рассмотрены с целью рек</w:t>
      </w:r>
      <w:r>
        <w:t>о</w:t>
      </w:r>
      <w:r>
        <w:t>мендовать членам Комитета избегать как дублирования, так и пробелов в раб</w:t>
      </w:r>
      <w:r>
        <w:t>о</w:t>
      </w:r>
      <w:r>
        <w:t>те. В случае необходимости любой член договорного органа может задать д</w:t>
      </w:r>
      <w:r>
        <w:t>о</w:t>
      </w:r>
      <w:r>
        <w:t>полнительные вопросы.</w:t>
      </w:r>
    </w:p>
    <w:p w:rsidR="003A26A0" w:rsidRDefault="003A26A0" w:rsidP="00EA465F">
      <w:pPr>
        <w:pStyle w:val="SingleTxt"/>
      </w:pPr>
      <w:r>
        <w:tab/>
        <w:t>В соответствии с инструкцией относительно независимости и беспр</w:t>
      </w:r>
      <w:r>
        <w:t>и</w:t>
      </w:r>
      <w:r>
        <w:t>страстности членов договорных органов по правам человека (Аддис-Абебские принципы) (приложение I к документу </w:t>
      </w:r>
      <w:hyperlink r:id="rId63" w:history="1">
        <w:r w:rsidRPr="002919A5">
          <w:rPr>
            <w:rStyle w:val="Hyperlink"/>
          </w:rPr>
          <w:t>A/67/222</w:t>
        </w:r>
      </w:hyperlink>
      <w:r>
        <w:t xml:space="preserve"> и </w:t>
      </w:r>
      <w:r>
        <w:rPr>
          <w:lang w:val="en-US"/>
        </w:rPr>
        <w:t>Corr</w:t>
      </w:r>
      <w:r w:rsidRPr="0090064A">
        <w:t>.1</w:t>
      </w:r>
      <w:r>
        <w:t>) и правилами дог</w:t>
      </w:r>
      <w:r>
        <w:t>о</w:t>
      </w:r>
      <w:r>
        <w:t>ворных органов члены договорных органов, являющиеся гражданами госуда</w:t>
      </w:r>
      <w:r>
        <w:t>р</w:t>
      </w:r>
      <w:r>
        <w:t>ства-участника, доклад которого находится на рассмотрении, не принимают участия в этом процессе, включая конструктивный диалог и принятие закл</w:t>
      </w:r>
      <w:r>
        <w:t>ю</w:t>
      </w:r>
      <w:r>
        <w:t>чительных замечаний.</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Роль председателей договорных органов в ходе конструктивного диалога</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SingleTxt"/>
      </w:pPr>
      <w:r>
        <w:tab/>
        <w:t>Председатели договорных органов несут ответственность за обеспечение того, чтобы диалог с государством-участником осуществлялся на интеракти</w:t>
      </w:r>
      <w:r>
        <w:t>в</w:t>
      </w:r>
      <w:r>
        <w:t>ной, эффективной, действенной и уважительной основе.</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Формат конструктивного диалога</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SingleTxt"/>
      </w:pPr>
      <w:r>
        <w:tab/>
        <w:t>Как правило, конструктивный диалог с государствами-участниками пр</w:t>
      </w:r>
      <w:r>
        <w:t>о</w:t>
      </w:r>
      <w:r>
        <w:t>водится в ходе двух заседаний продолжительностью до трех часов и, как пр</w:t>
      </w:r>
      <w:r>
        <w:t>а</w:t>
      </w:r>
      <w:r>
        <w:t>вило, осуществляется в течение двух последовательных рабочих дней. В сл</w:t>
      </w:r>
      <w:r>
        <w:t>у</w:t>
      </w:r>
      <w:r>
        <w:t>чае необходимости и в качестве исключения может быть проведено дополн</w:t>
      </w:r>
      <w:r>
        <w:t>и</w:t>
      </w:r>
      <w:r>
        <w:t xml:space="preserve">тельное заседание продолжительностью до трех часов, если Комитет сочтет это необходимым и целесообразным. </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Основная направленность диалога</w:t>
      </w:r>
    </w:p>
    <w:p w:rsidR="003A26A0" w:rsidRPr="0090064A" w:rsidRDefault="003A26A0" w:rsidP="00EA465F">
      <w:pPr>
        <w:pStyle w:val="SingleTxt"/>
        <w:spacing w:after="0" w:line="120" w:lineRule="exact"/>
        <w:rPr>
          <w:sz w:val="10"/>
        </w:rPr>
      </w:pPr>
    </w:p>
    <w:p w:rsidR="003A26A0" w:rsidRPr="0090064A" w:rsidRDefault="003A26A0" w:rsidP="00EA465F">
      <w:pPr>
        <w:pStyle w:val="SingleTxt"/>
        <w:spacing w:after="0" w:line="120" w:lineRule="exact"/>
        <w:rPr>
          <w:sz w:val="10"/>
        </w:rPr>
      </w:pPr>
    </w:p>
    <w:p w:rsidR="003A26A0" w:rsidRPr="0090064A" w:rsidRDefault="003A26A0" w:rsidP="00EA465F">
      <w:pPr>
        <w:pStyle w:val="SingleTxt"/>
      </w:pPr>
      <w:r>
        <w:tab/>
        <w:t>В ходе диалога, касающегося первоначального доклада, договорные орг</w:t>
      </w:r>
      <w:r>
        <w:t>а</w:t>
      </w:r>
      <w:r>
        <w:t>ны должны стремиться обсудить большинство или все положения договора, а также любые тематические приоритеты и проблемы, которые были определены Комитетом.</w:t>
      </w:r>
      <w:r w:rsidRPr="0090064A">
        <w:t xml:space="preserve"> </w:t>
      </w:r>
    </w:p>
    <w:p w:rsidR="003A26A0" w:rsidRDefault="003A26A0" w:rsidP="00EA465F">
      <w:pPr>
        <w:pStyle w:val="SingleTxt"/>
      </w:pPr>
      <w:r>
        <w:t>В ходе диалога, касающегося периодических докладов, основное внимание уделяется вопросам или тематическим приоритетам, определенным догово</w:t>
      </w:r>
      <w:r>
        <w:t>р</w:t>
      </w:r>
      <w:r>
        <w:t>ными органами. Такие приоритетные вопросы могут включать ранее вынесе</w:t>
      </w:r>
      <w:r>
        <w:t>н</w:t>
      </w:r>
      <w:r>
        <w:t>ные заключительные замечания, проблемы, определенные в перечне вопросов, и возможные новые события в государстве-участнике, которые были доведены до сведения Комитета.</w:t>
      </w:r>
    </w:p>
    <w:p w:rsidR="003A26A0" w:rsidRDefault="003A26A0" w:rsidP="00EA465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Кластеры вопросов и тем в рамках диалога</w:t>
      </w:r>
    </w:p>
    <w:p w:rsidR="003A26A0" w:rsidRDefault="003A26A0" w:rsidP="00EA465F">
      <w:pPr>
        <w:pStyle w:val="SingleTxt"/>
        <w:spacing w:after="0" w:line="120" w:lineRule="exact"/>
        <w:rPr>
          <w:sz w:val="10"/>
        </w:rPr>
      </w:pPr>
    </w:p>
    <w:p w:rsidR="003A26A0" w:rsidRPr="00B574BA" w:rsidRDefault="003A26A0" w:rsidP="00EA465F">
      <w:pPr>
        <w:pStyle w:val="SingleTxt"/>
        <w:spacing w:after="0" w:line="120" w:lineRule="exact"/>
        <w:rPr>
          <w:sz w:val="10"/>
        </w:rPr>
      </w:pPr>
    </w:p>
    <w:p w:rsidR="003A26A0" w:rsidRDefault="003A26A0" w:rsidP="00EA465F">
      <w:pPr>
        <w:pStyle w:val="SingleTxt"/>
      </w:pPr>
      <w:r>
        <w:tab/>
        <w:t>Вопросы, заданные членами договорных органов, могут быть сгруппир</w:t>
      </w:r>
      <w:r>
        <w:t>о</w:t>
      </w:r>
      <w:r>
        <w:t>ваны с разбивкой по статьям, темам или субтемам, с тем чтобы отразить о</w:t>
      </w:r>
      <w:r>
        <w:t>с</w:t>
      </w:r>
      <w:r>
        <w:t>новные положения соответствующего договора. После получения ответов го</w:t>
      </w:r>
      <w:r>
        <w:t>с</w:t>
      </w:r>
      <w:r>
        <w:t>ударства-участника проводятся дополнительные раунды диалога, до тех пор пока не будут охвачены все кластеры, принимая во внимание необходимость предоставить государству-участнику разумное время для ответа на вопросы, заданные членами договорного органа. Члены договорного органа могут зад</w:t>
      </w:r>
      <w:r>
        <w:t>а</w:t>
      </w:r>
      <w:r>
        <w:t xml:space="preserve">вать последующие вопросы в свете ответов государства-участника. </w:t>
      </w:r>
    </w:p>
    <w:p w:rsidR="003A26A0" w:rsidRDefault="003A26A0" w:rsidP="00EA465F">
      <w:pPr>
        <w:pStyle w:val="SingleTxt"/>
        <w:spacing w:after="0" w:line="120" w:lineRule="exact"/>
        <w:rPr>
          <w:sz w:val="10"/>
        </w:rPr>
      </w:pPr>
    </w:p>
    <w:p w:rsidR="003A26A0" w:rsidRPr="00B574B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Распределение времени</w:t>
      </w:r>
    </w:p>
    <w:p w:rsidR="003A26A0" w:rsidRDefault="003A26A0" w:rsidP="00EA465F">
      <w:pPr>
        <w:pStyle w:val="SingleTxt"/>
        <w:spacing w:after="0" w:line="120" w:lineRule="exact"/>
        <w:rPr>
          <w:sz w:val="10"/>
        </w:rPr>
      </w:pPr>
    </w:p>
    <w:p w:rsidR="003A26A0" w:rsidRPr="00B574BA" w:rsidRDefault="003A26A0" w:rsidP="00EA465F">
      <w:pPr>
        <w:pStyle w:val="SingleTxt"/>
        <w:spacing w:after="0" w:line="120" w:lineRule="exact"/>
        <w:rPr>
          <w:sz w:val="10"/>
        </w:rPr>
      </w:pPr>
    </w:p>
    <w:p w:rsidR="003A26A0" w:rsidRDefault="003A26A0" w:rsidP="00EA465F">
      <w:pPr>
        <w:pStyle w:val="SingleTxt"/>
      </w:pPr>
      <w:r>
        <w:tab/>
        <w:t>Председатели договорных органов несут ответственность за своевреме</w:t>
      </w:r>
      <w:r>
        <w:t>н</w:t>
      </w:r>
      <w:r>
        <w:t>ное проведение заседания, включая соблюдение любых регламентов, которые могут быть установлены. Государства-участники получают информацию о структуре диалога и указания относительно регламента их вступительных з</w:t>
      </w:r>
      <w:r>
        <w:t>а</w:t>
      </w:r>
      <w:r>
        <w:t>явлений (15–30 минут) и их заключительных замечаний (до 10 минут), с тем чтобы сэкономить время для проведения прямого обмена мнениями между д</w:t>
      </w:r>
      <w:r>
        <w:t>е</w:t>
      </w:r>
      <w:r>
        <w:t>легацией государства-участника и членами Комит</w:t>
      </w:r>
      <w:r>
        <w:t>е</w:t>
      </w:r>
      <w:r>
        <w:t>та.</w:t>
      </w:r>
    </w:p>
    <w:p w:rsidR="003A26A0" w:rsidRPr="00B574BA" w:rsidRDefault="003A26A0" w:rsidP="00EA465F">
      <w:pPr>
        <w:pStyle w:val="SingleTxt"/>
        <w:spacing w:after="0" w:line="120" w:lineRule="exact"/>
        <w:rPr>
          <w:sz w:val="10"/>
        </w:rPr>
      </w:pPr>
    </w:p>
    <w:p w:rsidR="003A26A0" w:rsidRPr="00B574B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Языки, используемые в ходе конструктивного диалога</w:t>
      </w:r>
    </w:p>
    <w:p w:rsidR="003A26A0" w:rsidRPr="00B574BA" w:rsidRDefault="003A26A0" w:rsidP="00EA465F">
      <w:pPr>
        <w:pStyle w:val="SingleTxt"/>
        <w:spacing w:after="0" w:line="120" w:lineRule="exact"/>
        <w:rPr>
          <w:sz w:val="10"/>
        </w:rPr>
      </w:pPr>
    </w:p>
    <w:p w:rsidR="003A26A0" w:rsidRPr="00B574BA" w:rsidRDefault="003A26A0" w:rsidP="00EA465F">
      <w:pPr>
        <w:pStyle w:val="SingleTxt"/>
        <w:spacing w:after="0" w:line="120" w:lineRule="exact"/>
        <w:rPr>
          <w:sz w:val="10"/>
        </w:rPr>
      </w:pPr>
    </w:p>
    <w:p w:rsidR="003A26A0" w:rsidRDefault="003A26A0" w:rsidP="00EA465F">
      <w:pPr>
        <w:pStyle w:val="SingleTxt"/>
      </w:pPr>
      <w:r>
        <w:tab/>
        <w:t>В соответствии с пунктом 30 резолюции </w:t>
      </w:r>
      <w:hyperlink r:id="rId64" w:history="1">
        <w:r w:rsidRPr="009D5079">
          <w:rPr>
            <w:rStyle w:val="Hyperlink"/>
          </w:rPr>
          <w:t>68/268</w:t>
        </w:r>
      </w:hyperlink>
      <w:r>
        <w:t xml:space="preserve"> Генеральной Ассамблеи об укреплении и усилении эффективности функционирования системы дог</w:t>
      </w:r>
      <w:r>
        <w:t>о</w:t>
      </w:r>
      <w:r>
        <w:t>ворных органов по правам человека договорные органы по правам человека будут использовать максимум три официальных рабочих языка и по решению соответствующего комитета использовать четвертый официальный язык в и</w:t>
      </w:r>
      <w:r>
        <w:t>с</w:t>
      </w:r>
      <w:r>
        <w:t>ключительных случаях для облегчения общения между его членами, имея при этом в виду, что такие меры не образуют прецедент с учетом особого характера договорных органов, без ущерба для права каждого государства-участника осуществлять взаимодействие с договорными органами на любом из шести официальных языков Организации Объедине</w:t>
      </w:r>
      <w:r>
        <w:t>н</w:t>
      </w:r>
      <w:r>
        <w:t xml:space="preserve">ных Наций. </w:t>
      </w:r>
    </w:p>
    <w:p w:rsidR="003A26A0" w:rsidRDefault="003A26A0" w:rsidP="00EA465F">
      <w:pPr>
        <w:pStyle w:val="SingleTxt"/>
      </w:pPr>
      <w:r>
        <w:tab/>
        <w:t>Если делегация государства-участника пожелает использовать своих со</w:t>
      </w:r>
      <w:r>
        <w:t>б</w:t>
      </w:r>
      <w:r>
        <w:t>ственных устных переводчиков для перевода на язык иной, чем один из офиц</w:t>
      </w:r>
      <w:r>
        <w:t>и</w:t>
      </w:r>
      <w:r>
        <w:t>альных языков, то это должно быть доведено до сведения секретариата по крайней мере за четыре недели до проведения конструктивного диалога.</w:t>
      </w:r>
    </w:p>
    <w:p w:rsidR="003A26A0" w:rsidRPr="00B574BA" w:rsidRDefault="003A26A0" w:rsidP="00EA465F">
      <w:pPr>
        <w:pStyle w:val="SingleTxt"/>
        <w:spacing w:after="0" w:line="120" w:lineRule="exact"/>
        <w:rPr>
          <w:sz w:val="10"/>
        </w:rPr>
      </w:pPr>
    </w:p>
    <w:p w:rsidR="003A26A0" w:rsidRPr="00B574B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Публичный характер заседаний</w:t>
      </w:r>
    </w:p>
    <w:p w:rsidR="003A26A0" w:rsidRPr="00B574BA" w:rsidRDefault="003A26A0" w:rsidP="00EA465F">
      <w:pPr>
        <w:pStyle w:val="SingleTxt"/>
        <w:spacing w:after="0" w:line="120" w:lineRule="exact"/>
        <w:rPr>
          <w:sz w:val="10"/>
        </w:rPr>
      </w:pPr>
    </w:p>
    <w:p w:rsidR="003A26A0" w:rsidRPr="00B574BA" w:rsidRDefault="003A26A0" w:rsidP="00EA465F">
      <w:pPr>
        <w:pStyle w:val="SingleTxt"/>
        <w:spacing w:after="0" w:line="120" w:lineRule="exact"/>
        <w:rPr>
          <w:sz w:val="10"/>
        </w:rPr>
      </w:pPr>
    </w:p>
    <w:p w:rsidR="003A26A0" w:rsidRDefault="003A26A0" w:rsidP="00EA465F">
      <w:pPr>
        <w:pStyle w:val="SingleTxt"/>
      </w:pPr>
      <w:r>
        <w:tab/>
        <w:t>Конструктивный диалог с договорными органами должен проводиться в ходе публичных заседаний. Организация Объединенных Наций должна пред</w:t>
      </w:r>
      <w:r>
        <w:t>о</w:t>
      </w:r>
      <w:r>
        <w:t>ставить резюме о ходе заседания, которое готовится Департаментом общ</w:t>
      </w:r>
      <w:r>
        <w:t>е</w:t>
      </w:r>
      <w:r>
        <w:t>ственной информации Секретариата, и краткие отчеты на одном из рабочих языков договорного органа.</w:t>
      </w:r>
    </w:p>
    <w:p w:rsidR="003A26A0" w:rsidRDefault="003A26A0" w:rsidP="00EA465F">
      <w:pPr>
        <w:pStyle w:val="SingleTxt"/>
      </w:pPr>
      <w:r>
        <w:tab/>
        <w:t>Наблюдатели, например представители Организации Объединенных Наций и гражданского общества, научных кругов и других заинтересованных сторон, могут принимать участие в публичных заседаниях в том случае, если такие участники получат заблаговременную аккредитацию. Наблюдателям для аккредитации при Экономическом и Социальном Совете нет необходимости принимать участие в публичных заседаниях договорных органов или предста</w:t>
      </w:r>
      <w:r>
        <w:t>в</w:t>
      </w:r>
      <w:r>
        <w:t xml:space="preserve">лять им информацию. </w:t>
      </w:r>
    </w:p>
    <w:p w:rsidR="003A26A0" w:rsidRPr="0073154A" w:rsidRDefault="003A26A0" w:rsidP="00EA465F">
      <w:pPr>
        <w:pStyle w:val="SingleTxt"/>
      </w:pPr>
      <w:r>
        <w:tab/>
        <w:t>Веб-кастинг, аудиозапись и киносъемка публичных заседаний разрешаю</w:t>
      </w:r>
      <w:r>
        <w:t>т</w:t>
      </w:r>
      <w:r>
        <w:t>ся в случае получения разрешения и в той мере, в какой это не препятствует проведению диалога. Дополнительную информацию относительно политики Организации Объединенных Наций в отношении средств массовой информ</w:t>
      </w:r>
      <w:r>
        <w:t>а</w:t>
      </w:r>
      <w:r>
        <w:t xml:space="preserve">ции и их аккредитации можно получить на веб-сайте Отделения Организации Объединенных Наций в Женеве </w:t>
      </w:r>
      <w:r w:rsidRPr="0073154A">
        <w:t>(</w:t>
      </w:r>
      <w:r w:rsidRPr="0073154A">
        <w:rPr>
          <w:lang w:val="en-GB"/>
        </w:rPr>
        <w:t>unog</w:t>
      </w:r>
      <w:r w:rsidRPr="0073154A">
        <w:t>.</w:t>
      </w:r>
      <w:r w:rsidRPr="0073154A">
        <w:rPr>
          <w:lang w:val="en-GB"/>
        </w:rPr>
        <w:t>ch</w:t>
      </w:r>
      <w:r w:rsidRPr="0073154A">
        <w:t>).</w:t>
      </w:r>
    </w:p>
    <w:p w:rsidR="003A26A0" w:rsidRDefault="003A26A0" w:rsidP="00EA465F">
      <w:pPr>
        <w:pStyle w:val="SingleTxt"/>
      </w:pPr>
      <w:r>
        <w:tab/>
        <w:t>В контексте конструктивного диалога в соответствии с пунктом 29 рез</w:t>
      </w:r>
      <w:r>
        <w:t>о</w:t>
      </w:r>
      <w:r>
        <w:t>люции </w:t>
      </w:r>
      <w:hyperlink r:id="rId65" w:history="1">
        <w:r w:rsidRPr="009D5079">
          <w:rPr>
            <w:rStyle w:val="Hyperlink"/>
          </w:rPr>
          <w:t>68/268</w:t>
        </w:r>
      </w:hyperlink>
      <w:r>
        <w:t xml:space="preserve"> Генеральной Ассамблеи должен применяться принцип физич</w:t>
      </w:r>
      <w:r>
        <w:t>е</w:t>
      </w:r>
      <w:r>
        <w:t>ской доступности и разумного оснащения. Это требует принятия различных мер, как, например, в частности, обеспечение физического доступа, а также доступ к информации, коммуникациям и переводу на языке ж</w:t>
      </w:r>
      <w:r>
        <w:t>е</w:t>
      </w:r>
      <w:r>
        <w:t>стов.</w:t>
      </w:r>
    </w:p>
    <w:p w:rsidR="003A26A0" w:rsidRPr="004E7F61" w:rsidRDefault="003A26A0" w:rsidP="00EA465F">
      <w:pPr>
        <w:pStyle w:val="SingleTxt"/>
        <w:spacing w:after="0" w:line="120" w:lineRule="exact"/>
        <w:rPr>
          <w:sz w:val="10"/>
        </w:rPr>
      </w:pPr>
    </w:p>
    <w:p w:rsidR="003A26A0" w:rsidRPr="004E7F61"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Справочная информация</w:t>
      </w:r>
    </w:p>
    <w:p w:rsidR="003A26A0" w:rsidRPr="004E7F61" w:rsidRDefault="003A26A0" w:rsidP="00EA465F">
      <w:pPr>
        <w:pStyle w:val="SingleTxt"/>
        <w:spacing w:after="0" w:line="120" w:lineRule="exact"/>
        <w:rPr>
          <w:sz w:val="10"/>
        </w:rPr>
      </w:pPr>
    </w:p>
    <w:p w:rsidR="003A26A0" w:rsidRPr="004E7F61" w:rsidRDefault="003A26A0" w:rsidP="00EA465F">
      <w:pPr>
        <w:pStyle w:val="SingleTxt"/>
        <w:spacing w:after="0" w:line="120" w:lineRule="exact"/>
        <w:rPr>
          <w:sz w:val="10"/>
        </w:rPr>
      </w:pPr>
    </w:p>
    <w:p w:rsidR="003A26A0" w:rsidRDefault="003A26A0" w:rsidP="00EA465F">
      <w:pPr>
        <w:pStyle w:val="SingleTxt"/>
      </w:pPr>
      <w:r>
        <w:tab/>
        <w:t>Справочная информация, касающаяся рассмотрения докладов госуда</w:t>
      </w:r>
      <w:r>
        <w:t>р</w:t>
      </w:r>
      <w:r>
        <w:t>ства-участника договорными органами, размещается на веб-сайте Управления Верховного комиссара Организации Объединенных Наций по правам ч</w:t>
      </w:r>
      <w:r>
        <w:t>е</w:t>
      </w:r>
      <w:r>
        <w:t xml:space="preserve">ловека </w:t>
      </w:r>
      <w:r w:rsidRPr="0073154A">
        <w:t>(</w:t>
      </w:r>
      <w:r w:rsidRPr="0073154A">
        <w:rPr>
          <w:lang w:val="en-GB"/>
        </w:rPr>
        <w:t>www</w:t>
      </w:r>
      <w:r w:rsidRPr="0073154A">
        <w:t>.</w:t>
      </w:r>
      <w:r w:rsidRPr="0073154A">
        <w:rPr>
          <w:lang w:val="en-GB"/>
        </w:rPr>
        <w:t>ohchr</w:t>
      </w:r>
      <w:r w:rsidRPr="0073154A">
        <w:t>.</w:t>
      </w:r>
      <w:r w:rsidRPr="0073154A">
        <w:rPr>
          <w:lang w:val="en-GB"/>
        </w:rPr>
        <w:t>org</w:t>
      </w:r>
      <w:r w:rsidRPr="0073154A">
        <w:t xml:space="preserve">). </w:t>
      </w:r>
      <w:r>
        <w:t>В зале заседаний копии справочной информации не распр</w:t>
      </w:r>
      <w:r>
        <w:t>о</w:t>
      </w:r>
      <w:r>
        <w:t>страняются.</w:t>
      </w:r>
    </w:p>
    <w:p w:rsidR="003A26A0" w:rsidRPr="0073154A" w:rsidRDefault="003A26A0" w:rsidP="00EA465F">
      <w:pPr>
        <w:pStyle w:val="SingleTxt"/>
        <w:spacing w:after="0" w:line="120" w:lineRule="exact"/>
        <w:rPr>
          <w:sz w:val="10"/>
        </w:rPr>
      </w:pPr>
    </w:p>
    <w:p w:rsidR="003A26A0" w:rsidRPr="007315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Аккредитация</w:t>
      </w:r>
    </w:p>
    <w:p w:rsidR="003A26A0" w:rsidRPr="0073154A" w:rsidRDefault="003A26A0" w:rsidP="00EA465F">
      <w:pPr>
        <w:pStyle w:val="SingleTxt"/>
        <w:spacing w:after="0" w:line="120" w:lineRule="exact"/>
        <w:rPr>
          <w:sz w:val="10"/>
        </w:rPr>
      </w:pPr>
    </w:p>
    <w:p w:rsidR="003A26A0" w:rsidRPr="0073154A" w:rsidRDefault="003A26A0" w:rsidP="00EA465F">
      <w:pPr>
        <w:pStyle w:val="SingleTxt"/>
        <w:spacing w:after="0" w:line="120" w:lineRule="exact"/>
        <w:rPr>
          <w:sz w:val="10"/>
        </w:rPr>
      </w:pPr>
    </w:p>
    <w:p w:rsidR="003A26A0" w:rsidRDefault="003A26A0" w:rsidP="00EA465F">
      <w:pPr>
        <w:pStyle w:val="SingleTxt"/>
      </w:pPr>
      <w:r>
        <w:tab/>
        <w:t>К государствам-участникам обращается просьба представлять списки членов их делегаций посредством вербальной ноты в адрес соо</w:t>
      </w:r>
      <w:r>
        <w:t>т</w:t>
      </w:r>
      <w:r>
        <w:t>ветствующего договорного органа не позднее чем за две недели до начала заседания, с тем чтобы можно было осуществить процедуры, необходимые для выдачи пропу</w:t>
      </w:r>
      <w:r>
        <w:t>с</w:t>
      </w:r>
      <w:r>
        <w:t>ков, которые необходимы для доступа в помещения Организации Объедине</w:t>
      </w:r>
      <w:r>
        <w:t>н</w:t>
      </w:r>
      <w:r>
        <w:t>ных Наций. Члены делегации, являющиеся инвалидами, могут сообщить о своих потребностях в плане их доступа в соответствии с поря</w:t>
      </w:r>
      <w:r>
        <w:t>д</w:t>
      </w:r>
      <w:r>
        <w:t xml:space="preserve">ком, указанным в инструкции (можно ознакомиться на сайте: </w:t>
      </w:r>
      <w:r w:rsidRPr="0073154A">
        <w:rPr>
          <w:lang w:val="en-GB"/>
        </w:rPr>
        <w:t>http</w:t>
      </w:r>
      <w:r w:rsidRPr="0073154A">
        <w:t>://</w:t>
      </w:r>
      <w:r w:rsidRPr="0073154A">
        <w:rPr>
          <w:lang w:val="en-GB"/>
        </w:rPr>
        <w:t>goo</w:t>
      </w:r>
      <w:r w:rsidRPr="0073154A">
        <w:t>.</w:t>
      </w:r>
      <w:r w:rsidRPr="0073154A">
        <w:rPr>
          <w:lang w:val="en-GB"/>
        </w:rPr>
        <w:t>gl</w:t>
      </w:r>
      <w:r w:rsidRPr="0073154A">
        <w:t>/</w:t>
      </w:r>
      <w:r w:rsidRPr="0073154A">
        <w:rPr>
          <w:lang w:val="en-GB"/>
        </w:rPr>
        <w:t>g</w:t>
      </w:r>
      <w:r w:rsidRPr="0073154A">
        <w:t>6</w:t>
      </w:r>
      <w:r w:rsidRPr="0073154A">
        <w:rPr>
          <w:lang w:val="en-GB"/>
        </w:rPr>
        <w:t>f</w:t>
      </w:r>
      <w:r w:rsidRPr="0073154A">
        <w:t>6</w:t>
      </w:r>
      <w:r w:rsidRPr="0073154A">
        <w:rPr>
          <w:lang w:val="en-GB"/>
        </w:rPr>
        <w:t>Gh</w:t>
      </w:r>
      <w:r w:rsidRPr="0073154A">
        <w:t>).</w:t>
      </w:r>
      <w:r>
        <w:t xml:space="preserve"> После пол</w:t>
      </w:r>
      <w:r>
        <w:t>у</w:t>
      </w:r>
      <w:r>
        <w:t>чения подтверждения от секретариата соответствующего договорного органа пропуска, как правило, могут быть получены в пятницу, предшествующую началу соответствующего заседания договорного органа в бюро безопа</w:t>
      </w:r>
      <w:r>
        <w:t>с</w:t>
      </w:r>
      <w:r>
        <w:t xml:space="preserve">ности по адресу: </w:t>
      </w:r>
      <w:r w:rsidRPr="0073154A">
        <w:rPr>
          <w:lang w:val="en-GB"/>
        </w:rPr>
        <w:t>Palais</w:t>
      </w:r>
      <w:r w:rsidRPr="0073154A">
        <w:t xml:space="preserve"> </w:t>
      </w:r>
      <w:r w:rsidRPr="0073154A">
        <w:rPr>
          <w:lang w:val="en-GB"/>
        </w:rPr>
        <w:t>Wilson</w:t>
      </w:r>
      <w:r w:rsidRPr="0073154A">
        <w:t xml:space="preserve"> </w:t>
      </w:r>
      <w:r>
        <w:t>или</w:t>
      </w:r>
      <w:r w:rsidRPr="0073154A">
        <w:t xml:space="preserve"> </w:t>
      </w:r>
      <w:r w:rsidRPr="0073154A">
        <w:rPr>
          <w:lang w:val="en-GB"/>
        </w:rPr>
        <w:t>the</w:t>
      </w:r>
      <w:r w:rsidRPr="0073154A">
        <w:t xml:space="preserve"> </w:t>
      </w:r>
      <w:r w:rsidRPr="0073154A">
        <w:rPr>
          <w:lang w:val="en-GB"/>
        </w:rPr>
        <w:t>Pregny</w:t>
      </w:r>
      <w:r w:rsidRPr="0073154A">
        <w:t xml:space="preserve"> </w:t>
      </w:r>
      <w:r w:rsidRPr="0073154A">
        <w:rPr>
          <w:lang w:val="en-GB"/>
        </w:rPr>
        <w:t>Gate</w:t>
      </w:r>
      <w:r w:rsidRPr="0073154A">
        <w:t xml:space="preserve"> </w:t>
      </w:r>
      <w:r>
        <w:t>во Дворце Наций</w:t>
      </w:r>
      <w:r w:rsidRPr="0073154A">
        <w:t>.</w:t>
      </w:r>
    </w:p>
    <w:p w:rsidR="003A26A0" w:rsidRPr="0073154A" w:rsidRDefault="003A26A0" w:rsidP="00EA465F">
      <w:pPr>
        <w:pStyle w:val="SingleTxt"/>
        <w:spacing w:after="0" w:line="120" w:lineRule="exact"/>
        <w:rPr>
          <w:sz w:val="10"/>
        </w:rPr>
      </w:pPr>
    </w:p>
    <w:p w:rsidR="003A26A0" w:rsidRPr="0073154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Технические брифинги секретариатов договорных органов</w:t>
      </w:r>
    </w:p>
    <w:p w:rsidR="003A26A0" w:rsidRPr="0073154A" w:rsidRDefault="003A26A0" w:rsidP="00EA465F">
      <w:pPr>
        <w:pStyle w:val="SingleTxt"/>
        <w:spacing w:after="0" w:line="120" w:lineRule="exact"/>
        <w:rPr>
          <w:sz w:val="10"/>
        </w:rPr>
      </w:pPr>
    </w:p>
    <w:p w:rsidR="003A26A0" w:rsidRPr="0073154A" w:rsidRDefault="003A26A0" w:rsidP="00EA465F">
      <w:pPr>
        <w:pStyle w:val="SingleTxt"/>
        <w:spacing w:after="0" w:line="120" w:lineRule="exact"/>
        <w:rPr>
          <w:sz w:val="10"/>
        </w:rPr>
      </w:pPr>
    </w:p>
    <w:p w:rsidR="003A26A0" w:rsidRDefault="003A26A0" w:rsidP="00EA465F">
      <w:pPr>
        <w:pStyle w:val="SingleTxt"/>
      </w:pPr>
      <w:r>
        <w:tab/>
        <w:t>Перед началом совещания каждого договорного органа секретариаты д</w:t>
      </w:r>
      <w:r>
        <w:t>о</w:t>
      </w:r>
      <w:r>
        <w:t>говорных органов проводят технические брифинги для государств-участников, с тем чтобы предоставить любую дополнительную информацию, которая м</w:t>
      </w:r>
      <w:r>
        <w:t>о</w:t>
      </w:r>
      <w:r>
        <w:t>жет потребоваться государствам-участникам перед проведением конструкти</w:t>
      </w:r>
      <w:r>
        <w:t>в</w:t>
      </w:r>
      <w:r>
        <w:t>ного диалога.</w:t>
      </w: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Приложение II</w:t>
      </w:r>
    </w:p>
    <w:p w:rsidR="003A26A0" w:rsidRPr="00A42D1A" w:rsidRDefault="003A26A0" w:rsidP="00EA465F">
      <w:pPr>
        <w:pStyle w:val="SingleTxt"/>
        <w:spacing w:after="0" w:line="120" w:lineRule="exact"/>
        <w:rPr>
          <w:sz w:val="10"/>
        </w:rPr>
      </w:pPr>
    </w:p>
    <w:p w:rsidR="003A26A0" w:rsidRDefault="003A26A0" w:rsidP="00EA4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Рамки для заключительных замечаний</w:t>
      </w:r>
    </w:p>
    <w:p w:rsidR="003A26A0" w:rsidRPr="00A42D1A" w:rsidRDefault="003A26A0" w:rsidP="00EA465F">
      <w:pPr>
        <w:pStyle w:val="SingleTxt"/>
        <w:spacing w:after="0" w:line="120" w:lineRule="exact"/>
        <w:rPr>
          <w:sz w:val="10"/>
        </w:rPr>
      </w:pPr>
    </w:p>
    <w:p w:rsidR="003A26A0" w:rsidRPr="00A42D1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A</w:t>
      </w:r>
      <w:r>
        <w:t>.</w:t>
      </w:r>
      <w:r>
        <w:tab/>
        <w:t>Введение</w:t>
      </w:r>
    </w:p>
    <w:p w:rsidR="003A26A0" w:rsidRPr="00A42D1A" w:rsidRDefault="003A26A0" w:rsidP="00EA465F">
      <w:pPr>
        <w:pStyle w:val="SingleTxt"/>
        <w:spacing w:after="0" w:line="120" w:lineRule="exact"/>
        <w:rPr>
          <w:sz w:val="10"/>
        </w:rPr>
      </w:pPr>
    </w:p>
    <w:p w:rsidR="003A26A0" w:rsidRPr="00A42D1A" w:rsidRDefault="003A26A0" w:rsidP="00EA465F">
      <w:pPr>
        <w:pStyle w:val="SingleTxt"/>
        <w:spacing w:after="0" w:line="120" w:lineRule="exact"/>
        <w:rPr>
          <w:sz w:val="10"/>
        </w:rPr>
      </w:pPr>
    </w:p>
    <w:p w:rsidR="003A26A0" w:rsidRDefault="003A26A0" w:rsidP="00EA465F">
      <w:pPr>
        <w:pStyle w:val="SingleTxt"/>
      </w:pPr>
      <w:r>
        <w:tab/>
        <w:t>Во введении необходимо описать этапы рассмотрения доклада госуда</w:t>
      </w:r>
      <w:r>
        <w:t>р</w:t>
      </w:r>
      <w:r>
        <w:t>ства-участника в Комитете, включая даты представления докладов, соотве</w:t>
      </w:r>
      <w:r>
        <w:t>т</w:t>
      </w:r>
      <w:r>
        <w:t>ствующих документов, заседаний, принятия заключительных замечаний и с</w:t>
      </w:r>
      <w:r>
        <w:t>о</w:t>
      </w:r>
      <w:r>
        <w:t>став делегаций.</w:t>
      </w:r>
    </w:p>
    <w:p w:rsidR="003A26A0" w:rsidRDefault="003A26A0" w:rsidP="00EA465F">
      <w:pPr>
        <w:pStyle w:val="SingleTxt"/>
      </w:pPr>
      <w:r>
        <w:tab/>
        <w:t>В него также следует включить любые соображения относительно хара</w:t>
      </w:r>
      <w:r>
        <w:t>к</w:t>
      </w:r>
      <w:r>
        <w:t>тера процесса представления доклада как в целом, так и в отношении любых других предварительных вопросов.</w:t>
      </w:r>
    </w:p>
    <w:p w:rsidR="003A26A0" w:rsidRPr="00A42D1A" w:rsidRDefault="003A26A0" w:rsidP="00EA465F">
      <w:pPr>
        <w:pStyle w:val="SingleTxt"/>
        <w:spacing w:after="0" w:line="120" w:lineRule="exact"/>
        <w:rPr>
          <w:sz w:val="10"/>
        </w:rPr>
      </w:pPr>
    </w:p>
    <w:p w:rsidR="003A26A0" w:rsidRPr="00A42D1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B</w:t>
      </w:r>
      <w:r>
        <w:t>.</w:t>
      </w:r>
      <w:r>
        <w:tab/>
        <w:t>Позитивные аспекты</w:t>
      </w:r>
    </w:p>
    <w:p w:rsidR="003A26A0" w:rsidRPr="00A42D1A" w:rsidRDefault="003A26A0" w:rsidP="00EA465F">
      <w:pPr>
        <w:pStyle w:val="SingleTxt"/>
        <w:spacing w:after="0" w:line="120" w:lineRule="exact"/>
        <w:rPr>
          <w:sz w:val="10"/>
        </w:rPr>
      </w:pPr>
    </w:p>
    <w:p w:rsidR="003A26A0" w:rsidRPr="00A42D1A" w:rsidRDefault="003A26A0" w:rsidP="00EA465F">
      <w:pPr>
        <w:pStyle w:val="SingleTxt"/>
        <w:spacing w:after="0" w:line="120" w:lineRule="exact"/>
        <w:rPr>
          <w:sz w:val="10"/>
        </w:rPr>
      </w:pPr>
    </w:p>
    <w:p w:rsidR="003A26A0" w:rsidRDefault="003A26A0" w:rsidP="00EA465F">
      <w:pPr>
        <w:pStyle w:val="SingleTxt"/>
      </w:pPr>
      <w:r>
        <w:tab/>
        <w:t>В этом разделе предоставляется возможность отметить соответствующие позитивные меры, в том числе законодательные, административные, пр</w:t>
      </w:r>
      <w:r>
        <w:t>о</w:t>
      </w:r>
      <w:r>
        <w:t>граммные или институциональные мероприятия и ратификации междунаро</w:t>
      </w:r>
      <w:r>
        <w:t>д</w:t>
      </w:r>
      <w:r>
        <w:t>ных документов, которые государство-участник осуществило в течение отче</w:t>
      </w:r>
      <w:r>
        <w:t>т</w:t>
      </w:r>
      <w:r>
        <w:t>ного периода.</w:t>
      </w:r>
    </w:p>
    <w:p w:rsidR="003A26A0" w:rsidRDefault="003A26A0" w:rsidP="00EA465F">
      <w:pPr>
        <w:pStyle w:val="SingleTxt"/>
      </w:pPr>
      <w:r>
        <w:tab/>
        <w:t>В этом разделе также можно привести информацию о прогрессе, дости</w:t>
      </w:r>
      <w:r>
        <w:t>г</w:t>
      </w:r>
      <w:r>
        <w:t>нутом в осуществлении предыдущих рекомендаций, вынесенных Комитетом.</w:t>
      </w:r>
    </w:p>
    <w:p w:rsidR="003A26A0" w:rsidRPr="00A42D1A" w:rsidRDefault="003A26A0" w:rsidP="00EA465F">
      <w:pPr>
        <w:pStyle w:val="SingleTxt"/>
        <w:spacing w:after="0" w:line="120" w:lineRule="exact"/>
        <w:rPr>
          <w:sz w:val="10"/>
        </w:rPr>
      </w:pPr>
    </w:p>
    <w:p w:rsidR="003A26A0" w:rsidRPr="00A42D1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C</w:t>
      </w:r>
      <w:r>
        <w:t>.</w:t>
      </w:r>
      <w:r>
        <w:tab/>
        <w:t>Основные вопросы, вызывающие озабоченность, и рекомендации</w:t>
      </w:r>
    </w:p>
    <w:p w:rsidR="003A26A0" w:rsidRPr="00A42D1A" w:rsidRDefault="003A26A0" w:rsidP="00EA465F">
      <w:pPr>
        <w:pStyle w:val="SingleTxt"/>
        <w:spacing w:after="0" w:line="120" w:lineRule="exact"/>
        <w:rPr>
          <w:sz w:val="10"/>
        </w:rPr>
      </w:pPr>
    </w:p>
    <w:p w:rsidR="003A26A0" w:rsidRPr="00A42D1A" w:rsidRDefault="003A26A0" w:rsidP="00EA465F">
      <w:pPr>
        <w:pStyle w:val="SingleTxt"/>
        <w:spacing w:after="0" w:line="120" w:lineRule="exact"/>
        <w:rPr>
          <w:sz w:val="10"/>
        </w:rPr>
      </w:pPr>
    </w:p>
    <w:p w:rsidR="003A26A0" w:rsidRDefault="003A26A0" w:rsidP="00EA465F">
      <w:pPr>
        <w:pStyle w:val="SingleTxt"/>
      </w:pPr>
      <w:r>
        <w:tab/>
        <w:t>В начале этого раздела Комитет мог бы коснуться структурных проблем или других факторов, которые влияют на осуществление конвенции, если это окажется целесообразным.</w:t>
      </w:r>
    </w:p>
    <w:p w:rsidR="003A26A0" w:rsidRDefault="003A26A0" w:rsidP="00EA465F">
      <w:pPr>
        <w:pStyle w:val="SingleTxt"/>
      </w:pPr>
      <w:r>
        <w:tab/>
        <w:t>Структура этого раздела может быть подготовлена с разбивкой на класт</w:t>
      </w:r>
      <w:r>
        <w:t>е</w:t>
      </w:r>
      <w:r>
        <w:t>ры, в которых можно будет указать меры, принятые в отношении предыд</w:t>
      </w:r>
      <w:r>
        <w:t>у</w:t>
      </w:r>
      <w:r>
        <w:t>щих заключительных замечаний. В нем также можно рассмотреть межсект</w:t>
      </w:r>
      <w:r>
        <w:t>о</w:t>
      </w:r>
      <w:r>
        <w:t>ральные проблемы с учетом потребностей Комитета.</w:t>
      </w:r>
    </w:p>
    <w:p w:rsidR="003A26A0" w:rsidRDefault="003A26A0" w:rsidP="00EA465F">
      <w:pPr>
        <w:pStyle w:val="SingleTxt"/>
      </w:pPr>
      <w:r>
        <w:tab/>
        <w:t>Озабоченности и рекомендации можно сгруппировать с разбивкой по ст</w:t>
      </w:r>
      <w:r>
        <w:t>а</w:t>
      </w:r>
      <w:r>
        <w:t>тьям, темам, заголовкам или подзаголовкам.</w:t>
      </w:r>
    </w:p>
    <w:p w:rsidR="003A26A0" w:rsidRDefault="003A26A0" w:rsidP="00EA465F">
      <w:pPr>
        <w:pStyle w:val="SingleTxt"/>
      </w:pPr>
      <w:r>
        <w:tab/>
        <w:t>Вопросы, поднятые в заключительных замечаниях, желательно обсуждать в ходе диалога.</w:t>
      </w:r>
    </w:p>
    <w:p w:rsidR="003A26A0" w:rsidRDefault="003A26A0" w:rsidP="00EA465F">
      <w:pPr>
        <w:pStyle w:val="SingleTxt"/>
      </w:pPr>
      <w:r>
        <w:tab/>
        <w:t>Озабоченности следует формулировать лаконично и сопровождать рек</w:t>
      </w:r>
      <w:r>
        <w:t>о</w:t>
      </w:r>
      <w:r>
        <w:t>мендациями, выделенными жирным шрифтом.</w:t>
      </w:r>
    </w:p>
    <w:p w:rsidR="003A26A0" w:rsidRDefault="003A26A0" w:rsidP="00EA465F">
      <w:pPr>
        <w:pStyle w:val="SingleTxt"/>
      </w:pPr>
      <w:r>
        <w:tab/>
        <w:t>В рекомендациях следует избегать ненужных повторений информации, которая уже включена в заявления относительно озабоченностей.</w:t>
      </w:r>
    </w:p>
    <w:p w:rsidR="003A26A0" w:rsidRPr="00A42D1A" w:rsidRDefault="003A26A0" w:rsidP="00EA465F">
      <w:pPr>
        <w:pStyle w:val="SingleTxt"/>
      </w:pPr>
      <w:r>
        <w:tab/>
        <w:t>Озабоченность и/или рекомендация может содержать ссылки на пред</w:t>
      </w:r>
      <w:r>
        <w:t>ы</w:t>
      </w:r>
      <w:r>
        <w:t>дущие рекомендации Комитета, когда это уместно (например, в тех случаях, когда предыдущая рекомендация была осуществлена только частично или в</w:t>
      </w:r>
      <w:r>
        <w:t>о</w:t>
      </w:r>
      <w:r>
        <w:t>обще не была осуществлена).</w:t>
      </w:r>
    </w:p>
    <w:p w:rsidR="003A26A0" w:rsidRDefault="003A26A0" w:rsidP="00EA465F">
      <w:pPr>
        <w:pStyle w:val="SingleTxt"/>
      </w:pPr>
      <w:r>
        <w:tab/>
        <w:t>Рекомендации следует формулировать таким образом, чтобы обеспечить конкретные и осуществимые указания; в них также можно указать сроки ос</w:t>
      </w:r>
      <w:r>
        <w:t>у</w:t>
      </w:r>
      <w:r>
        <w:t>ществления мер.</w:t>
      </w:r>
    </w:p>
    <w:p w:rsidR="003A26A0" w:rsidRDefault="003A26A0" w:rsidP="00EA465F">
      <w:pPr>
        <w:pStyle w:val="SingleTxt"/>
      </w:pPr>
      <w:r>
        <w:tab/>
        <w:t>Можно конкретно выделить рекомендации, требующие приоритетного внимания по причине серьезного характера озабоченностей, касающихся прав человека.</w:t>
      </w:r>
    </w:p>
    <w:p w:rsidR="003A26A0" w:rsidRDefault="003A26A0" w:rsidP="00EA465F">
      <w:pPr>
        <w:pStyle w:val="SingleTxt"/>
      </w:pPr>
      <w:r>
        <w:tab/>
        <w:t>Комитетам рекомендуется принимать во внимание соответствующие р</w:t>
      </w:r>
      <w:r>
        <w:t>е</w:t>
      </w:r>
      <w:r>
        <w:t>комендации, вынесенные органами системы Организации Объединенных Наций по правам человека.</w:t>
      </w:r>
    </w:p>
    <w:p w:rsidR="003A26A0" w:rsidRPr="00A42D1A" w:rsidRDefault="003A26A0" w:rsidP="00EA465F">
      <w:pPr>
        <w:pStyle w:val="SingleTxt"/>
        <w:spacing w:after="0" w:line="120" w:lineRule="exact"/>
        <w:rPr>
          <w:sz w:val="10"/>
        </w:rPr>
      </w:pPr>
    </w:p>
    <w:p w:rsidR="003A26A0" w:rsidRPr="00A42D1A" w:rsidRDefault="003A26A0" w:rsidP="00EA465F">
      <w:pPr>
        <w:pStyle w:val="SingleTxt"/>
        <w:spacing w:after="0" w:line="120" w:lineRule="exact"/>
        <w:rPr>
          <w:sz w:val="10"/>
        </w:rPr>
      </w:pPr>
    </w:p>
    <w:p w:rsidR="003A26A0" w:rsidRDefault="003A26A0" w:rsidP="00EA46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D</w:t>
      </w:r>
      <w:r>
        <w:t>.</w:t>
      </w:r>
      <w:r>
        <w:tab/>
        <w:t>Осуществление рекомендаций, их распространение и последующие меры</w:t>
      </w:r>
    </w:p>
    <w:p w:rsidR="003A26A0" w:rsidRPr="00A42D1A" w:rsidRDefault="003A26A0" w:rsidP="00EA465F">
      <w:pPr>
        <w:pStyle w:val="SingleTxt"/>
        <w:spacing w:after="0" w:line="120" w:lineRule="exact"/>
        <w:rPr>
          <w:sz w:val="10"/>
        </w:rPr>
      </w:pPr>
    </w:p>
    <w:p w:rsidR="003A26A0" w:rsidRPr="00A42D1A" w:rsidRDefault="003A26A0" w:rsidP="00EA465F">
      <w:pPr>
        <w:pStyle w:val="SingleTxt"/>
        <w:spacing w:after="0" w:line="120" w:lineRule="exact"/>
        <w:rPr>
          <w:sz w:val="10"/>
        </w:rPr>
      </w:pPr>
    </w:p>
    <w:p w:rsidR="003A26A0" w:rsidRDefault="003A26A0" w:rsidP="00EA465F">
      <w:pPr>
        <w:pStyle w:val="SingleTxt"/>
      </w:pPr>
      <w:r>
        <w:tab/>
        <w:t>В этом разделе Комитет рассматривает необходимость обеспечения того, чтобы государство-участник приняло все соответствующие меры для обесп</w:t>
      </w:r>
      <w:r>
        <w:t>е</w:t>
      </w:r>
      <w:r>
        <w:t>чения выполнения в полном объеме имеющихся рекомендаций, в частности п</w:t>
      </w:r>
      <w:r>
        <w:t>у</w:t>
      </w:r>
      <w:r>
        <w:t>тем их препровождения в доступном формате всем соответств</w:t>
      </w:r>
      <w:r>
        <w:t>у</w:t>
      </w:r>
      <w:r>
        <w:t>ющим властям и институтам и другим соответствующим заинтересованным сторонам.</w:t>
      </w:r>
    </w:p>
    <w:p w:rsidR="003A26A0" w:rsidRDefault="003A26A0" w:rsidP="00EA465F">
      <w:pPr>
        <w:pStyle w:val="SingleTxt"/>
      </w:pPr>
      <w:r>
        <w:tab/>
        <w:t>Комитет может также попросить государство-участник привлечь межд</w:t>
      </w:r>
      <w:r>
        <w:t>у</w:t>
      </w:r>
      <w:r>
        <w:t>народные учреждения, национальные правозащитные институты и представ</w:t>
      </w:r>
      <w:r>
        <w:t>и</w:t>
      </w:r>
      <w:r>
        <w:t>телей гражданского общества, включая неправительственные организации, к осуществлению заключительных замечаний, когда это представляется целес</w:t>
      </w:r>
      <w:r>
        <w:t>о</w:t>
      </w:r>
      <w:r>
        <w:t>образным.</w:t>
      </w:r>
    </w:p>
    <w:p w:rsidR="003A26A0" w:rsidRDefault="003A26A0" w:rsidP="00EA465F">
      <w:pPr>
        <w:pStyle w:val="SingleTxt"/>
      </w:pPr>
      <w:r>
        <w:tab/>
        <w:t>Комитет может также определить рекомендации, которые подпадают под конкретные процедуры последующей деятельности, и указывает темы, которые они должны включать.</w:t>
      </w:r>
    </w:p>
    <w:p w:rsidR="003A26A0" w:rsidRDefault="003A26A0" w:rsidP="00EA465F">
      <w:pPr>
        <w:pStyle w:val="SingleTxt"/>
      </w:pPr>
      <w:r>
        <w:tab/>
        <w:t>Комитет может также просить государство-участник представить доклад о мерах, принятых с целью осуществления рекомендаций в контексте любых п</w:t>
      </w:r>
      <w:r>
        <w:t>о</w:t>
      </w:r>
      <w:r>
        <w:t>следующих процедур, которые могут существовать.</w:t>
      </w:r>
    </w:p>
    <w:p w:rsidR="003A26A0" w:rsidRDefault="003A26A0" w:rsidP="00EA465F">
      <w:pPr>
        <w:pStyle w:val="SingleTxt"/>
      </w:pPr>
      <w:r>
        <w:tab/>
        <w:t>Комитет также должен указать соответствующую дату представления сл</w:t>
      </w:r>
      <w:r>
        <w:t>е</w:t>
      </w:r>
      <w:r>
        <w:t>дующего доклада.</w:t>
      </w:r>
    </w:p>
    <w:p w:rsidR="003A26A0" w:rsidRDefault="003A26A0" w:rsidP="00EA465F">
      <w:pPr>
        <w:pStyle w:val="SingleTxt"/>
      </w:pPr>
      <w:r>
        <w:tab/>
        <w:t>Комитет может также высказать замечания относительно порядка распр</w:t>
      </w:r>
      <w:r>
        <w:t>о</w:t>
      </w:r>
      <w:r>
        <w:t>странения заключительных замечаний.</w:t>
      </w:r>
    </w:p>
    <w:p w:rsidR="003A26A0" w:rsidRPr="003A26A0" w:rsidRDefault="003A26A0" w:rsidP="003A26A0">
      <w:pPr>
        <w:pStyle w:val="SingleTxt"/>
        <w:spacing w:after="0" w:line="240" w:lineRule="auto"/>
      </w:pPr>
      <w:r>
        <w:rPr>
          <w:noProof/>
          <w:w w:val="100"/>
          <w:lang w:val="en-GB" w:eastAsia="en-GB"/>
        </w:rPr>
        <w:pict>
          <v:line id="_x0000_s1026" style="position:absolute;left:0;text-align:left;z-index:1" from="210.2pt,30pt" to="282.2pt,30pt" strokecolor="#010000" strokeweight=".25pt"/>
        </w:pict>
      </w:r>
    </w:p>
    <w:sectPr w:rsidR="003A26A0" w:rsidRPr="003A26A0" w:rsidSect="00D06A59">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0T16:41:00Z" w:initials="Start">
    <w:p w:rsidR="003072C0" w:rsidRDefault="003A44A8">
      <w:pPr>
        <w:pStyle w:val="CommentText"/>
        <w:rPr>
          <w:lang w:val="en-US"/>
        </w:rPr>
      </w:pPr>
      <w:r>
        <w:fldChar w:fldCharType="begin"/>
      </w:r>
      <w:r w:rsidRPr="00D06A59">
        <w:rPr>
          <w:rStyle w:val="CommentReference"/>
          <w:lang w:val="en-US"/>
        </w:rPr>
        <w:instrText xml:space="preserve"> </w:instrText>
      </w:r>
      <w:r w:rsidRPr="00D06A59">
        <w:rPr>
          <w:lang w:val="en-US"/>
        </w:rPr>
        <w:instrText>PAGE \# "'Page: '#'</w:instrText>
      </w:r>
      <w:r w:rsidRPr="00D06A59">
        <w:rPr>
          <w:lang w:val="en-US"/>
        </w:rPr>
        <w:br/>
        <w:instrText>'"</w:instrText>
      </w:r>
      <w:r w:rsidRPr="00D06A59">
        <w:rPr>
          <w:rStyle w:val="CommentReference"/>
          <w:lang w:val="en-US"/>
        </w:rPr>
        <w:instrText xml:space="preserve"> </w:instrText>
      </w:r>
      <w:r>
        <w:fldChar w:fldCharType="end"/>
      </w:r>
      <w:r>
        <w:rPr>
          <w:rStyle w:val="CommentReference"/>
        </w:rPr>
        <w:annotationRef/>
      </w:r>
      <w:r w:rsidR="003072C0">
        <w:rPr>
          <w:lang w:val="en-US"/>
        </w:rPr>
        <w:t>&lt;&lt;ODS JOB NO&gt;&gt;N1449983R&lt;&lt;ODS JOB NO&gt;&gt;</w:t>
      </w:r>
    </w:p>
    <w:p w:rsidR="003072C0" w:rsidRDefault="003072C0">
      <w:pPr>
        <w:pStyle w:val="CommentText"/>
        <w:rPr>
          <w:lang w:val="en-US"/>
        </w:rPr>
      </w:pPr>
      <w:r>
        <w:rPr>
          <w:lang w:val="en-US"/>
        </w:rPr>
        <w:t>&lt;&lt;ODS DOC SYMBOL1&gt;&gt;A/69/285*&lt;&lt;ODS DOC SYMBOL1&gt;&gt;</w:t>
      </w:r>
    </w:p>
    <w:p w:rsidR="003A44A8" w:rsidRPr="00D06A59" w:rsidRDefault="003072C0">
      <w:pPr>
        <w:pStyle w:val="CommentText"/>
        <w:rPr>
          <w:lang w:val="en-US"/>
        </w:rPr>
      </w:pPr>
      <w:r>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6DB" w:rsidRDefault="006366DB" w:rsidP="008A1A7A">
      <w:pPr>
        <w:spacing w:line="240" w:lineRule="auto"/>
      </w:pPr>
      <w:r>
        <w:separator/>
      </w:r>
    </w:p>
  </w:endnote>
  <w:endnote w:type="continuationSeparator" w:id="0">
    <w:p w:rsidR="006366DB" w:rsidRDefault="006366DB"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3072C0" w:rsidTr="003072C0">
      <w:tblPrEx>
        <w:tblCellMar>
          <w:top w:w="0" w:type="dxa"/>
          <w:bottom w:w="0" w:type="dxa"/>
        </w:tblCellMar>
      </w:tblPrEx>
      <w:tc>
        <w:tcPr>
          <w:tcW w:w="5033" w:type="dxa"/>
          <w:shd w:val="clear" w:color="auto" w:fill="auto"/>
          <w:vAlign w:val="bottom"/>
        </w:tcPr>
        <w:p w:rsidR="003072C0" w:rsidRPr="00495E4E" w:rsidRDefault="003072C0" w:rsidP="003072C0">
          <w:pPr>
            <w:pStyle w:val="Footer"/>
            <w:rPr>
              <w:color w:val="000000"/>
              <w:szCs w:val="22"/>
              <w:lang w:eastAsia="en-US"/>
            </w:rPr>
          </w:pPr>
          <w:r w:rsidRPr="00495E4E">
            <w:rPr>
              <w:szCs w:val="22"/>
              <w:lang w:eastAsia="en-US"/>
            </w:rPr>
            <w:fldChar w:fldCharType="begin"/>
          </w:r>
          <w:r w:rsidRPr="00495E4E">
            <w:rPr>
              <w:szCs w:val="22"/>
              <w:lang w:eastAsia="en-US"/>
            </w:rPr>
            <w:instrText xml:space="preserve"> PAGE  \* Arabic  \* MERGEFORMAT </w:instrText>
          </w:r>
          <w:r w:rsidRPr="00495E4E">
            <w:rPr>
              <w:szCs w:val="22"/>
              <w:lang w:eastAsia="en-US"/>
            </w:rPr>
            <w:fldChar w:fldCharType="separate"/>
          </w:r>
          <w:r w:rsidR="002D649F" w:rsidRPr="00495E4E">
            <w:rPr>
              <w:noProof/>
              <w:szCs w:val="22"/>
              <w:lang w:eastAsia="en-US"/>
            </w:rPr>
            <w:t>2</w:t>
          </w:r>
          <w:r w:rsidRPr="00495E4E">
            <w:rPr>
              <w:szCs w:val="22"/>
              <w:lang w:eastAsia="en-US"/>
            </w:rPr>
            <w:fldChar w:fldCharType="end"/>
          </w:r>
          <w:r w:rsidRPr="00495E4E">
            <w:rPr>
              <w:szCs w:val="22"/>
              <w:lang w:eastAsia="en-US"/>
            </w:rPr>
            <w:t>/</w:t>
          </w:r>
          <w:fldSimple w:instr=" NUMPAGES  \* Arabic  \* MERGEFORMAT ">
            <w:r w:rsidR="002D649F" w:rsidRPr="00495E4E">
              <w:rPr>
                <w:noProof/>
                <w:szCs w:val="22"/>
                <w:lang w:eastAsia="en-US"/>
              </w:rPr>
              <w:t>32</w:t>
            </w:r>
          </w:fldSimple>
        </w:p>
      </w:tc>
      <w:tc>
        <w:tcPr>
          <w:tcW w:w="5033" w:type="dxa"/>
          <w:shd w:val="clear" w:color="auto" w:fill="auto"/>
          <w:vAlign w:val="bottom"/>
        </w:tcPr>
        <w:p w:rsidR="003072C0" w:rsidRPr="00495E4E" w:rsidRDefault="003072C0" w:rsidP="003072C0">
          <w:pPr>
            <w:pStyle w:val="Footer"/>
            <w:jc w:val="right"/>
            <w:rPr>
              <w:b w:val="0"/>
              <w:color w:val="000000"/>
              <w:sz w:val="14"/>
              <w:szCs w:val="22"/>
              <w:lang w:eastAsia="en-US"/>
            </w:rPr>
          </w:pPr>
          <w:fldSimple w:instr=" DOCVARIABLE &quot;FooterJN&quot; \* MERGEFORMAT ">
            <w:r w:rsidR="002D649F" w:rsidRPr="00495E4E">
              <w:rPr>
                <w:b w:val="0"/>
                <w:color w:val="000000"/>
                <w:sz w:val="14"/>
                <w:szCs w:val="22"/>
                <w:lang w:eastAsia="en-US"/>
              </w:rPr>
              <w:t>14-58942</w:t>
            </w:r>
          </w:fldSimple>
        </w:p>
      </w:tc>
    </w:tr>
  </w:tbl>
  <w:p w:rsidR="003A44A8" w:rsidRPr="003072C0" w:rsidRDefault="003A44A8" w:rsidP="003072C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3072C0" w:rsidTr="003072C0">
      <w:tblPrEx>
        <w:tblCellMar>
          <w:top w:w="0" w:type="dxa"/>
          <w:bottom w:w="0" w:type="dxa"/>
        </w:tblCellMar>
      </w:tblPrEx>
      <w:tc>
        <w:tcPr>
          <w:tcW w:w="5033" w:type="dxa"/>
          <w:shd w:val="clear" w:color="auto" w:fill="auto"/>
          <w:vAlign w:val="bottom"/>
        </w:tcPr>
        <w:p w:rsidR="003072C0" w:rsidRPr="00495E4E" w:rsidRDefault="003072C0" w:rsidP="003072C0">
          <w:pPr>
            <w:pStyle w:val="Footer"/>
            <w:rPr>
              <w:b w:val="0"/>
              <w:color w:val="000000"/>
              <w:sz w:val="14"/>
              <w:szCs w:val="22"/>
              <w:lang w:eastAsia="en-US"/>
            </w:rPr>
          </w:pPr>
          <w:fldSimple w:instr=" DOCVARIABLE &quot;FooterJN&quot; \* MERGEFORMAT ">
            <w:r w:rsidR="002D649F" w:rsidRPr="00495E4E">
              <w:rPr>
                <w:b w:val="0"/>
                <w:color w:val="000000"/>
                <w:sz w:val="14"/>
                <w:szCs w:val="22"/>
                <w:lang w:eastAsia="en-US"/>
              </w:rPr>
              <w:t>14-58942</w:t>
            </w:r>
          </w:fldSimple>
        </w:p>
      </w:tc>
      <w:tc>
        <w:tcPr>
          <w:tcW w:w="5033" w:type="dxa"/>
          <w:shd w:val="clear" w:color="auto" w:fill="auto"/>
          <w:vAlign w:val="bottom"/>
        </w:tcPr>
        <w:p w:rsidR="003072C0" w:rsidRPr="00495E4E" w:rsidRDefault="003072C0" w:rsidP="003072C0">
          <w:pPr>
            <w:pStyle w:val="Footer"/>
            <w:jc w:val="right"/>
            <w:rPr>
              <w:szCs w:val="22"/>
              <w:lang w:eastAsia="en-US"/>
            </w:rPr>
          </w:pPr>
          <w:r w:rsidRPr="00495E4E">
            <w:rPr>
              <w:szCs w:val="22"/>
              <w:lang w:eastAsia="en-US"/>
            </w:rPr>
            <w:fldChar w:fldCharType="begin"/>
          </w:r>
          <w:r w:rsidRPr="00495E4E">
            <w:rPr>
              <w:szCs w:val="22"/>
              <w:lang w:eastAsia="en-US"/>
            </w:rPr>
            <w:instrText xml:space="preserve"> PAGE  \* Arabic  \* MERGEFORMAT </w:instrText>
          </w:r>
          <w:r w:rsidRPr="00495E4E">
            <w:rPr>
              <w:szCs w:val="22"/>
              <w:lang w:eastAsia="en-US"/>
            </w:rPr>
            <w:fldChar w:fldCharType="separate"/>
          </w:r>
          <w:r w:rsidR="002D649F" w:rsidRPr="00495E4E">
            <w:rPr>
              <w:noProof/>
              <w:szCs w:val="22"/>
              <w:lang w:eastAsia="en-US"/>
            </w:rPr>
            <w:t>31</w:t>
          </w:r>
          <w:r w:rsidRPr="00495E4E">
            <w:rPr>
              <w:szCs w:val="22"/>
              <w:lang w:eastAsia="en-US"/>
            </w:rPr>
            <w:fldChar w:fldCharType="end"/>
          </w:r>
          <w:r w:rsidRPr="00495E4E">
            <w:rPr>
              <w:szCs w:val="22"/>
              <w:lang w:eastAsia="en-US"/>
            </w:rPr>
            <w:t>/</w:t>
          </w:r>
          <w:fldSimple w:instr=" NUMPAGES  \* Arabic  \* MERGEFORMAT ">
            <w:r w:rsidR="002D649F" w:rsidRPr="00495E4E">
              <w:rPr>
                <w:noProof/>
                <w:szCs w:val="22"/>
                <w:lang w:eastAsia="en-US"/>
              </w:rPr>
              <w:t>32</w:t>
            </w:r>
          </w:fldSimple>
        </w:p>
      </w:tc>
    </w:tr>
  </w:tbl>
  <w:p w:rsidR="003A44A8" w:rsidRPr="003072C0" w:rsidRDefault="003A44A8" w:rsidP="003072C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4A8" w:rsidRDefault="003A44A8">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65pt;margin-top:683.9pt;width:54.9pt;height:54.9pt;z-index:1;mso-position-horizontal-relative:page;mso-position-vertical-relative:page" o:preferrelative="f">
          <v:imagedata r:id="rId1" o:title="285&amp;Size =1&amp;Lang = R"/>
          <w10:wrap anchorx="page" anchory="page"/>
        </v:shape>
      </w:pict>
    </w:r>
  </w:p>
  <w:tbl>
    <w:tblPr>
      <w:tblW w:w="0" w:type="auto"/>
      <w:tblLayout w:type="fixed"/>
      <w:tblLook w:val="0000"/>
    </w:tblPr>
    <w:tblGrid>
      <w:gridCol w:w="3830"/>
      <w:gridCol w:w="5033"/>
    </w:tblGrid>
    <w:tr w:rsidR="003A44A8" w:rsidTr="003A44A8">
      <w:tblPrEx>
        <w:tblCellMar>
          <w:top w:w="0" w:type="dxa"/>
          <w:bottom w:w="0" w:type="dxa"/>
        </w:tblCellMar>
      </w:tblPrEx>
      <w:tc>
        <w:tcPr>
          <w:tcW w:w="3830" w:type="dxa"/>
        </w:tcPr>
        <w:p w:rsidR="003A44A8" w:rsidRDefault="003A44A8" w:rsidP="003A44A8">
          <w:pPr>
            <w:pStyle w:val="ReleaseDate"/>
            <w:rPr>
              <w:color w:val="010000"/>
            </w:rPr>
          </w:pPr>
          <w:r>
            <w:t>14-58942</w:t>
          </w:r>
          <w:r w:rsidR="003072C0">
            <w:t>*</w:t>
          </w:r>
          <w:r>
            <w:t xml:space="preserve"> (R)</w:t>
          </w:r>
          <w:r>
            <w:rPr>
              <w:color w:val="010000"/>
            </w:rPr>
            <w:t xml:space="preserve">    050914    0</w:t>
          </w:r>
          <w:r w:rsidR="003072C0">
            <w:rPr>
              <w:color w:val="010000"/>
            </w:rPr>
            <w:t>5</w:t>
          </w:r>
          <w:r>
            <w:rPr>
              <w:color w:val="010000"/>
            </w:rPr>
            <w:t>0914</w:t>
          </w:r>
        </w:p>
        <w:p w:rsidR="003A44A8" w:rsidRPr="003A44A8" w:rsidRDefault="003A44A8" w:rsidP="003A44A8">
          <w:pPr>
            <w:spacing w:before="80" w:line="210" w:lineRule="exact"/>
            <w:rPr>
              <w:rFonts w:ascii="Barcode 3 of 9 by request" w:hAnsi="Barcode 3 of 9 by request"/>
              <w:w w:val="100"/>
              <w:sz w:val="24"/>
            </w:rPr>
          </w:pPr>
          <w:r>
            <w:rPr>
              <w:rFonts w:ascii="Barcode 3 of 9 by request" w:hAnsi="Barcode 3 of 9 by request"/>
              <w:w w:val="100"/>
              <w:sz w:val="24"/>
            </w:rPr>
            <w:t>*1458942(R)*</w:t>
          </w:r>
        </w:p>
      </w:tc>
      <w:tc>
        <w:tcPr>
          <w:tcW w:w="5033" w:type="dxa"/>
        </w:tcPr>
        <w:p w:rsidR="003A44A8" w:rsidRPr="00495E4E" w:rsidRDefault="003A44A8" w:rsidP="003A44A8">
          <w:pPr>
            <w:pStyle w:val="Footer"/>
            <w:spacing w:line="240" w:lineRule="atLeast"/>
            <w:jc w:val="right"/>
            <w:rPr>
              <w:b w:val="0"/>
              <w:sz w:val="20"/>
              <w:szCs w:val="22"/>
              <w:lang w:eastAsia="en-US"/>
            </w:rPr>
          </w:pPr>
          <w:r w:rsidRPr="00495E4E">
            <w:rPr>
              <w:b w:val="0"/>
              <w:sz w:val="20"/>
              <w:szCs w:val="22"/>
              <w:lang w:eastAsia="en-US"/>
            </w:rPr>
            <w:pict>
              <v:shape id="_x0000_i1026" type="#_x0000_t75" style="width:213pt;height:18pt">
                <v:imagedata r:id="rId2" o:title="recycle_Russian"/>
              </v:shape>
            </w:pict>
          </w:r>
        </w:p>
      </w:tc>
    </w:tr>
  </w:tbl>
  <w:p w:rsidR="003A44A8" w:rsidRPr="003A44A8" w:rsidRDefault="003A44A8" w:rsidP="003A44A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6DB" w:rsidRPr="003072C0" w:rsidRDefault="006366DB" w:rsidP="003072C0">
      <w:pPr>
        <w:pStyle w:val="Footer"/>
        <w:spacing w:after="80"/>
        <w:ind w:left="792"/>
        <w:rPr>
          <w:sz w:val="16"/>
        </w:rPr>
      </w:pPr>
      <w:r w:rsidRPr="003072C0">
        <w:rPr>
          <w:sz w:val="16"/>
        </w:rPr>
        <w:t>__________________</w:t>
      </w:r>
    </w:p>
  </w:footnote>
  <w:footnote w:type="continuationSeparator" w:id="0">
    <w:p w:rsidR="006366DB" w:rsidRPr="003072C0" w:rsidRDefault="006366DB" w:rsidP="003072C0">
      <w:pPr>
        <w:pStyle w:val="Footer"/>
        <w:spacing w:after="80"/>
        <w:ind w:left="792"/>
        <w:rPr>
          <w:sz w:val="16"/>
        </w:rPr>
      </w:pPr>
      <w:r w:rsidRPr="003072C0">
        <w:rPr>
          <w:sz w:val="16"/>
        </w:rPr>
        <w:t>__________________</w:t>
      </w:r>
    </w:p>
  </w:footnote>
  <w:footnote w:id="1">
    <w:p w:rsidR="003072C0" w:rsidRDefault="003072C0" w:rsidP="003072C0">
      <w:pPr>
        <w:pStyle w:val="FootnoteText"/>
        <w:tabs>
          <w:tab w:val="right" w:pos="1195"/>
          <w:tab w:val="left" w:pos="1267"/>
          <w:tab w:val="left" w:pos="1742"/>
          <w:tab w:val="left" w:pos="2218"/>
          <w:tab w:val="left" w:pos="2693"/>
        </w:tabs>
        <w:ind w:left="1267" w:right="1260" w:hanging="432"/>
      </w:pPr>
      <w:r>
        <w:tab/>
      </w:r>
      <w:r>
        <w:rPr>
          <w:rStyle w:val="FootnoteReference"/>
        </w:rPr>
        <w:t>*</w:t>
      </w:r>
      <w:r>
        <w:tab/>
        <w:t>Переиздано по техническим причинам 10 сентября 2014 года.</w:t>
      </w:r>
    </w:p>
    <w:p w:rsidR="003072C0" w:rsidRDefault="003072C0" w:rsidP="003072C0">
      <w:pPr>
        <w:pStyle w:val="FootnoteText"/>
        <w:tabs>
          <w:tab w:val="right" w:pos="1195"/>
          <w:tab w:val="left" w:pos="1267"/>
          <w:tab w:val="left" w:pos="1742"/>
          <w:tab w:val="left" w:pos="2218"/>
          <w:tab w:val="left" w:pos="2693"/>
        </w:tabs>
        <w:ind w:left="1267" w:right="1260" w:hanging="432"/>
      </w:pPr>
      <w:r>
        <w:tab/>
      </w:r>
      <w:r>
        <w:rPr>
          <w:rStyle w:val="FootnoteReference"/>
        </w:rPr>
        <w:t>**</w:t>
      </w:r>
      <w:r>
        <w:tab/>
      </w:r>
      <w:r>
        <w:rPr>
          <w:lang w:val="en-US"/>
        </w:rPr>
        <w:t>A/69/1</w:t>
      </w:r>
      <w:r>
        <w:t>5</w:t>
      </w:r>
      <w:r>
        <w:rPr>
          <w:lang w:val="en-US"/>
        </w:rPr>
        <w:t>0.</w:t>
      </w:r>
    </w:p>
  </w:footnote>
  <w:footnote w:id="2">
    <w:p w:rsidR="003A26A0" w:rsidRPr="00006D5F" w:rsidRDefault="003A26A0" w:rsidP="003072C0">
      <w:pPr>
        <w:pStyle w:val="FootnoteText"/>
        <w:tabs>
          <w:tab w:val="right" w:pos="1195"/>
          <w:tab w:val="left" w:pos="1267"/>
          <w:tab w:val="left" w:pos="1742"/>
          <w:tab w:val="left" w:pos="2218"/>
          <w:tab w:val="left" w:pos="2693"/>
        </w:tabs>
        <w:ind w:left="1267" w:right="1260" w:hanging="432"/>
        <w:rPr>
          <w:lang w:val="en-US"/>
        </w:rPr>
      </w:pPr>
      <w:r>
        <w:tab/>
      </w:r>
      <w:r>
        <w:rPr>
          <w:rStyle w:val="FootnoteReference"/>
        </w:rPr>
        <w:footnoteRef/>
      </w:r>
      <w:r w:rsidRPr="00006D5F">
        <w:rPr>
          <w:lang w:val="en-US"/>
        </w:rPr>
        <w:tab/>
      </w:r>
      <w:r w:rsidRPr="00006D5F">
        <w:rPr>
          <w:lang w:val="en-GB"/>
        </w:rPr>
        <w:t xml:space="preserve">United Nations, </w:t>
      </w:r>
      <w:r w:rsidRPr="00006D5F">
        <w:rPr>
          <w:i/>
          <w:lang w:val="en-GB"/>
        </w:rPr>
        <w:t>Treaty Series</w:t>
      </w:r>
      <w:r w:rsidRPr="00006D5F">
        <w:rPr>
          <w:lang w:val="en-GB"/>
        </w:rPr>
        <w:t>,</w:t>
      </w:r>
      <w:r w:rsidRPr="00006D5F">
        <w:rPr>
          <w:i/>
          <w:lang w:val="en-GB"/>
        </w:rPr>
        <w:t xml:space="preserve"> </w:t>
      </w:r>
      <w:r w:rsidRPr="00006D5F">
        <w:rPr>
          <w:lang w:val="en-GB"/>
        </w:rPr>
        <w:t xml:space="preserve">vol. </w:t>
      </w:r>
      <w:r w:rsidRPr="004423F5">
        <w:rPr>
          <w:lang w:val="en-US"/>
        </w:rPr>
        <w:t>1577</w:t>
      </w:r>
      <w:r w:rsidRPr="00006D5F">
        <w:rPr>
          <w:lang w:val="en-GB"/>
        </w:rPr>
        <w:t xml:space="preserve">, No. </w:t>
      </w:r>
      <w:r w:rsidRPr="004423F5">
        <w:rPr>
          <w:lang w:val="en-US"/>
        </w:rPr>
        <w:t>27531</w:t>
      </w:r>
      <w:r w:rsidRPr="00006D5F">
        <w:rPr>
          <w:lang w:val="en-GB"/>
        </w:rPr>
        <w:t>.</w:t>
      </w:r>
    </w:p>
  </w:footnote>
  <w:footnote w:id="3">
    <w:p w:rsidR="003A26A0" w:rsidRDefault="003A26A0" w:rsidP="003072C0">
      <w:pPr>
        <w:pStyle w:val="FootnoteText"/>
        <w:tabs>
          <w:tab w:val="right" w:pos="1195"/>
          <w:tab w:val="left" w:pos="1267"/>
          <w:tab w:val="left" w:pos="1742"/>
          <w:tab w:val="left" w:pos="2218"/>
          <w:tab w:val="left" w:pos="2693"/>
        </w:tabs>
        <w:ind w:left="1267" w:right="1260" w:hanging="432"/>
      </w:pPr>
      <w:r w:rsidRPr="00006D5F">
        <w:rPr>
          <w:lang w:val="en-US"/>
        </w:rPr>
        <w:tab/>
      </w:r>
      <w:r>
        <w:rPr>
          <w:rStyle w:val="FootnoteReference"/>
        </w:rPr>
        <w:footnoteRef/>
      </w:r>
      <w:r>
        <w:tab/>
        <w:t xml:space="preserve">Резолюция 61/177 Генеральной </w:t>
      </w:r>
      <w:r w:rsidRPr="00DF7357">
        <w:t>Ассамбле</w:t>
      </w:r>
      <w:r>
        <w:t>и, приложение.</w:t>
      </w:r>
    </w:p>
  </w:footnote>
  <w:footnote w:id="4">
    <w:p w:rsidR="003A26A0" w:rsidRPr="00006D5F" w:rsidRDefault="003A26A0" w:rsidP="003072C0">
      <w:pPr>
        <w:pStyle w:val="FootnoteText"/>
        <w:tabs>
          <w:tab w:val="right" w:pos="1195"/>
          <w:tab w:val="left" w:pos="1267"/>
          <w:tab w:val="left" w:pos="1742"/>
          <w:tab w:val="left" w:pos="2218"/>
          <w:tab w:val="left" w:pos="2693"/>
        </w:tabs>
        <w:ind w:left="1267" w:right="1260" w:hanging="432"/>
        <w:rPr>
          <w:lang w:val="en-US"/>
        </w:rPr>
      </w:pPr>
      <w:r>
        <w:tab/>
      </w:r>
      <w:r>
        <w:rPr>
          <w:rStyle w:val="FootnoteReference"/>
        </w:rPr>
        <w:footnoteRef/>
      </w:r>
      <w:r w:rsidRPr="00006D5F">
        <w:rPr>
          <w:lang w:val="en-US"/>
        </w:rPr>
        <w:tab/>
        <w:t xml:space="preserve">United Nations, </w:t>
      </w:r>
      <w:r w:rsidRPr="00006D5F">
        <w:rPr>
          <w:i/>
          <w:lang w:val="en-US"/>
        </w:rPr>
        <w:t>Treaty Series</w:t>
      </w:r>
      <w:r w:rsidRPr="00006D5F">
        <w:rPr>
          <w:lang w:val="en-US"/>
        </w:rPr>
        <w:t>,</w:t>
      </w:r>
      <w:r w:rsidRPr="00006D5F">
        <w:rPr>
          <w:i/>
          <w:lang w:val="en-US"/>
        </w:rPr>
        <w:t xml:space="preserve"> </w:t>
      </w:r>
      <w:r w:rsidRPr="00006D5F">
        <w:rPr>
          <w:lang w:val="en-US"/>
        </w:rPr>
        <w:t>vol. 2220, No. 39481.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072C0" w:rsidTr="003072C0">
      <w:tblPrEx>
        <w:tblCellMar>
          <w:top w:w="0" w:type="dxa"/>
          <w:bottom w:w="0" w:type="dxa"/>
        </w:tblCellMar>
      </w:tblPrEx>
      <w:trPr>
        <w:trHeight w:hRule="exact" w:val="864"/>
      </w:trPr>
      <w:tc>
        <w:tcPr>
          <w:tcW w:w="4838" w:type="dxa"/>
          <w:shd w:val="clear" w:color="auto" w:fill="auto"/>
          <w:vAlign w:val="bottom"/>
        </w:tcPr>
        <w:p w:rsidR="003072C0" w:rsidRPr="00495E4E" w:rsidRDefault="003072C0" w:rsidP="003072C0">
          <w:pPr>
            <w:pStyle w:val="Header"/>
            <w:spacing w:after="80"/>
            <w:rPr>
              <w:b/>
              <w:szCs w:val="22"/>
              <w:lang w:eastAsia="en-US"/>
            </w:rPr>
          </w:pPr>
          <w:fldSimple w:instr=" DOCVARIABLE &quot;sss1&quot; \* MERGEFORMAT ">
            <w:r w:rsidR="002D649F" w:rsidRPr="00495E4E">
              <w:rPr>
                <w:b/>
                <w:szCs w:val="22"/>
                <w:lang w:eastAsia="en-US"/>
              </w:rPr>
              <w:t>A/69/285</w:t>
            </w:r>
          </w:fldSimple>
        </w:p>
      </w:tc>
      <w:tc>
        <w:tcPr>
          <w:tcW w:w="5033" w:type="dxa"/>
          <w:shd w:val="clear" w:color="auto" w:fill="auto"/>
          <w:vAlign w:val="bottom"/>
        </w:tcPr>
        <w:p w:rsidR="003072C0" w:rsidRPr="00495E4E" w:rsidRDefault="003072C0" w:rsidP="003072C0">
          <w:pPr>
            <w:pStyle w:val="Header"/>
            <w:rPr>
              <w:szCs w:val="22"/>
              <w:lang w:eastAsia="en-US"/>
            </w:rPr>
          </w:pPr>
        </w:p>
      </w:tc>
    </w:tr>
  </w:tbl>
  <w:p w:rsidR="003A44A8" w:rsidRPr="003072C0" w:rsidRDefault="003A44A8" w:rsidP="003072C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072C0" w:rsidTr="003072C0">
      <w:tblPrEx>
        <w:tblCellMar>
          <w:top w:w="0" w:type="dxa"/>
          <w:bottom w:w="0" w:type="dxa"/>
        </w:tblCellMar>
      </w:tblPrEx>
      <w:trPr>
        <w:trHeight w:hRule="exact" w:val="864"/>
      </w:trPr>
      <w:tc>
        <w:tcPr>
          <w:tcW w:w="4838" w:type="dxa"/>
          <w:shd w:val="clear" w:color="auto" w:fill="auto"/>
          <w:vAlign w:val="bottom"/>
        </w:tcPr>
        <w:p w:rsidR="003072C0" w:rsidRPr="00495E4E" w:rsidRDefault="003072C0" w:rsidP="003072C0">
          <w:pPr>
            <w:pStyle w:val="Header"/>
            <w:rPr>
              <w:szCs w:val="22"/>
              <w:lang w:eastAsia="en-US"/>
            </w:rPr>
          </w:pPr>
        </w:p>
      </w:tc>
      <w:tc>
        <w:tcPr>
          <w:tcW w:w="5033" w:type="dxa"/>
          <w:shd w:val="clear" w:color="auto" w:fill="auto"/>
          <w:vAlign w:val="bottom"/>
        </w:tcPr>
        <w:p w:rsidR="003072C0" w:rsidRPr="00495E4E" w:rsidRDefault="003072C0" w:rsidP="003072C0">
          <w:pPr>
            <w:pStyle w:val="Header"/>
            <w:spacing w:after="80"/>
            <w:jc w:val="right"/>
            <w:rPr>
              <w:b/>
              <w:szCs w:val="22"/>
              <w:lang w:eastAsia="en-US"/>
            </w:rPr>
          </w:pPr>
          <w:fldSimple w:instr=" DOCVARIABLE &quot;sss1&quot; \* MERGEFORMAT ">
            <w:r w:rsidR="002D649F" w:rsidRPr="00495E4E">
              <w:rPr>
                <w:b/>
                <w:szCs w:val="22"/>
                <w:lang w:eastAsia="en-US"/>
              </w:rPr>
              <w:t>A/69/285</w:t>
            </w:r>
          </w:fldSimple>
        </w:p>
      </w:tc>
    </w:tr>
  </w:tbl>
  <w:p w:rsidR="003A44A8" w:rsidRPr="003072C0" w:rsidRDefault="003A44A8" w:rsidP="003072C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3A44A8" w:rsidTr="003A44A8">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3A44A8" w:rsidRPr="003A44A8" w:rsidRDefault="003A44A8" w:rsidP="003A44A8">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3A44A8" w:rsidRPr="00495E4E" w:rsidRDefault="003A44A8" w:rsidP="003A44A8">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3A44A8" w:rsidRPr="00495E4E" w:rsidRDefault="003072C0" w:rsidP="003072C0">
          <w:pPr>
            <w:pStyle w:val="Header"/>
            <w:spacing w:after="20"/>
            <w:jc w:val="right"/>
            <w:rPr>
              <w:position w:val="-4"/>
              <w:sz w:val="20"/>
              <w:szCs w:val="22"/>
              <w:lang w:eastAsia="en-US"/>
            </w:rPr>
          </w:pPr>
          <w:r w:rsidRPr="00495E4E">
            <w:rPr>
              <w:position w:val="-4"/>
              <w:sz w:val="40"/>
              <w:szCs w:val="22"/>
              <w:lang w:eastAsia="en-US"/>
            </w:rPr>
            <w:t>A</w:t>
          </w:r>
          <w:r w:rsidRPr="00495E4E">
            <w:rPr>
              <w:position w:val="-4"/>
              <w:sz w:val="20"/>
              <w:szCs w:val="22"/>
              <w:lang w:eastAsia="en-US"/>
            </w:rPr>
            <w:t>/69/285*</w:t>
          </w:r>
        </w:p>
      </w:tc>
    </w:tr>
    <w:tr w:rsidR="003A44A8" w:rsidRPr="00D06A59" w:rsidTr="003A44A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A44A8" w:rsidRPr="00495E4E" w:rsidRDefault="003A44A8" w:rsidP="003A44A8">
          <w:pPr>
            <w:pStyle w:val="Header"/>
            <w:spacing w:before="109"/>
            <w:rPr>
              <w:szCs w:val="22"/>
              <w:lang w:eastAsia="en-US"/>
            </w:rPr>
          </w:pPr>
          <w:r w:rsidRPr="00495E4E">
            <w:rPr>
              <w:szCs w:val="22"/>
              <w:lang w:eastAsia="en-US"/>
            </w:rPr>
            <w:t xml:space="preserve"> </w:t>
          </w:r>
          <w:r w:rsidRPr="00495E4E">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A44A8" w:rsidRPr="00495E4E" w:rsidRDefault="003A44A8" w:rsidP="003A44A8">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3A44A8" w:rsidRPr="003A44A8" w:rsidRDefault="003A44A8" w:rsidP="003A44A8">
          <w:pPr>
            <w:pStyle w:val="XLarge"/>
            <w:spacing w:before="109"/>
          </w:pPr>
          <w:r>
            <w:t>Генеральная Ассамблея</w:t>
          </w:r>
        </w:p>
      </w:tc>
      <w:tc>
        <w:tcPr>
          <w:tcW w:w="245" w:type="dxa"/>
          <w:tcBorders>
            <w:top w:val="single" w:sz="4" w:space="0" w:color="auto"/>
            <w:bottom w:val="single" w:sz="12" w:space="0" w:color="auto"/>
          </w:tcBorders>
          <w:shd w:val="clear" w:color="auto" w:fill="auto"/>
        </w:tcPr>
        <w:p w:rsidR="003A44A8" w:rsidRPr="00495E4E" w:rsidRDefault="003A44A8" w:rsidP="003A44A8">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3A44A8" w:rsidRPr="00D06A59" w:rsidRDefault="003A44A8" w:rsidP="003A44A8">
          <w:pPr>
            <w:pStyle w:val="Distribution"/>
            <w:rPr>
              <w:color w:val="000000"/>
              <w:lang w:val="en-US"/>
            </w:rPr>
          </w:pPr>
          <w:r w:rsidRPr="00D06A59">
            <w:rPr>
              <w:color w:val="000000"/>
              <w:lang w:val="en-US"/>
            </w:rPr>
            <w:t>Distr.: General</w:t>
          </w:r>
        </w:p>
        <w:p w:rsidR="003A44A8" w:rsidRPr="00D06A59" w:rsidRDefault="003A44A8" w:rsidP="003A44A8">
          <w:pPr>
            <w:pStyle w:val="Publication"/>
            <w:rPr>
              <w:color w:val="000000"/>
              <w:lang w:val="en-US"/>
            </w:rPr>
          </w:pPr>
          <w:r w:rsidRPr="00D06A59">
            <w:rPr>
              <w:color w:val="000000"/>
              <w:lang w:val="en-US"/>
            </w:rPr>
            <w:t>11 August 2014</w:t>
          </w:r>
        </w:p>
        <w:p w:rsidR="003A44A8" w:rsidRPr="00D06A59" w:rsidRDefault="003A44A8" w:rsidP="003A44A8">
          <w:pPr>
            <w:rPr>
              <w:color w:val="000000"/>
              <w:lang w:val="en-US"/>
            </w:rPr>
          </w:pPr>
          <w:r w:rsidRPr="00D06A59">
            <w:rPr>
              <w:color w:val="000000"/>
              <w:lang w:val="en-US"/>
            </w:rPr>
            <w:t>Russian</w:t>
          </w:r>
        </w:p>
        <w:p w:rsidR="003A44A8" w:rsidRPr="00D06A59" w:rsidRDefault="003A44A8" w:rsidP="003A44A8">
          <w:pPr>
            <w:pStyle w:val="Original"/>
            <w:rPr>
              <w:color w:val="000000"/>
              <w:lang w:val="en-US"/>
            </w:rPr>
          </w:pPr>
          <w:r w:rsidRPr="00D06A59">
            <w:rPr>
              <w:color w:val="000000"/>
              <w:lang w:val="en-US"/>
            </w:rPr>
            <w:t>Original: English</w:t>
          </w:r>
        </w:p>
        <w:p w:rsidR="003A44A8" w:rsidRPr="00D06A59" w:rsidRDefault="003A44A8" w:rsidP="003A44A8">
          <w:pPr>
            <w:rPr>
              <w:lang w:val="en-US"/>
            </w:rPr>
          </w:pPr>
        </w:p>
      </w:tc>
    </w:tr>
  </w:tbl>
  <w:p w:rsidR="003A44A8" w:rsidRPr="00D06A59" w:rsidRDefault="003A44A8" w:rsidP="003A44A8">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16976322"/>
    <w:multiLevelType w:val="multilevel"/>
    <w:tmpl w:val="E208E42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04E6E"/>
    <w:multiLevelType w:val="multilevel"/>
    <w:tmpl w:val="0EA075A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6"/>
  </w:num>
  <w:num w:numId="2">
    <w:abstractNumId w:val="7"/>
  </w:num>
  <w:num w:numId="3">
    <w:abstractNumId w:val="4"/>
  </w:num>
  <w:num w:numId="4">
    <w:abstractNumId w:val="3"/>
  </w:num>
  <w:num w:numId="5">
    <w:abstractNumId w:val="2"/>
  </w:num>
  <w:num w:numId="6">
    <w:abstractNumId w:val="1"/>
  </w:num>
  <w:num w:numId="7">
    <w:abstractNumId w:val="0"/>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942*"/>
    <w:docVar w:name="CreationDt" w:val="05/09/2014 2:06: PM"/>
    <w:docVar w:name="DocCategory" w:val="Doc"/>
    <w:docVar w:name="DocType" w:val="Final"/>
    <w:docVar w:name="FooterJN" w:val="14-58942"/>
    <w:docVar w:name="jobn" w:val="14-58942 (R)"/>
    <w:docVar w:name="jobnDT" w:val="14-58942 (R)   050914"/>
    <w:docVar w:name="jobnDTDT" w:val="14-58942 (R)   050914   050914"/>
    <w:docVar w:name="JobNo" w:val="1458942R"/>
    <w:docVar w:name="JobNo2" w:val="1449983R"/>
    <w:docVar w:name="OandT" w:val=" "/>
    <w:docVar w:name="sss1" w:val="A/69/285"/>
    <w:docVar w:name="sss2" w:val="-"/>
    <w:docVar w:name="Symbol1" w:val="A/69/285*"/>
    <w:docVar w:name="Symbol2" w:val="-"/>
  </w:docVars>
  <w:rsids>
    <w:rsidRoot w:val="00742683"/>
    <w:rsid w:val="00004615"/>
    <w:rsid w:val="00004756"/>
    <w:rsid w:val="00024A67"/>
    <w:rsid w:val="00033C1F"/>
    <w:rsid w:val="000513EF"/>
    <w:rsid w:val="0005420D"/>
    <w:rsid w:val="00055EA2"/>
    <w:rsid w:val="00067A90"/>
    <w:rsid w:val="00070C37"/>
    <w:rsid w:val="000A111E"/>
    <w:rsid w:val="000C67BC"/>
    <w:rsid w:val="000E4411"/>
    <w:rsid w:val="000F1ACD"/>
    <w:rsid w:val="000F5D07"/>
    <w:rsid w:val="00105B0E"/>
    <w:rsid w:val="001444A3"/>
    <w:rsid w:val="00153645"/>
    <w:rsid w:val="00153E8C"/>
    <w:rsid w:val="00162E88"/>
    <w:rsid w:val="001726A4"/>
    <w:rsid w:val="00177361"/>
    <w:rsid w:val="0018250D"/>
    <w:rsid w:val="001A39EE"/>
    <w:rsid w:val="001A6777"/>
    <w:rsid w:val="001C54CE"/>
    <w:rsid w:val="001D1749"/>
    <w:rsid w:val="001E25A2"/>
    <w:rsid w:val="001E61AD"/>
    <w:rsid w:val="00211A7E"/>
    <w:rsid w:val="00217A24"/>
    <w:rsid w:val="00223C57"/>
    <w:rsid w:val="002535D8"/>
    <w:rsid w:val="00254046"/>
    <w:rsid w:val="00261386"/>
    <w:rsid w:val="00261C41"/>
    <w:rsid w:val="00264A43"/>
    <w:rsid w:val="00277697"/>
    <w:rsid w:val="002B6E2A"/>
    <w:rsid w:val="002C66D0"/>
    <w:rsid w:val="002D4606"/>
    <w:rsid w:val="002D649F"/>
    <w:rsid w:val="002E1F79"/>
    <w:rsid w:val="002F5C45"/>
    <w:rsid w:val="002F6149"/>
    <w:rsid w:val="003072C0"/>
    <w:rsid w:val="00326F5F"/>
    <w:rsid w:val="00337ACC"/>
    <w:rsid w:val="00337D91"/>
    <w:rsid w:val="00350756"/>
    <w:rsid w:val="003658B0"/>
    <w:rsid w:val="00373B16"/>
    <w:rsid w:val="0039505F"/>
    <w:rsid w:val="003A150E"/>
    <w:rsid w:val="003A26A0"/>
    <w:rsid w:val="003A44A8"/>
    <w:rsid w:val="003C1524"/>
    <w:rsid w:val="003C2842"/>
    <w:rsid w:val="003D0825"/>
    <w:rsid w:val="003D2003"/>
    <w:rsid w:val="003D5DA2"/>
    <w:rsid w:val="003E5193"/>
    <w:rsid w:val="00427FE5"/>
    <w:rsid w:val="00433222"/>
    <w:rsid w:val="00436F13"/>
    <w:rsid w:val="004420FB"/>
    <w:rsid w:val="004504A6"/>
    <w:rsid w:val="004558A6"/>
    <w:rsid w:val="00460D23"/>
    <w:rsid w:val="004645DD"/>
    <w:rsid w:val="004871AE"/>
    <w:rsid w:val="00495E4E"/>
    <w:rsid w:val="004A7499"/>
    <w:rsid w:val="004B1314"/>
    <w:rsid w:val="004D275F"/>
    <w:rsid w:val="004D656E"/>
    <w:rsid w:val="004E6443"/>
    <w:rsid w:val="005121DC"/>
    <w:rsid w:val="00513113"/>
    <w:rsid w:val="00515869"/>
    <w:rsid w:val="005214BA"/>
    <w:rsid w:val="00524A24"/>
    <w:rsid w:val="00526E12"/>
    <w:rsid w:val="00533411"/>
    <w:rsid w:val="00542980"/>
    <w:rsid w:val="0054563F"/>
    <w:rsid w:val="005469E1"/>
    <w:rsid w:val="00552E08"/>
    <w:rsid w:val="0056579C"/>
    <w:rsid w:val="00567706"/>
    <w:rsid w:val="005734C2"/>
    <w:rsid w:val="00574AA1"/>
    <w:rsid w:val="00590EDF"/>
    <w:rsid w:val="005933CB"/>
    <w:rsid w:val="005A1D01"/>
    <w:rsid w:val="005D38B6"/>
    <w:rsid w:val="005D7642"/>
    <w:rsid w:val="005E0A46"/>
    <w:rsid w:val="005E7DCF"/>
    <w:rsid w:val="005F6E5C"/>
    <w:rsid w:val="00602F9D"/>
    <w:rsid w:val="006261A6"/>
    <w:rsid w:val="0063491E"/>
    <w:rsid w:val="00635AF8"/>
    <w:rsid w:val="006366DB"/>
    <w:rsid w:val="00646363"/>
    <w:rsid w:val="00655212"/>
    <w:rsid w:val="00657EE4"/>
    <w:rsid w:val="006A1698"/>
    <w:rsid w:val="006A1D06"/>
    <w:rsid w:val="006A3F10"/>
    <w:rsid w:val="006C4925"/>
    <w:rsid w:val="006D5474"/>
    <w:rsid w:val="006F3683"/>
    <w:rsid w:val="00700738"/>
    <w:rsid w:val="00705549"/>
    <w:rsid w:val="0071210D"/>
    <w:rsid w:val="00716BC5"/>
    <w:rsid w:val="00723115"/>
    <w:rsid w:val="00724550"/>
    <w:rsid w:val="00736A19"/>
    <w:rsid w:val="00742683"/>
    <w:rsid w:val="00745258"/>
    <w:rsid w:val="00750F5C"/>
    <w:rsid w:val="00781ACA"/>
    <w:rsid w:val="00787B44"/>
    <w:rsid w:val="00795A5A"/>
    <w:rsid w:val="007A2E8E"/>
    <w:rsid w:val="007B098D"/>
    <w:rsid w:val="007B1DE5"/>
    <w:rsid w:val="007B5785"/>
    <w:rsid w:val="007B5CF3"/>
    <w:rsid w:val="007C62D1"/>
    <w:rsid w:val="007C706F"/>
    <w:rsid w:val="007E0E39"/>
    <w:rsid w:val="007E2B60"/>
    <w:rsid w:val="00803EC5"/>
    <w:rsid w:val="00821CE2"/>
    <w:rsid w:val="00830FF8"/>
    <w:rsid w:val="00844407"/>
    <w:rsid w:val="00845D4D"/>
    <w:rsid w:val="00853E2A"/>
    <w:rsid w:val="008541E9"/>
    <w:rsid w:val="00856EEB"/>
    <w:rsid w:val="008776BB"/>
    <w:rsid w:val="00880540"/>
    <w:rsid w:val="0088396E"/>
    <w:rsid w:val="008A1A7A"/>
    <w:rsid w:val="008B08A3"/>
    <w:rsid w:val="008B709D"/>
    <w:rsid w:val="008C2A03"/>
    <w:rsid w:val="008C6372"/>
    <w:rsid w:val="008D0CE3"/>
    <w:rsid w:val="008F12FD"/>
    <w:rsid w:val="008F13EA"/>
    <w:rsid w:val="00904F3C"/>
    <w:rsid w:val="00907EDB"/>
    <w:rsid w:val="009110C5"/>
    <w:rsid w:val="00915944"/>
    <w:rsid w:val="009327BF"/>
    <w:rsid w:val="00935F33"/>
    <w:rsid w:val="0094745A"/>
    <w:rsid w:val="0095649D"/>
    <w:rsid w:val="00984EE4"/>
    <w:rsid w:val="0099354F"/>
    <w:rsid w:val="00996E80"/>
    <w:rsid w:val="009B3444"/>
    <w:rsid w:val="009B5DCD"/>
    <w:rsid w:val="009D6E3D"/>
    <w:rsid w:val="009F0808"/>
    <w:rsid w:val="00A14F1D"/>
    <w:rsid w:val="00A1703F"/>
    <w:rsid w:val="00A262B5"/>
    <w:rsid w:val="00A63339"/>
    <w:rsid w:val="00A81B4E"/>
    <w:rsid w:val="00A86E2A"/>
    <w:rsid w:val="00A90F41"/>
    <w:rsid w:val="00A9600A"/>
    <w:rsid w:val="00A96C80"/>
    <w:rsid w:val="00AA0ABF"/>
    <w:rsid w:val="00AA27C2"/>
    <w:rsid w:val="00AA641E"/>
    <w:rsid w:val="00AD6322"/>
    <w:rsid w:val="00AD78B1"/>
    <w:rsid w:val="00AF0B59"/>
    <w:rsid w:val="00AF0B91"/>
    <w:rsid w:val="00B12434"/>
    <w:rsid w:val="00B33139"/>
    <w:rsid w:val="00B5129B"/>
    <w:rsid w:val="00B56376"/>
    <w:rsid w:val="00B606B7"/>
    <w:rsid w:val="00B77FC0"/>
    <w:rsid w:val="00BB052D"/>
    <w:rsid w:val="00BB1F92"/>
    <w:rsid w:val="00BB5B7F"/>
    <w:rsid w:val="00BD2F16"/>
    <w:rsid w:val="00BE448A"/>
    <w:rsid w:val="00BE531D"/>
    <w:rsid w:val="00BF3D60"/>
    <w:rsid w:val="00BF5FCB"/>
    <w:rsid w:val="00C16B93"/>
    <w:rsid w:val="00C2210E"/>
    <w:rsid w:val="00C2524E"/>
    <w:rsid w:val="00C32802"/>
    <w:rsid w:val="00C40B0B"/>
    <w:rsid w:val="00C60105"/>
    <w:rsid w:val="00C623BF"/>
    <w:rsid w:val="00C70D59"/>
    <w:rsid w:val="00C7432F"/>
    <w:rsid w:val="00C77473"/>
    <w:rsid w:val="00CA2CF3"/>
    <w:rsid w:val="00CB519E"/>
    <w:rsid w:val="00CC5B37"/>
    <w:rsid w:val="00CD2ED3"/>
    <w:rsid w:val="00CD3C62"/>
    <w:rsid w:val="00CF021B"/>
    <w:rsid w:val="00CF07BE"/>
    <w:rsid w:val="00D028FF"/>
    <w:rsid w:val="00D06A59"/>
    <w:rsid w:val="00D1470E"/>
    <w:rsid w:val="00D15557"/>
    <w:rsid w:val="00D20AA4"/>
    <w:rsid w:val="00D434AF"/>
    <w:rsid w:val="00D61BB7"/>
    <w:rsid w:val="00D620BD"/>
    <w:rsid w:val="00D7165D"/>
    <w:rsid w:val="00D75705"/>
    <w:rsid w:val="00D961D6"/>
    <w:rsid w:val="00D97B17"/>
    <w:rsid w:val="00DA1A4A"/>
    <w:rsid w:val="00DC1E7E"/>
    <w:rsid w:val="00DC7A5F"/>
    <w:rsid w:val="00DD6A66"/>
    <w:rsid w:val="00DF1CF0"/>
    <w:rsid w:val="00E04C73"/>
    <w:rsid w:val="00E079A3"/>
    <w:rsid w:val="00E15D7D"/>
    <w:rsid w:val="00E17234"/>
    <w:rsid w:val="00E261F5"/>
    <w:rsid w:val="00E6111E"/>
    <w:rsid w:val="00E616D0"/>
    <w:rsid w:val="00E65C07"/>
    <w:rsid w:val="00E8225E"/>
    <w:rsid w:val="00E90547"/>
    <w:rsid w:val="00E970B0"/>
    <w:rsid w:val="00EA1656"/>
    <w:rsid w:val="00EA1819"/>
    <w:rsid w:val="00EA465F"/>
    <w:rsid w:val="00EB646E"/>
    <w:rsid w:val="00EC2757"/>
    <w:rsid w:val="00EC6F5D"/>
    <w:rsid w:val="00EF1FBD"/>
    <w:rsid w:val="00F07DDF"/>
    <w:rsid w:val="00F16256"/>
    <w:rsid w:val="00F231E8"/>
    <w:rsid w:val="00F33544"/>
    <w:rsid w:val="00F35ACF"/>
    <w:rsid w:val="00F624BD"/>
    <w:rsid w:val="00F62A5E"/>
    <w:rsid w:val="00F74A39"/>
    <w:rsid w:val="00F85203"/>
    <w:rsid w:val="00F92676"/>
    <w:rsid w:val="00F94262"/>
    <w:rsid w:val="00F979A8"/>
    <w:rsid w:val="00FA1B93"/>
    <w:rsid w:val="00FA5551"/>
    <w:rsid w:val="00FA7C7A"/>
    <w:rsid w:val="00FD213B"/>
    <w:rsid w:val="00FD3CE8"/>
    <w:rsid w:val="00FE2068"/>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1"/>
    <w:lsdException w:name="header" w:semiHidden="0" w:uiPriority="2" w:unhideWhenUsed="0"/>
    <w:lsdException w:name="footer" w:semiHidden="0" w:uiPriority="2" w:unhideWhenUsed="0"/>
    <w:lsdException w:name="caption" w:uiPriority="35" w:qFormat="1"/>
    <w:lsdException w:name="footnote reference" w:uiPriority="1"/>
    <w:lsdException w:name="annotation reference" w:uiPriority="1"/>
    <w:lsdException w:name="line number" w:semiHidden="0" w:unhideWhenUsed="0"/>
    <w:lsdException w:name="endnote reference" w:uiPriority="1"/>
    <w:lsdException w:name="endnote text" w:uiPriority="1"/>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
    <w:qFormat/>
    <w:rsid w:val="0071210D"/>
    <w:pPr>
      <w:keepNext/>
      <w:spacing w:before="240" w:after="60"/>
      <w:outlineLvl w:val="2"/>
    </w:pPr>
    <w:rPr>
      <w:rFonts w:ascii="Arial" w:eastAsia="SimSun" w:hAnsi="Arial"/>
      <w:b/>
      <w:bCs/>
      <w:sz w:val="26"/>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Normal"/>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uiPriority w:val="9"/>
    <w:rsid w:val="0088396E"/>
    <w:rPr>
      <w:rFonts w:ascii="Arial" w:eastAsia="SimSun" w:hAnsi="Arial" w:cs="Times New Roman"/>
      <w:b/>
      <w:bCs/>
      <w:spacing w:val="4"/>
      <w:w w:val="103"/>
      <w:kern w:val="14"/>
      <w:sz w:val="32"/>
      <w:szCs w:val="28"/>
    </w:rPr>
  </w:style>
  <w:style w:type="character" w:customStyle="1" w:styleId="Heading2Char">
    <w:name w:val="Heading 2 Char"/>
    <w:link w:val="Heading2"/>
    <w:uiPriority w:val="9"/>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uiPriority w:val="9"/>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uiPriority w:val="1"/>
    <w:semiHidden/>
    <w:unhideWhenUsed/>
    <w:rsid w:val="00EC6F5D"/>
    <w:rPr>
      <w:spacing w:val="-5"/>
      <w:w w:val="130"/>
      <w:position w:val="-4"/>
      <w:vertAlign w:val="superscript"/>
    </w:rPr>
  </w:style>
  <w:style w:type="paragraph" w:styleId="EndnoteText">
    <w:name w:val="endnote text"/>
    <w:basedOn w:val="Normal"/>
    <w:link w:val="EndnoteTextChar"/>
    <w:uiPriority w:val="1"/>
    <w:semiHidden/>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uiPriority w:val="1"/>
    <w:semiHidden/>
    <w:unhideWhenUsed/>
    <w:rsid w:val="003A44A8"/>
    <w:rPr>
      <w:sz w:val="16"/>
      <w:szCs w:val="16"/>
    </w:rPr>
  </w:style>
  <w:style w:type="paragraph" w:styleId="CommentText">
    <w:name w:val="annotation text"/>
    <w:basedOn w:val="Normal"/>
    <w:link w:val="CommentTextChar"/>
    <w:uiPriority w:val="99"/>
    <w:unhideWhenUsed/>
    <w:rsid w:val="003A44A8"/>
    <w:rPr>
      <w:szCs w:val="20"/>
      <w:lang/>
    </w:rPr>
  </w:style>
  <w:style w:type="character" w:customStyle="1" w:styleId="CommentTextChar">
    <w:name w:val="Comment Text Char"/>
    <w:link w:val="CommentText"/>
    <w:uiPriority w:val="99"/>
    <w:rsid w:val="003A44A8"/>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3A44A8"/>
    <w:rPr>
      <w:b/>
      <w:bCs/>
    </w:rPr>
  </w:style>
  <w:style w:type="character" w:customStyle="1" w:styleId="CommentSubjectChar">
    <w:name w:val="Comment Subject Char"/>
    <w:link w:val="CommentSubject"/>
    <w:uiPriority w:val="99"/>
    <w:semiHidden/>
    <w:rsid w:val="003A44A8"/>
    <w:rPr>
      <w:rFonts w:ascii="Times New Roman" w:hAnsi="Times New Roman" w:cs="Times New Roman"/>
      <w:b/>
      <w:bCs/>
      <w:spacing w:val="4"/>
      <w:w w:val="103"/>
      <w:kern w:val="14"/>
      <w:lang w:val="ru-RU"/>
    </w:rPr>
  </w:style>
  <w:style w:type="character" w:styleId="Hyperlink">
    <w:name w:val="Hyperlink"/>
    <w:uiPriority w:val="99"/>
    <w:unhideWhenUsed/>
    <w:rsid w:val="00D06A59"/>
    <w:rPr>
      <w:color w:val="0000FF"/>
      <w:u w:val="none"/>
    </w:rPr>
  </w:style>
  <w:style w:type="character" w:styleId="FollowedHyperlink">
    <w:name w:val="FollowedHyperlink"/>
    <w:uiPriority w:val="99"/>
    <w:semiHidden/>
    <w:unhideWhenUsed/>
    <w:rsid w:val="004558A6"/>
    <w:rPr>
      <w:color w:val="0000FF"/>
      <w:u w:val="none"/>
    </w:rPr>
  </w:style>
  <w:style w:type="paragraph" w:styleId="Revision">
    <w:name w:val="Revision"/>
    <w:hidden/>
    <w:uiPriority w:val="99"/>
    <w:semiHidden/>
    <w:rsid w:val="003072C0"/>
    <w:rPr>
      <w:rFonts w:ascii="Times New Roman" w:hAnsi="Times New Roman" w:cs="Times New Roman"/>
      <w:spacing w:val="4"/>
      <w:w w:val="103"/>
      <w:kern w:val="14"/>
      <w:szCs w:val="22"/>
      <w:lang w:val="ru-RU"/>
    </w:rPr>
  </w:style>
  <w:style w:type="paragraph" w:styleId="BalloonText">
    <w:name w:val="Balloon Text"/>
    <w:basedOn w:val="Normal"/>
    <w:link w:val="BalloonTextChar"/>
    <w:uiPriority w:val="99"/>
    <w:semiHidden/>
    <w:unhideWhenUsed/>
    <w:rsid w:val="003072C0"/>
    <w:pPr>
      <w:spacing w:line="240" w:lineRule="auto"/>
    </w:pPr>
    <w:rPr>
      <w:rFonts w:ascii="Tahoma" w:hAnsi="Tahoma"/>
      <w:sz w:val="16"/>
      <w:szCs w:val="16"/>
      <w:lang/>
    </w:rPr>
  </w:style>
  <w:style w:type="character" w:customStyle="1" w:styleId="BalloonTextChar">
    <w:name w:val="Balloon Text Char"/>
    <w:link w:val="BalloonText"/>
    <w:uiPriority w:val="99"/>
    <w:semiHidden/>
    <w:rsid w:val="003072C0"/>
    <w:rPr>
      <w:rFonts w:ascii="Tahoma" w:hAnsi="Tahoma" w:cs="Times New Roman"/>
      <w:spacing w:val="4"/>
      <w:w w:val="103"/>
      <w:kern w:val="14"/>
      <w:sz w:val="16"/>
      <w:szCs w:val="16"/>
      <w:lang w:val="ru-RU"/>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undocs.org/ru/A/RES/68/268" TargetMode="External"/><Relationship Id="rId26" Type="http://schemas.openxmlformats.org/officeDocument/2006/relationships/hyperlink" Target="http://undocs.org/A/68/334" TargetMode="External"/><Relationship Id="rId39" Type="http://schemas.openxmlformats.org/officeDocument/2006/relationships/hyperlink" Target="http://undocs.org/ru/A/RES/68/268" TargetMode="External"/><Relationship Id="rId21" Type="http://schemas.openxmlformats.org/officeDocument/2006/relationships/hyperlink" Target="http://undocs.org/HRI/MC/2014/1" TargetMode="External"/><Relationship Id="rId34" Type="http://schemas.openxmlformats.org/officeDocument/2006/relationships/hyperlink" Target="http://undocs.org/ru/A/66/860" TargetMode="External"/><Relationship Id="rId42" Type="http://schemas.openxmlformats.org/officeDocument/2006/relationships/hyperlink" Target="http://undocs.org/ru/A/RES/68/268" TargetMode="External"/><Relationship Id="rId47" Type="http://schemas.openxmlformats.org/officeDocument/2006/relationships/hyperlink" Target="http://undocs.org/ru/A/RES/68/268" TargetMode="External"/><Relationship Id="rId50" Type="http://schemas.openxmlformats.org/officeDocument/2006/relationships/hyperlink" Target="http://undocs.org/ru/A/RES/68/268" TargetMode="External"/><Relationship Id="rId55" Type="http://schemas.openxmlformats.org/officeDocument/2006/relationships/hyperlink" Target="http://undocs.org/ru/A/RES/68/268" TargetMode="External"/><Relationship Id="rId63" Type="http://schemas.openxmlformats.org/officeDocument/2006/relationships/hyperlink" Target="http://undocs.org/ru/A/67/222"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ru/A/RES/49/178" TargetMode="External"/><Relationship Id="rId29" Type="http://schemas.openxmlformats.org/officeDocument/2006/relationships/hyperlink" Target="http://undocs.org/ru/A/RES/68/2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HRI/MC/2014/3" TargetMode="External"/><Relationship Id="rId32" Type="http://schemas.openxmlformats.org/officeDocument/2006/relationships/hyperlink" Target="http://undocs.org/ru/HRI/MC/2014/4" TargetMode="External"/><Relationship Id="rId37" Type="http://schemas.openxmlformats.org/officeDocument/2006/relationships/hyperlink" Target="http://undocs.org/ru/HRI/MC/2014/3" TargetMode="External"/><Relationship Id="rId40" Type="http://schemas.openxmlformats.org/officeDocument/2006/relationships/hyperlink" Target="http://undocs.org/ru/HRI/MC/2014/2" TargetMode="External"/><Relationship Id="rId45" Type="http://schemas.openxmlformats.org/officeDocument/2006/relationships/hyperlink" Target="http://undocs.org/ru/A/67/222" TargetMode="External"/><Relationship Id="rId53" Type="http://schemas.openxmlformats.org/officeDocument/2006/relationships/hyperlink" Target="http://undocs.org/ru/HRI/MC/2014/4" TargetMode="External"/><Relationship Id="rId58" Type="http://schemas.openxmlformats.org/officeDocument/2006/relationships/hyperlink" Target="http://undocs.org/ru/A/RES/68/268"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ru/A/RES/57/202" TargetMode="External"/><Relationship Id="rId23" Type="http://schemas.openxmlformats.org/officeDocument/2006/relationships/hyperlink" Target="http://undocs.org/HRI/MC/2014/2" TargetMode="External"/><Relationship Id="rId28" Type="http://schemas.openxmlformats.org/officeDocument/2006/relationships/hyperlink" Target="http://undocs.org/ru/A/RES/68/268" TargetMode="External"/><Relationship Id="rId36" Type="http://schemas.openxmlformats.org/officeDocument/2006/relationships/hyperlink" Target="http://undocs.org/ru/HRI/MC/2014/4" TargetMode="External"/><Relationship Id="rId49" Type="http://schemas.openxmlformats.org/officeDocument/2006/relationships/hyperlink" Target="http://undocs.org/ru/A/RES/68/268" TargetMode="External"/><Relationship Id="rId57" Type="http://schemas.openxmlformats.org/officeDocument/2006/relationships/hyperlink" Target="http://undocs.org/ru/A/RES/68/268" TargetMode="External"/><Relationship Id="rId61" Type="http://schemas.openxmlformats.org/officeDocument/2006/relationships/hyperlink" Target="http://undocs.org/ru/A/RES/68/268" TargetMode="External"/><Relationship Id="rId10" Type="http://schemas.openxmlformats.org/officeDocument/2006/relationships/footer" Target="footer2.xml"/><Relationship Id="rId19" Type="http://schemas.openxmlformats.org/officeDocument/2006/relationships/hyperlink" Target="http://undocs.org/ru/A/RES/49/178" TargetMode="External"/><Relationship Id="rId31" Type="http://schemas.openxmlformats.org/officeDocument/2006/relationships/hyperlink" Target="http://undocs.org/ru/A/RES/68/268" TargetMode="External"/><Relationship Id="rId44" Type="http://schemas.openxmlformats.org/officeDocument/2006/relationships/hyperlink" Target="http://undocs.org/ru/A/RES/68/268" TargetMode="External"/><Relationship Id="rId52" Type="http://schemas.openxmlformats.org/officeDocument/2006/relationships/hyperlink" Target="http://undocs.org/ru/HRI/MC/2014/3" TargetMode="External"/><Relationship Id="rId60" Type="http://schemas.openxmlformats.org/officeDocument/2006/relationships/hyperlink" Target="http://undocs.org/ru/A/RES/68/268" TargetMode="External"/><Relationship Id="rId65" Type="http://schemas.openxmlformats.org/officeDocument/2006/relationships/hyperlink" Target="http://undocs.org/ru/A/RES/68/26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ru/A/RES/57/202" TargetMode="External"/><Relationship Id="rId22" Type="http://schemas.openxmlformats.org/officeDocument/2006/relationships/hyperlink" Target="http://undocs.org/A/RES/68/268" TargetMode="External"/><Relationship Id="rId27" Type="http://schemas.openxmlformats.org/officeDocument/2006/relationships/hyperlink" Target="http://undocs.org/ru/A/RES/68/268" TargetMode="External"/><Relationship Id="rId30" Type="http://schemas.openxmlformats.org/officeDocument/2006/relationships/hyperlink" Target="http://undocs.org/ru/A/RES/68/268" TargetMode="External"/><Relationship Id="rId35" Type="http://schemas.openxmlformats.org/officeDocument/2006/relationships/hyperlink" Target="http://undocs.org/ru/A/RES/68/268" TargetMode="External"/><Relationship Id="rId43" Type="http://schemas.openxmlformats.org/officeDocument/2006/relationships/hyperlink" Target="http://undocs.org/ru/A/RES/68/268" TargetMode="External"/><Relationship Id="rId48" Type="http://schemas.openxmlformats.org/officeDocument/2006/relationships/hyperlink" Target="http://undocs.org/ru/A/RES/68/268" TargetMode="External"/><Relationship Id="rId56" Type="http://schemas.openxmlformats.org/officeDocument/2006/relationships/hyperlink" Target="http://undocs.org/ru/A/RES/68/268" TargetMode="External"/><Relationship Id="rId64" Type="http://schemas.openxmlformats.org/officeDocument/2006/relationships/hyperlink" Target="http://undocs.org/ru/A/RES/68/268" TargetMode="External"/><Relationship Id="rId8" Type="http://schemas.openxmlformats.org/officeDocument/2006/relationships/header" Target="header2.xml"/><Relationship Id="rId51" Type="http://schemas.openxmlformats.org/officeDocument/2006/relationships/hyperlink" Target="http://undocs.org/ru/HRI/MC/2014/2"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undocs.org/ru/A/RES/68/268" TargetMode="External"/><Relationship Id="rId25" Type="http://schemas.openxmlformats.org/officeDocument/2006/relationships/hyperlink" Target="http://undocs.org/HRI/MC/2014/4" TargetMode="External"/><Relationship Id="rId33" Type="http://schemas.openxmlformats.org/officeDocument/2006/relationships/hyperlink" Target="http://undocs.org/ru/A/RES/68/268" TargetMode="External"/><Relationship Id="rId38" Type="http://schemas.openxmlformats.org/officeDocument/2006/relationships/hyperlink" Target="http://undocs.org/ru/A/RES/68/268" TargetMode="External"/><Relationship Id="rId46" Type="http://schemas.openxmlformats.org/officeDocument/2006/relationships/hyperlink" Target="http://undocs.org/ru/A/RES/68/268" TargetMode="External"/><Relationship Id="rId59" Type="http://schemas.openxmlformats.org/officeDocument/2006/relationships/hyperlink" Target="http://undocs.org/ru/A/RES/68/268" TargetMode="External"/><Relationship Id="rId67" Type="http://schemas.openxmlformats.org/officeDocument/2006/relationships/theme" Target="theme/theme1.xml"/><Relationship Id="rId20" Type="http://schemas.openxmlformats.org/officeDocument/2006/relationships/hyperlink" Target="http://undocs.org/ru/A/RES/68/268" TargetMode="External"/><Relationship Id="rId41" Type="http://schemas.openxmlformats.org/officeDocument/2006/relationships/hyperlink" Target="http://undocs.org/ru/A/RES/68/268" TargetMode="External"/><Relationship Id="rId54" Type="http://schemas.openxmlformats.org/officeDocument/2006/relationships/hyperlink" Target="http://undocs.org/ru/A/RES/68/268" TargetMode="External"/><Relationship Id="rId62" Type="http://schemas.openxmlformats.org/officeDocument/2006/relationships/hyperlink" Target="http://undocs.org/ru/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2</Pages>
  <Words>12737</Words>
  <Characters>72603</Characters>
  <Application>Microsoft Office Outlook</Application>
  <DocSecurity>4</DocSecurity>
  <Lines>605</Lines>
  <Paragraphs>170</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85170</CharactersWithSpaces>
  <SharedDoc>false</SharedDoc>
  <HLinks>
    <vt:vector size="312" baseType="variant">
      <vt:variant>
        <vt:i4>1048641</vt:i4>
      </vt:variant>
      <vt:variant>
        <vt:i4>153</vt:i4>
      </vt:variant>
      <vt:variant>
        <vt:i4>0</vt:i4>
      </vt:variant>
      <vt:variant>
        <vt:i4>5</vt:i4>
      </vt:variant>
      <vt:variant>
        <vt:lpwstr>http://undocs.org/ru/A/RES/68/268</vt:lpwstr>
      </vt:variant>
      <vt:variant>
        <vt:lpwstr/>
      </vt:variant>
      <vt:variant>
        <vt:i4>1048641</vt:i4>
      </vt:variant>
      <vt:variant>
        <vt:i4>150</vt:i4>
      </vt:variant>
      <vt:variant>
        <vt:i4>0</vt:i4>
      </vt:variant>
      <vt:variant>
        <vt:i4>5</vt:i4>
      </vt:variant>
      <vt:variant>
        <vt:lpwstr>http://undocs.org/ru/A/RES/68/268</vt:lpwstr>
      </vt:variant>
      <vt:variant>
        <vt:lpwstr/>
      </vt:variant>
      <vt:variant>
        <vt:i4>1376260</vt:i4>
      </vt:variant>
      <vt:variant>
        <vt:i4>147</vt:i4>
      </vt:variant>
      <vt:variant>
        <vt:i4>0</vt:i4>
      </vt:variant>
      <vt:variant>
        <vt:i4>5</vt:i4>
      </vt:variant>
      <vt:variant>
        <vt:lpwstr>http://undocs.org/ru/A/67/222</vt:lpwstr>
      </vt:variant>
      <vt:variant>
        <vt:lpwstr/>
      </vt:variant>
      <vt:variant>
        <vt:i4>1048641</vt:i4>
      </vt:variant>
      <vt:variant>
        <vt:i4>144</vt:i4>
      </vt:variant>
      <vt:variant>
        <vt:i4>0</vt:i4>
      </vt:variant>
      <vt:variant>
        <vt:i4>5</vt:i4>
      </vt:variant>
      <vt:variant>
        <vt:lpwstr>http://undocs.org/ru/A/RES/68/268</vt:lpwstr>
      </vt:variant>
      <vt:variant>
        <vt:lpwstr/>
      </vt:variant>
      <vt:variant>
        <vt:i4>1048641</vt:i4>
      </vt:variant>
      <vt:variant>
        <vt:i4>141</vt:i4>
      </vt:variant>
      <vt:variant>
        <vt:i4>0</vt:i4>
      </vt:variant>
      <vt:variant>
        <vt:i4>5</vt:i4>
      </vt:variant>
      <vt:variant>
        <vt:lpwstr>http://undocs.org/ru/A/RES/68/268</vt:lpwstr>
      </vt:variant>
      <vt:variant>
        <vt:lpwstr/>
      </vt:variant>
      <vt:variant>
        <vt:i4>1048641</vt:i4>
      </vt:variant>
      <vt:variant>
        <vt:i4>138</vt:i4>
      </vt:variant>
      <vt:variant>
        <vt:i4>0</vt:i4>
      </vt:variant>
      <vt:variant>
        <vt:i4>5</vt:i4>
      </vt:variant>
      <vt:variant>
        <vt:lpwstr>http://undocs.org/ru/A/RES/68/268</vt:lpwstr>
      </vt:variant>
      <vt:variant>
        <vt:lpwstr/>
      </vt:variant>
      <vt:variant>
        <vt:i4>1048641</vt:i4>
      </vt:variant>
      <vt:variant>
        <vt:i4>135</vt:i4>
      </vt:variant>
      <vt:variant>
        <vt:i4>0</vt:i4>
      </vt:variant>
      <vt:variant>
        <vt:i4>5</vt:i4>
      </vt:variant>
      <vt:variant>
        <vt:lpwstr>http://undocs.org/ru/A/RES/68/268</vt:lpwstr>
      </vt:variant>
      <vt:variant>
        <vt:lpwstr/>
      </vt:variant>
      <vt:variant>
        <vt:i4>1048641</vt:i4>
      </vt:variant>
      <vt:variant>
        <vt:i4>132</vt:i4>
      </vt:variant>
      <vt:variant>
        <vt:i4>0</vt:i4>
      </vt:variant>
      <vt:variant>
        <vt:i4>5</vt:i4>
      </vt:variant>
      <vt:variant>
        <vt:lpwstr>http://undocs.org/ru/A/RES/68/268</vt:lpwstr>
      </vt:variant>
      <vt:variant>
        <vt:lpwstr/>
      </vt:variant>
      <vt:variant>
        <vt:i4>1048641</vt:i4>
      </vt:variant>
      <vt:variant>
        <vt:i4>129</vt:i4>
      </vt:variant>
      <vt:variant>
        <vt:i4>0</vt:i4>
      </vt:variant>
      <vt:variant>
        <vt:i4>5</vt:i4>
      </vt:variant>
      <vt:variant>
        <vt:lpwstr>http://undocs.org/ru/A/RES/68/268</vt:lpwstr>
      </vt:variant>
      <vt:variant>
        <vt:lpwstr/>
      </vt:variant>
      <vt:variant>
        <vt:i4>1048641</vt:i4>
      </vt:variant>
      <vt:variant>
        <vt:i4>126</vt:i4>
      </vt:variant>
      <vt:variant>
        <vt:i4>0</vt:i4>
      </vt:variant>
      <vt:variant>
        <vt:i4>5</vt:i4>
      </vt:variant>
      <vt:variant>
        <vt:lpwstr>http://undocs.org/ru/A/RES/68/268</vt:lpwstr>
      </vt:variant>
      <vt:variant>
        <vt:lpwstr/>
      </vt:variant>
      <vt:variant>
        <vt:i4>1048641</vt:i4>
      </vt:variant>
      <vt:variant>
        <vt:i4>123</vt:i4>
      </vt:variant>
      <vt:variant>
        <vt:i4>0</vt:i4>
      </vt:variant>
      <vt:variant>
        <vt:i4>5</vt:i4>
      </vt:variant>
      <vt:variant>
        <vt:lpwstr>http://undocs.org/ru/A/RES/68/268</vt:lpwstr>
      </vt:variant>
      <vt:variant>
        <vt:lpwstr/>
      </vt:variant>
      <vt:variant>
        <vt:i4>1048641</vt:i4>
      </vt:variant>
      <vt:variant>
        <vt:i4>120</vt:i4>
      </vt:variant>
      <vt:variant>
        <vt:i4>0</vt:i4>
      </vt:variant>
      <vt:variant>
        <vt:i4>5</vt:i4>
      </vt:variant>
      <vt:variant>
        <vt:lpwstr>http://undocs.org/ru/A/RES/68/268</vt:lpwstr>
      </vt:variant>
      <vt:variant>
        <vt:lpwstr/>
      </vt:variant>
      <vt:variant>
        <vt:i4>2883644</vt:i4>
      </vt:variant>
      <vt:variant>
        <vt:i4>117</vt:i4>
      </vt:variant>
      <vt:variant>
        <vt:i4>0</vt:i4>
      </vt:variant>
      <vt:variant>
        <vt:i4>5</vt:i4>
      </vt:variant>
      <vt:variant>
        <vt:lpwstr>http://undocs.org/ru/HRI/MC/2014/4</vt:lpwstr>
      </vt:variant>
      <vt:variant>
        <vt:lpwstr/>
      </vt:variant>
      <vt:variant>
        <vt:i4>2818108</vt:i4>
      </vt:variant>
      <vt:variant>
        <vt:i4>114</vt:i4>
      </vt:variant>
      <vt:variant>
        <vt:i4>0</vt:i4>
      </vt:variant>
      <vt:variant>
        <vt:i4>5</vt:i4>
      </vt:variant>
      <vt:variant>
        <vt:lpwstr>http://undocs.org/ru/HRI/MC/2014/3</vt:lpwstr>
      </vt:variant>
      <vt:variant>
        <vt:lpwstr/>
      </vt:variant>
      <vt:variant>
        <vt:i4>2752572</vt:i4>
      </vt:variant>
      <vt:variant>
        <vt:i4>111</vt:i4>
      </vt:variant>
      <vt:variant>
        <vt:i4>0</vt:i4>
      </vt:variant>
      <vt:variant>
        <vt:i4>5</vt:i4>
      </vt:variant>
      <vt:variant>
        <vt:lpwstr>http://undocs.org/ru/HRI/MC/2014/2</vt:lpwstr>
      </vt:variant>
      <vt:variant>
        <vt:lpwstr/>
      </vt:variant>
      <vt:variant>
        <vt:i4>1048641</vt:i4>
      </vt:variant>
      <vt:variant>
        <vt:i4>108</vt:i4>
      </vt:variant>
      <vt:variant>
        <vt:i4>0</vt:i4>
      </vt:variant>
      <vt:variant>
        <vt:i4>5</vt:i4>
      </vt:variant>
      <vt:variant>
        <vt:lpwstr>http://undocs.org/ru/A/RES/68/268</vt:lpwstr>
      </vt:variant>
      <vt:variant>
        <vt:lpwstr/>
      </vt:variant>
      <vt:variant>
        <vt:i4>1048641</vt:i4>
      </vt:variant>
      <vt:variant>
        <vt:i4>105</vt:i4>
      </vt:variant>
      <vt:variant>
        <vt:i4>0</vt:i4>
      </vt:variant>
      <vt:variant>
        <vt:i4>5</vt:i4>
      </vt:variant>
      <vt:variant>
        <vt:lpwstr>http://undocs.org/ru/A/RES/68/268</vt:lpwstr>
      </vt:variant>
      <vt:variant>
        <vt:lpwstr/>
      </vt:variant>
      <vt:variant>
        <vt:i4>1048641</vt:i4>
      </vt:variant>
      <vt:variant>
        <vt:i4>102</vt:i4>
      </vt:variant>
      <vt:variant>
        <vt:i4>0</vt:i4>
      </vt:variant>
      <vt:variant>
        <vt:i4>5</vt:i4>
      </vt:variant>
      <vt:variant>
        <vt:lpwstr>http://undocs.org/ru/A/RES/68/268</vt:lpwstr>
      </vt:variant>
      <vt:variant>
        <vt:lpwstr/>
      </vt:variant>
      <vt:variant>
        <vt:i4>1048641</vt:i4>
      </vt:variant>
      <vt:variant>
        <vt:i4>99</vt:i4>
      </vt:variant>
      <vt:variant>
        <vt:i4>0</vt:i4>
      </vt:variant>
      <vt:variant>
        <vt:i4>5</vt:i4>
      </vt:variant>
      <vt:variant>
        <vt:lpwstr>http://undocs.org/ru/A/RES/68/268</vt:lpwstr>
      </vt:variant>
      <vt:variant>
        <vt:lpwstr/>
      </vt:variant>
      <vt:variant>
        <vt:i4>1048641</vt:i4>
      </vt:variant>
      <vt:variant>
        <vt:i4>96</vt:i4>
      </vt:variant>
      <vt:variant>
        <vt:i4>0</vt:i4>
      </vt:variant>
      <vt:variant>
        <vt:i4>5</vt:i4>
      </vt:variant>
      <vt:variant>
        <vt:lpwstr>http://undocs.org/ru/A/RES/68/268</vt:lpwstr>
      </vt:variant>
      <vt:variant>
        <vt:lpwstr/>
      </vt:variant>
      <vt:variant>
        <vt:i4>1376260</vt:i4>
      </vt:variant>
      <vt:variant>
        <vt:i4>93</vt:i4>
      </vt:variant>
      <vt:variant>
        <vt:i4>0</vt:i4>
      </vt:variant>
      <vt:variant>
        <vt:i4>5</vt:i4>
      </vt:variant>
      <vt:variant>
        <vt:lpwstr>http://undocs.org/ru/A/67/222</vt:lpwstr>
      </vt:variant>
      <vt:variant>
        <vt:lpwstr/>
      </vt:variant>
      <vt:variant>
        <vt:i4>1048641</vt:i4>
      </vt:variant>
      <vt:variant>
        <vt:i4>90</vt:i4>
      </vt:variant>
      <vt:variant>
        <vt:i4>0</vt:i4>
      </vt:variant>
      <vt:variant>
        <vt:i4>5</vt:i4>
      </vt:variant>
      <vt:variant>
        <vt:lpwstr>http://undocs.org/ru/A/RES/68/268</vt:lpwstr>
      </vt:variant>
      <vt:variant>
        <vt:lpwstr/>
      </vt:variant>
      <vt:variant>
        <vt:i4>1048641</vt:i4>
      </vt:variant>
      <vt:variant>
        <vt:i4>87</vt:i4>
      </vt:variant>
      <vt:variant>
        <vt:i4>0</vt:i4>
      </vt:variant>
      <vt:variant>
        <vt:i4>5</vt:i4>
      </vt:variant>
      <vt:variant>
        <vt:lpwstr>http://undocs.org/ru/A/RES/68/268</vt:lpwstr>
      </vt:variant>
      <vt:variant>
        <vt:lpwstr/>
      </vt:variant>
      <vt:variant>
        <vt:i4>1048641</vt:i4>
      </vt:variant>
      <vt:variant>
        <vt:i4>84</vt:i4>
      </vt:variant>
      <vt:variant>
        <vt:i4>0</vt:i4>
      </vt:variant>
      <vt:variant>
        <vt:i4>5</vt:i4>
      </vt:variant>
      <vt:variant>
        <vt:lpwstr>http://undocs.org/ru/A/RES/68/268</vt:lpwstr>
      </vt:variant>
      <vt:variant>
        <vt:lpwstr/>
      </vt:variant>
      <vt:variant>
        <vt:i4>1048641</vt:i4>
      </vt:variant>
      <vt:variant>
        <vt:i4>81</vt:i4>
      </vt:variant>
      <vt:variant>
        <vt:i4>0</vt:i4>
      </vt:variant>
      <vt:variant>
        <vt:i4>5</vt:i4>
      </vt:variant>
      <vt:variant>
        <vt:lpwstr>http://undocs.org/ru/A/RES/68/268</vt:lpwstr>
      </vt:variant>
      <vt:variant>
        <vt:lpwstr/>
      </vt:variant>
      <vt:variant>
        <vt:i4>2752572</vt:i4>
      </vt:variant>
      <vt:variant>
        <vt:i4>78</vt:i4>
      </vt:variant>
      <vt:variant>
        <vt:i4>0</vt:i4>
      </vt:variant>
      <vt:variant>
        <vt:i4>5</vt:i4>
      </vt:variant>
      <vt:variant>
        <vt:lpwstr>http://undocs.org/ru/HRI/MC/2014/2</vt:lpwstr>
      </vt:variant>
      <vt:variant>
        <vt:lpwstr/>
      </vt:variant>
      <vt:variant>
        <vt:i4>1048641</vt:i4>
      </vt:variant>
      <vt:variant>
        <vt:i4>75</vt:i4>
      </vt:variant>
      <vt:variant>
        <vt:i4>0</vt:i4>
      </vt:variant>
      <vt:variant>
        <vt:i4>5</vt:i4>
      </vt:variant>
      <vt:variant>
        <vt:lpwstr>http://undocs.org/ru/A/RES/68/268</vt:lpwstr>
      </vt:variant>
      <vt:variant>
        <vt:lpwstr/>
      </vt:variant>
      <vt:variant>
        <vt:i4>1048641</vt:i4>
      </vt:variant>
      <vt:variant>
        <vt:i4>72</vt:i4>
      </vt:variant>
      <vt:variant>
        <vt:i4>0</vt:i4>
      </vt:variant>
      <vt:variant>
        <vt:i4>5</vt:i4>
      </vt:variant>
      <vt:variant>
        <vt:lpwstr>http://undocs.org/ru/A/RES/68/268</vt:lpwstr>
      </vt:variant>
      <vt:variant>
        <vt:lpwstr/>
      </vt:variant>
      <vt:variant>
        <vt:i4>2818108</vt:i4>
      </vt:variant>
      <vt:variant>
        <vt:i4>69</vt:i4>
      </vt:variant>
      <vt:variant>
        <vt:i4>0</vt:i4>
      </vt:variant>
      <vt:variant>
        <vt:i4>5</vt:i4>
      </vt:variant>
      <vt:variant>
        <vt:lpwstr>http://undocs.org/ru/HRI/MC/2014/3</vt:lpwstr>
      </vt:variant>
      <vt:variant>
        <vt:lpwstr/>
      </vt:variant>
      <vt:variant>
        <vt:i4>2883644</vt:i4>
      </vt:variant>
      <vt:variant>
        <vt:i4>66</vt:i4>
      </vt:variant>
      <vt:variant>
        <vt:i4>0</vt:i4>
      </vt:variant>
      <vt:variant>
        <vt:i4>5</vt:i4>
      </vt:variant>
      <vt:variant>
        <vt:lpwstr>http://undocs.org/ru/HRI/MC/2014/4</vt:lpwstr>
      </vt:variant>
      <vt:variant>
        <vt:lpwstr/>
      </vt:variant>
      <vt:variant>
        <vt:i4>1048641</vt:i4>
      </vt:variant>
      <vt:variant>
        <vt:i4>63</vt:i4>
      </vt:variant>
      <vt:variant>
        <vt:i4>0</vt:i4>
      </vt:variant>
      <vt:variant>
        <vt:i4>5</vt:i4>
      </vt:variant>
      <vt:variant>
        <vt:lpwstr>http://undocs.org/ru/A/RES/68/268</vt:lpwstr>
      </vt:variant>
      <vt:variant>
        <vt:lpwstr/>
      </vt:variant>
      <vt:variant>
        <vt:i4>1114127</vt:i4>
      </vt:variant>
      <vt:variant>
        <vt:i4>60</vt:i4>
      </vt:variant>
      <vt:variant>
        <vt:i4>0</vt:i4>
      </vt:variant>
      <vt:variant>
        <vt:i4>5</vt:i4>
      </vt:variant>
      <vt:variant>
        <vt:lpwstr>http://undocs.org/ru/A/66/860</vt:lpwstr>
      </vt:variant>
      <vt:variant>
        <vt:lpwstr/>
      </vt:variant>
      <vt:variant>
        <vt:i4>1048641</vt:i4>
      </vt:variant>
      <vt:variant>
        <vt:i4>57</vt:i4>
      </vt:variant>
      <vt:variant>
        <vt:i4>0</vt:i4>
      </vt:variant>
      <vt:variant>
        <vt:i4>5</vt:i4>
      </vt:variant>
      <vt:variant>
        <vt:lpwstr>http://undocs.org/ru/A/RES/68/268</vt:lpwstr>
      </vt:variant>
      <vt:variant>
        <vt:lpwstr/>
      </vt:variant>
      <vt:variant>
        <vt:i4>2883644</vt:i4>
      </vt:variant>
      <vt:variant>
        <vt:i4>54</vt:i4>
      </vt:variant>
      <vt:variant>
        <vt:i4>0</vt:i4>
      </vt:variant>
      <vt:variant>
        <vt:i4>5</vt:i4>
      </vt:variant>
      <vt:variant>
        <vt:lpwstr>http://undocs.org/ru/HRI/MC/2014/4</vt:lpwstr>
      </vt:variant>
      <vt:variant>
        <vt:lpwstr/>
      </vt:variant>
      <vt:variant>
        <vt:i4>1048641</vt:i4>
      </vt:variant>
      <vt:variant>
        <vt:i4>51</vt:i4>
      </vt:variant>
      <vt:variant>
        <vt:i4>0</vt:i4>
      </vt:variant>
      <vt:variant>
        <vt:i4>5</vt:i4>
      </vt:variant>
      <vt:variant>
        <vt:lpwstr>http://undocs.org/ru/A/RES/68/268</vt:lpwstr>
      </vt:variant>
      <vt:variant>
        <vt:lpwstr/>
      </vt:variant>
      <vt:variant>
        <vt:i4>1048641</vt:i4>
      </vt:variant>
      <vt:variant>
        <vt:i4>48</vt:i4>
      </vt:variant>
      <vt:variant>
        <vt:i4>0</vt:i4>
      </vt:variant>
      <vt:variant>
        <vt:i4>5</vt:i4>
      </vt:variant>
      <vt:variant>
        <vt:lpwstr>http://undocs.org/ru/A/RES/68/268</vt:lpwstr>
      </vt:variant>
      <vt:variant>
        <vt:lpwstr/>
      </vt:variant>
      <vt:variant>
        <vt:i4>1048641</vt:i4>
      </vt:variant>
      <vt:variant>
        <vt:i4>45</vt:i4>
      </vt:variant>
      <vt:variant>
        <vt:i4>0</vt:i4>
      </vt:variant>
      <vt:variant>
        <vt:i4>5</vt:i4>
      </vt:variant>
      <vt:variant>
        <vt:lpwstr>http://undocs.org/ru/A/RES/68/268</vt:lpwstr>
      </vt:variant>
      <vt:variant>
        <vt:lpwstr/>
      </vt:variant>
      <vt:variant>
        <vt:i4>1048641</vt:i4>
      </vt:variant>
      <vt:variant>
        <vt:i4>42</vt:i4>
      </vt:variant>
      <vt:variant>
        <vt:i4>0</vt:i4>
      </vt:variant>
      <vt:variant>
        <vt:i4>5</vt:i4>
      </vt:variant>
      <vt:variant>
        <vt:lpwstr>http://undocs.org/ru/A/RES/68/268</vt:lpwstr>
      </vt:variant>
      <vt:variant>
        <vt:lpwstr/>
      </vt:variant>
      <vt:variant>
        <vt:i4>1048641</vt:i4>
      </vt:variant>
      <vt:variant>
        <vt:i4>39</vt:i4>
      </vt:variant>
      <vt:variant>
        <vt:i4>0</vt:i4>
      </vt:variant>
      <vt:variant>
        <vt:i4>5</vt:i4>
      </vt:variant>
      <vt:variant>
        <vt:lpwstr>http://undocs.org/ru/A/RES/68/268</vt:lpwstr>
      </vt:variant>
      <vt:variant>
        <vt:lpwstr/>
      </vt:variant>
      <vt:variant>
        <vt:i4>3801144</vt:i4>
      </vt:variant>
      <vt:variant>
        <vt:i4>36</vt:i4>
      </vt:variant>
      <vt:variant>
        <vt:i4>0</vt:i4>
      </vt:variant>
      <vt:variant>
        <vt:i4>5</vt:i4>
      </vt:variant>
      <vt:variant>
        <vt:lpwstr>http://undocs.org/A/68/334</vt:lpwstr>
      </vt:variant>
      <vt:variant>
        <vt:lpwstr/>
      </vt:variant>
      <vt:variant>
        <vt:i4>3670068</vt:i4>
      </vt:variant>
      <vt:variant>
        <vt:i4>33</vt:i4>
      </vt:variant>
      <vt:variant>
        <vt:i4>0</vt:i4>
      </vt:variant>
      <vt:variant>
        <vt:i4>5</vt:i4>
      </vt:variant>
      <vt:variant>
        <vt:lpwstr>http://undocs.org/HRI/MC/2014/4</vt:lpwstr>
      </vt:variant>
      <vt:variant>
        <vt:lpwstr/>
      </vt:variant>
      <vt:variant>
        <vt:i4>3670068</vt:i4>
      </vt:variant>
      <vt:variant>
        <vt:i4>30</vt:i4>
      </vt:variant>
      <vt:variant>
        <vt:i4>0</vt:i4>
      </vt:variant>
      <vt:variant>
        <vt:i4>5</vt:i4>
      </vt:variant>
      <vt:variant>
        <vt:lpwstr>http://undocs.org/HRI/MC/2014/3</vt:lpwstr>
      </vt:variant>
      <vt:variant>
        <vt:lpwstr/>
      </vt:variant>
      <vt:variant>
        <vt:i4>3670068</vt:i4>
      </vt:variant>
      <vt:variant>
        <vt:i4>27</vt:i4>
      </vt:variant>
      <vt:variant>
        <vt:i4>0</vt:i4>
      </vt:variant>
      <vt:variant>
        <vt:i4>5</vt:i4>
      </vt:variant>
      <vt:variant>
        <vt:lpwstr>http://undocs.org/HRI/MC/2014/2</vt:lpwstr>
      </vt:variant>
      <vt:variant>
        <vt:lpwstr/>
      </vt:variant>
      <vt:variant>
        <vt:i4>8192060</vt:i4>
      </vt:variant>
      <vt:variant>
        <vt:i4>24</vt:i4>
      </vt:variant>
      <vt:variant>
        <vt:i4>0</vt:i4>
      </vt:variant>
      <vt:variant>
        <vt:i4>5</vt:i4>
      </vt:variant>
      <vt:variant>
        <vt:lpwstr>http://undocs.org/A/RES/68/268</vt:lpwstr>
      </vt:variant>
      <vt:variant>
        <vt:lpwstr/>
      </vt:variant>
      <vt:variant>
        <vt:i4>3670068</vt:i4>
      </vt:variant>
      <vt:variant>
        <vt:i4>21</vt:i4>
      </vt:variant>
      <vt:variant>
        <vt:i4>0</vt:i4>
      </vt:variant>
      <vt:variant>
        <vt:i4>5</vt:i4>
      </vt:variant>
      <vt:variant>
        <vt:lpwstr>http://undocs.org/HRI/MC/2014/1</vt:lpwstr>
      </vt:variant>
      <vt:variant>
        <vt:lpwstr/>
      </vt:variant>
      <vt:variant>
        <vt:i4>1048641</vt:i4>
      </vt:variant>
      <vt:variant>
        <vt:i4>18</vt:i4>
      </vt:variant>
      <vt:variant>
        <vt:i4>0</vt:i4>
      </vt:variant>
      <vt:variant>
        <vt:i4>5</vt:i4>
      </vt:variant>
      <vt:variant>
        <vt:lpwstr>http://undocs.org/ru/A/RES/68/268</vt:lpwstr>
      </vt:variant>
      <vt:variant>
        <vt:lpwstr/>
      </vt:variant>
      <vt:variant>
        <vt:i4>1245251</vt:i4>
      </vt:variant>
      <vt:variant>
        <vt:i4>15</vt:i4>
      </vt:variant>
      <vt:variant>
        <vt:i4>0</vt:i4>
      </vt:variant>
      <vt:variant>
        <vt:i4>5</vt:i4>
      </vt:variant>
      <vt:variant>
        <vt:lpwstr>http://undocs.org/ru/A/RES/49/178</vt:lpwstr>
      </vt:variant>
      <vt:variant>
        <vt:lpwstr/>
      </vt:variant>
      <vt:variant>
        <vt:i4>1048641</vt:i4>
      </vt:variant>
      <vt:variant>
        <vt:i4>12</vt:i4>
      </vt:variant>
      <vt:variant>
        <vt:i4>0</vt:i4>
      </vt:variant>
      <vt:variant>
        <vt:i4>5</vt:i4>
      </vt:variant>
      <vt:variant>
        <vt:lpwstr>http://undocs.org/ru/A/RES/68/268</vt:lpwstr>
      </vt:variant>
      <vt:variant>
        <vt:lpwstr/>
      </vt:variant>
      <vt:variant>
        <vt:i4>1048641</vt:i4>
      </vt:variant>
      <vt:variant>
        <vt:i4>9</vt:i4>
      </vt:variant>
      <vt:variant>
        <vt:i4>0</vt:i4>
      </vt:variant>
      <vt:variant>
        <vt:i4>5</vt:i4>
      </vt:variant>
      <vt:variant>
        <vt:lpwstr>http://undocs.org/ru/A/RES/68/268</vt:lpwstr>
      </vt:variant>
      <vt:variant>
        <vt:lpwstr/>
      </vt:variant>
      <vt:variant>
        <vt:i4>1245251</vt:i4>
      </vt:variant>
      <vt:variant>
        <vt:i4>6</vt:i4>
      </vt:variant>
      <vt:variant>
        <vt:i4>0</vt:i4>
      </vt:variant>
      <vt:variant>
        <vt:i4>5</vt:i4>
      </vt:variant>
      <vt:variant>
        <vt:lpwstr>http://undocs.org/ru/A/RES/49/178</vt:lpwstr>
      </vt:variant>
      <vt:variant>
        <vt:lpwstr/>
      </vt:variant>
      <vt:variant>
        <vt:i4>1376334</vt:i4>
      </vt:variant>
      <vt:variant>
        <vt:i4>3</vt:i4>
      </vt:variant>
      <vt:variant>
        <vt:i4>0</vt:i4>
      </vt:variant>
      <vt:variant>
        <vt:i4>5</vt:i4>
      </vt:variant>
      <vt:variant>
        <vt:lpwstr>http://undocs.org/ru/A/RES/57/202</vt:lpwstr>
      </vt:variant>
      <vt:variant>
        <vt:lpwstr/>
      </vt:variant>
      <vt:variant>
        <vt:i4>1376334</vt:i4>
      </vt:variant>
      <vt:variant>
        <vt:i4>0</vt:i4>
      </vt:variant>
      <vt:variant>
        <vt:i4>0</vt:i4>
      </vt:variant>
      <vt:variant>
        <vt:i4>5</vt:i4>
      </vt:variant>
      <vt:variant>
        <vt:lpwstr>http://undocs.org/ru/A/RES/57/202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Natalia Korshunova</dc:creator>
  <cp:keywords/>
  <cp:lastModifiedBy>Front Desk</cp:lastModifiedBy>
  <cp:revision>6</cp:revision>
  <cp:lastPrinted>2014-09-10T15:45:00Z</cp:lastPrinted>
  <dcterms:created xsi:type="dcterms:W3CDTF">2014-09-10T15:37:00Z</dcterms:created>
  <dcterms:modified xsi:type="dcterms:W3CDTF">2014-09-10T15:54:00Z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1458942R</vt:lpwstr>
  </property>
  <property fmtid="{D5CDD505-2E9C-101B-9397-08002B2CF9AE}" pid="3" name="ODSRefJobNo">
    <vt:lpwstr>1449983R</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11 August 2014</vt:lpwstr>
  </property>
  <property fmtid="{D5CDD505-2E9C-101B-9397-08002B2CF9AE}" pid="8" name="Original">
    <vt:lpwstr>English</vt:lpwstr>
  </property>
  <property fmtid="{D5CDD505-2E9C-101B-9397-08002B2CF9AE}" pid="9" name="Release Date">
    <vt:lpwstr>050914</vt:lpwstr>
  </property>
  <property fmtid="{D5CDD505-2E9C-101B-9397-08002B2CF9AE}" pid="10" name="Symbol1">
    <vt:lpwstr>A/69/285*</vt:lpwstr>
  </property>
  <property fmtid="{D5CDD505-2E9C-101B-9397-08002B2CF9AE}" pid="11" name="Comment">
    <vt:lpwstr/>
  </property>
  <property fmtid="{D5CDD505-2E9C-101B-9397-08002B2CF9AE}" pid="12" name="DraftPages">
    <vt:lpwstr> 32</vt:lpwstr>
  </property>
  <property fmtid="{D5CDD505-2E9C-101B-9397-08002B2CF9AE}" pid="13" name="Operator">
    <vt:lpwstr>Korshunova/IG</vt:lpwstr>
  </property>
</Properties>
</file>