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724A7" w14:paraId="19BB6B8B" w14:textId="77777777">
        <w:trPr>
          <w:cantSplit/>
          <w:trHeight w:hRule="exact" w:val="851"/>
        </w:trPr>
        <w:tc>
          <w:tcPr>
            <w:tcW w:w="1276" w:type="dxa"/>
            <w:tcBorders>
              <w:bottom w:val="single" w:sz="4" w:space="0" w:color="auto"/>
            </w:tcBorders>
            <w:vAlign w:val="bottom"/>
          </w:tcPr>
          <w:p w14:paraId="161A4FA0" w14:textId="77777777" w:rsidR="003959C6" w:rsidRDefault="003959C6">
            <w:pPr>
              <w:spacing w:after="80"/>
            </w:pPr>
          </w:p>
        </w:tc>
        <w:tc>
          <w:tcPr>
            <w:tcW w:w="2268" w:type="dxa"/>
            <w:tcBorders>
              <w:bottom w:val="single" w:sz="4" w:space="0" w:color="auto"/>
            </w:tcBorders>
            <w:vAlign w:val="bottom"/>
          </w:tcPr>
          <w:p w14:paraId="0A6D68FF" w14:textId="77777777" w:rsidR="003959C6" w:rsidRDefault="009F23C6">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261B723" w14:textId="65A23C56" w:rsidR="003959C6" w:rsidRPr="00A353F9" w:rsidRDefault="00A353F9" w:rsidP="00A353F9">
            <w:pPr>
              <w:suppressAutoHyphens w:val="0"/>
              <w:jc w:val="right"/>
            </w:pPr>
            <w:r w:rsidRPr="00A353F9">
              <w:rPr>
                <w:sz w:val="40"/>
              </w:rPr>
              <w:t>CAT</w:t>
            </w:r>
            <w:r>
              <w:t>/C/SEN/5</w:t>
            </w:r>
          </w:p>
        </w:tc>
      </w:tr>
      <w:tr w:rsidR="004724A7" w14:paraId="0E1908B1" w14:textId="77777777">
        <w:trPr>
          <w:cantSplit/>
          <w:trHeight w:hRule="exact" w:val="2835"/>
        </w:trPr>
        <w:tc>
          <w:tcPr>
            <w:tcW w:w="1276" w:type="dxa"/>
            <w:tcBorders>
              <w:top w:val="single" w:sz="4" w:space="0" w:color="auto"/>
              <w:bottom w:val="single" w:sz="12" w:space="0" w:color="auto"/>
            </w:tcBorders>
          </w:tcPr>
          <w:p w14:paraId="46198551" w14:textId="77777777" w:rsidR="003959C6" w:rsidRDefault="009F23C6">
            <w:pPr>
              <w:spacing w:before="120"/>
              <w:jc w:val="center"/>
            </w:pPr>
            <w:r>
              <w:rPr>
                <w:noProof/>
                <w:lang w:val="en-GB" w:eastAsia="en-GB"/>
              </w:rPr>
              <w:drawing>
                <wp:inline distT="0" distB="0" distL="0" distR="0" wp14:anchorId="578959BE" wp14:editId="4B44AF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1C5BC0" w14:textId="77777777" w:rsidR="003959C6" w:rsidRDefault="009F23C6">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46F8C119" w14:textId="77777777" w:rsidR="003959C6" w:rsidRDefault="009F23C6">
            <w:pPr>
              <w:suppressAutoHyphens w:val="0"/>
              <w:spacing w:before="240" w:line="240" w:lineRule="exact"/>
            </w:pPr>
            <w:proofErr w:type="spellStart"/>
            <w:r>
              <w:t>Distr</w:t>
            </w:r>
            <w:proofErr w:type="spellEnd"/>
            <w:r>
              <w:t>. générale</w:t>
            </w:r>
          </w:p>
          <w:p w14:paraId="0721B302" w14:textId="029BA7BE" w:rsidR="00794E0E" w:rsidRDefault="002E0541">
            <w:pPr>
              <w:suppressAutoHyphens w:val="0"/>
            </w:pPr>
            <w:r>
              <w:t>16</w:t>
            </w:r>
            <w:r w:rsidR="00037019">
              <w:t xml:space="preserve"> décembre 2022</w:t>
            </w:r>
          </w:p>
          <w:p w14:paraId="7A6FFDFE" w14:textId="77777777" w:rsidR="009A3326" w:rsidRDefault="009A3326">
            <w:pPr>
              <w:suppressAutoHyphens w:val="0"/>
            </w:pPr>
          </w:p>
          <w:p w14:paraId="2A84FEA2" w14:textId="0A129D1A" w:rsidR="003959C6" w:rsidRDefault="009F23C6">
            <w:pPr>
              <w:suppressAutoHyphens w:val="0"/>
            </w:pPr>
            <w:r>
              <w:t>Original </w:t>
            </w:r>
            <w:r w:rsidR="00A73706">
              <w:t>:</w:t>
            </w:r>
            <w:r w:rsidR="00037019">
              <w:t xml:space="preserve"> français</w:t>
            </w:r>
          </w:p>
          <w:p w14:paraId="4B29651E" w14:textId="77777777" w:rsidR="003959C6" w:rsidRDefault="00037019">
            <w:pPr>
              <w:suppressAutoHyphens w:val="0"/>
            </w:pPr>
            <w:r>
              <w:t>Anglais, espagnol et français seulement</w:t>
            </w:r>
          </w:p>
        </w:tc>
      </w:tr>
    </w:tbl>
    <w:p w14:paraId="716F2B24" w14:textId="77777777" w:rsidR="003959C6" w:rsidRDefault="009F23C6">
      <w:pPr>
        <w:spacing w:before="120"/>
        <w:rPr>
          <w:b/>
          <w:sz w:val="24"/>
          <w:szCs w:val="24"/>
        </w:rPr>
      </w:pPr>
      <w:r>
        <w:rPr>
          <w:b/>
          <w:sz w:val="24"/>
          <w:szCs w:val="24"/>
        </w:rPr>
        <w:t>Comité contre la torture</w:t>
      </w:r>
    </w:p>
    <w:p w14:paraId="50D6F0CC" w14:textId="1235DFE0" w:rsidR="003959C6" w:rsidRPr="005A2872" w:rsidRDefault="009F23C6">
      <w:pPr>
        <w:pStyle w:val="HMG"/>
      </w:pPr>
      <w:r>
        <w:tab/>
      </w:r>
      <w:r>
        <w:tab/>
        <w:t xml:space="preserve">Cinquième rapport périodique soumis par le Sénégal en application de l’article 19 de la Convention selon la </w:t>
      </w:r>
      <w:r w:rsidRPr="005A2872">
        <w:t xml:space="preserve">procédure </w:t>
      </w:r>
      <w:r w:rsidR="000B6E96" w:rsidRPr="005A2872">
        <w:t>simplifiée</w:t>
      </w:r>
      <w:r w:rsidRPr="005A2872">
        <w:t xml:space="preserve"> d’établissement des rapports, </w:t>
      </w:r>
      <w:r w:rsidRPr="005A2872">
        <w:rPr>
          <w:shd w:val="clear" w:color="auto" w:fill="FFFFFF"/>
        </w:rPr>
        <w:t>attendu en</w:t>
      </w:r>
      <w:r w:rsidRPr="005A2872">
        <w:t xml:space="preserve"> </w:t>
      </w:r>
      <w:r w:rsidR="005A2872" w:rsidRPr="005A2872">
        <w:t>2022</w:t>
      </w:r>
      <w:r w:rsidRPr="005A2872">
        <w:rPr>
          <w:rStyle w:val="Appelnotedebasdep"/>
          <w:b w:val="0"/>
          <w:iCs/>
          <w:sz w:val="20"/>
          <w:szCs w:val="28"/>
          <w:shd w:val="clear" w:color="auto" w:fill="FFFFFF"/>
          <w:vertAlign w:val="baseline"/>
        </w:rPr>
        <w:footnoteReference w:customMarkFollows="1" w:id="2"/>
        <w:t>*</w:t>
      </w:r>
    </w:p>
    <w:p w14:paraId="60E0B187" w14:textId="750B79E1" w:rsidR="003959C6" w:rsidRPr="005A2872" w:rsidRDefault="009F23C6">
      <w:pPr>
        <w:pStyle w:val="SingleTxtG"/>
        <w:jc w:val="right"/>
      </w:pPr>
      <w:r w:rsidRPr="005A2872">
        <w:t>[Date de réception</w:t>
      </w:r>
      <w:r w:rsidR="009A1AEE" w:rsidRPr="005A2872">
        <w:t> </w:t>
      </w:r>
      <w:r w:rsidRPr="005A2872">
        <w:t xml:space="preserve">: </w:t>
      </w:r>
      <w:r w:rsidR="005A2872" w:rsidRPr="005A2872">
        <w:t>24 juin 2022</w:t>
      </w:r>
      <w:r w:rsidRPr="005A2872">
        <w:t>]</w:t>
      </w:r>
    </w:p>
    <w:p w14:paraId="61D5862D" w14:textId="37DA3CB0" w:rsidR="005A2872" w:rsidRDefault="005A2872">
      <w:pPr>
        <w:suppressAutoHyphens w:val="0"/>
        <w:kinsoku/>
        <w:overflowPunct/>
        <w:autoSpaceDE/>
        <w:autoSpaceDN/>
        <w:adjustRightInd/>
        <w:snapToGrid/>
        <w:spacing w:after="200" w:line="276" w:lineRule="auto"/>
      </w:pPr>
      <w:r>
        <w:br w:type="page"/>
      </w:r>
    </w:p>
    <w:p w14:paraId="5099ABD8" w14:textId="11D7C728" w:rsidR="00146BDA" w:rsidRDefault="005926AE" w:rsidP="006D217C">
      <w:pPr>
        <w:pStyle w:val="HChG"/>
        <w:rPr>
          <w:lang w:val="fr-SN"/>
        </w:rPr>
      </w:pPr>
      <w:r>
        <w:rPr>
          <w:lang w:val="fr-SN"/>
        </w:rPr>
        <w:lastRenderedPageBreak/>
        <w:tab/>
      </w:r>
      <w:r>
        <w:rPr>
          <w:lang w:val="fr-SN"/>
        </w:rPr>
        <w:tab/>
      </w:r>
      <w:r w:rsidRPr="00D82F18">
        <w:rPr>
          <w:lang w:val="fr-SN"/>
        </w:rPr>
        <w:t>S</w:t>
      </w:r>
      <w:r w:rsidR="009A3326">
        <w:rPr>
          <w:lang w:val="fr-SN"/>
        </w:rPr>
        <w:t>igles et abréviations</w:t>
      </w:r>
    </w:p>
    <w:p w14:paraId="6279F9C0" w14:textId="70A4A56E" w:rsidR="00146BDA" w:rsidRPr="00AE223A" w:rsidRDefault="00146BDA" w:rsidP="006D217C">
      <w:pPr>
        <w:pStyle w:val="SingleTxtG"/>
        <w:jc w:val="left"/>
        <w:rPr>
          <w:color w:val="000000" w:themeColor="text1"/>
          <w:lang w:val="fr-SN"/>
        </w:rPr>
      </w:pPr>
      <w:r w:rsidRPr="006D217C">
        <w:rPr>
          <w:lang w:val="fr-SN"/>
        </w:rPr>
        <w:t xml:space="preserve">AEMO : </w:t>
      </w:r>
      <w:r w:rsidR="00AE223A">
        <w:rPr>
          <w:lang w:val="fr-SN"/>
        </w:rPr>
        <w:tab/>
      </w:r>
      <w:r w:rsidR="00AE223A">
        <w:rPr>
          <w:lang w:val="fr-SN"/>
        </w:rPr>
        <w:tab/>
      </w:r>
      <w:r w:rsidRPr="006D217C">
        <w:rPr>
          <w:lang w:val="fr-SN"/>
        </w:rPr>
        <w:t xml:space="preserve">Action Éducative en Milieu </w:t>
      </w:r>
      <w:r w:rsidRPr="00AE223A">
        <w:rPr>
          <w:color w:val="000000" w:themeColor="text1"/>
          <w:lang w:val="fr-SN"/>
        </w:rPr>
        <w:t xml:space="preserve">Ouvert </w:t>
      </w:r>
    </w:p>
    <w:p w14:paraId="7C6F1FC0" w14:textId="6CA15486" w:rsidR="00146BDA" w:rsidRPr="00AE223A" w:rsidRDefault="00146BDA" w:rsidP="006D217C">
      <w:pPr>
        <w:pStyle w:val="SingleTxtG"/>
        <w:jc w:val="left"/>
        <w:rPr>
          <w:color w:val="000000" w:themeColor="text1"/>
          <w:lang w:val="fr-SN"/>
        </w:rPr>
      </w:pPr>
      <w:r w:rsidRPr="00AE223A">
        <w:rPr>
          <w:rFonts w:eastAsia="Times New Roman"/>
          <w:color w:val="000000" w:themeColor="text1"/>
          <w:lang w:val="fr-FR"/>
        </w:rPr>
        <w:t>CAPE</w:t>
      </w:r>
      <w:r w:rsidRPr="00AE223A">
        <w:rPr>
          <w:color w:val="000000" w:themeColor="text1"/>
          <w:lang w:val="fr-SN"/>
        </w:rPr>
        <w:t xml:space="preserve"> : </w:t>
      </w:r>
      <w:r w:rsidR="00AE223A">
        <w:rPr>
          <w:color w:val="000000" w:themeColor="text1"/>
          <w:lang w:val="fr-SN"/>
        </w:rPr>
        <w:tab/>
      </w:r>
      <w:r w:rsidR="00AE223A">
        <w:rPr>
          <w:color w:val="000000" w:themeColor="text1"/>
          <w:lang w:val="fr-SN"/>
        </w:rPr>
        <w:tab/>
      </w:r>
      <w:r w:rsidRPr="00AE223A">
        <w:rPr>
          <w:color w:val="000000" w:themeColor="text1"/>
          <w:lang w:val="fr-SN"/>
        </w:rPr>
        <w:t xml:space="preserve">Cellule d’Appui pour la Protection de l’Enfance </w:t>
      </w:r>
    </w:p>
    <w:p w14:paraId="4E220342" w14:textId="6E1C8767" w:rsidR="00146BDA" w:rsidRPr="00AE223A" w:rsidRDefault="00146BDA" w:rsidP="006D217C">
      <w:pPr>
        <w:pStyle w:val="SingleTxtG"/>
        <w:jc w:val="left"/>
        <w:rPr>
          <w:color w:val="000000" w:themeColor="text1"/>
          <w:lang w:val="fr-FR"/>
        </w:rPr>
      </w:pPr>
      <w:r w:rsidRPr="00AE223A">
        <w:rPr>
          <w:color w:val="000000" w:themeColor="text1"/>
          <w:lang w:val="fr-FR"/>
        </w:rPr>
        <w:t xml:space="preserve">CAVE : </w:t>
      </w:r>
      <w:r w:rsidR="00AE223A">
        <w:rPr>
          <w:color w:val="000000" w:themeColor="text1"/>
          <w:lang w:val="fr-FR"/>
        </w:rPr>
        <w:tab/>
      </w:r>
      <w:r w:rsidR="00AE223A">
        <w:rPr>
          <w:color w:val="000000" w:themeColor="text1"/>
          <w:lang w:val="fr-FR"/>
        </w:rPr>
        <w:tab/>
      </w:r>
      <w:r w:rsidRPr="00AE223A">
        <w:rPr>
          <w:color w:val="000000" w:themeColor="text1"/>
          <w:lang w:val="fr-FR"/>
        </w:rPr>
        <w:t xml:space="preserve">Cellules d’Alerte et de Veille contre les Violences à l’École </w:t>
      </w:r>
    </w:p>
    <w:p w14:paraId="09E3D438" w14:textId="0DD4139B" w:rsidR="00146BDA" w:rsidRPr="00AE223A" w:rsidRDefault="00146BDA" w:rsidP="006D217C">
      <w:pPr>
        <w:pStyle w:val="SingleTxtG"/>
        <w:jc w:val="left"/>
        <w:rPr>
          <w:iCs/>
          <w:color w:val="000000" w:themeColor="text1"/>
          <w:lang w:val="fr-SN"/>
        </w:rPr>
      </w:pPr>
      <w:r w:rsidRPr="00AE223A">
        <w:rPr>
          <w:iCs/>
          <w:color w:val="000000" w:themeColor="text1"/>
          <w:lang w:val="fr-SN"/>
        </w:rPr>
        <w:t xml:space="preserve">CCA : </w:t>
      </w:r>
      <w:r w:rsidR="00AE223A">
        <w:rPr>
          <w:iCs/>
          <w:color w:val="000000" w:themeColor="text1"/>
          <w:lang w:val="fr-SN"/>
        </w:rPr>
        <w:tab/>
      </w:r>
      <w:r w:rsidR="00AE223A">
        <w:rPr>
          <w:iCs/>
          <w:color w:val="000000" w:themeColor="text1"/>
          <w:lang w:val="fr-SN"/>
        </w:rPr>
        <w:tab/>
      </w:r>
      <w:r w:rsidR="00AE223A">
        <w:rPr>
          <w:iCs/>
          <w:color w:val="000000" w:themeColor="text1"/>
          <w:lang w:val="fr-SN"/>
        </w:rPr>
        <w:tab/>
      </w:r>
      <w:r w:rsidRPr="00AE223A">
        <w:rPr>
          <w:iCs/>
          <w:color w:val="000000" w:themeColor="text1"/>
          <w:lang w:val="fr-SN"/>
        </w:rPr>
        <w:t>Centre Conseils Adolescents</w:t>
      </w:r>
    </w:p>
    <w:p w14:paraId="045128A3" w14:textId="0FA55C37" w:rsidR="00146BDA" w:rsidRPr="00AE223A" w:rsidRDefault="00146BDA" w:rsidP="006D217C">
      <w:pPr>
        <w:pStyle w:val="SingleTxtG"/>
        <w:jc w:val="left"/>
        <w:rPr>
          <w:color w:val="000000" w:themeColor="text1"/>
          <w:lang w:val="fr-SN"/>
        </w:rPr>
      </w:pPr>
      <w:r w:rsidRPr="00AE223A">
        <w:rPr>
          <w:color w:val="000000" w:themeColor="text1"/>
          <w:lang w:val="fr-FR"/>
        </w:rPr>
        <w:t xml:space="preserve">CCDG : </w:t>
      </w:r>
      <w:r w:rsidR="00AE223A">
        <w:rPr>
          <w:color w:val="000000" w:themeColor="text1"/>
          <w:lang w:val="fr-FR"/>
        </w:rPr>
        <w:tab/>
      </w:r>
      <w:r w:rsidR="00AE223A">
        <w:rPr>
          <w:color w:val="000000" w:themeColor="text1"/>
          <w:lang w:val="fr-FR"/>
        </w:rPr>
        <w:tab/>
      </w:r>
      <w:r w:rsidRPr="00AE223A">
        <w:rPr>
          <w:color w:val="000000" w:themeColor="text1"/>
          <w:lang w:val="fr-SN"/>
        </w:rPr>
        <w:t>Centre de la CEDEAO pour le Développement du Genre</w:t>
      </w:r>
    </w:p>
    <w:p w14:paraId="3890A2D9" w14:textId="55CF53F0" w:rsidR="00146BDA" w:rsidRPr="00AE223A" w:rsidRDefault="00146BDA" w:rsidP="00AE223A">
      <w:pPr>
        <w:pStyle w:val="SingleTxtG"/>
        <w:ind w:left="2835" w:hanging="1701"/>
        <w:jc w:val="left"/>
        <w:rPr>
          <w:rFonts w:eastAsia="Times New Roman"/>
          <w:color w:val="000000" w:themeColor="text1"/>
          <w:lang w:val="fr-SN"/>
        </w:rPr>
      </w:pPr>
      <w:r w:rsidRPr="00AE223A">
        <w:rPr>
          <w:rFonts w:eastAsia="Times New Roman"/>
          <w:color w:val="000000" w:themeColor="text1"/>
          <w:lang w:val="fr-SN"/>
        </w:rPr>
        <w:t xml:space="preserve">CCNDH-DIH : </w:t>
      </w:r>
      <w:r w:rsidR="00AE223A">
        <w:rPr>
          <w:rFonts w:eastAsia="Times New Roman"/>
          <w:color w:val="000000" w:themeColor="text1"/>
          <w:lang w:val="fr-SN"/>
        </w:rPr>
        <w:tab/>
      </w:r>
      <w:r w:rsidRPr="00AE223A">
        <w:rPr>
          <w:rFonts w:eastAsia="Times New Roman"/>
          <w:color w:val="000000" w:themeColor="text1"/>
          <w:lang w:val="fr-SN"/>
        </w:rPr>
        <w:t xml:space="preserve">Conseil Consultatif National des Droits de l’Homme et du Droit International Humanitaire </w:t>
      </w:r>
    </w:p>
    <w:p w14:paraId="1FC42A10" w14:textId="64D0AD22" w:rsidR="00146BDA" w:rsidRPr="00AE223A" w:rsidRDefault="00146BDA" w:rsidP="006D217C">
      <w:pPr>
        <w:pStyle w:val="SingleTxtG"/>
        <w:jc w:val="left"/>
        <w:rPr>
          <w:rFonts w:eastAsia="Times New Roman"/>
          <w:color w:val="000000" w:themeColor="text1"/>
          <w:lang w:val="fr-SN"/>
        </w:rPr>
      </w:pPr>
      <w:r w:rsidRPr="00AE223A">
        <w:rPr>
          <w:color w:val="000000" w:themeColor="text1"/>
        </w:rPr>
        <w:t xml:space="preserve">CDPE : </w:t>
      </w:r>
      <w:r w:rsidR="00AE223A">
        <w:rPr>
          <w:color w:val="000000" w:themeColor="text1"/>
        </w:rPr>
        <w:tab/>
      </w:r>
      <w:r w:rsidR="00AE223A">
        <w:rPr>
          <w:color w:val="000000" w:themeColor="text1"/>
        </w:rPr>
        <w:tab/>
      </w:r>
      <w:r w:rsidRPr="00AE223A">
        <w:rPr>
          <w:color w:val="000000" w:themeColor="text1"/>
        </w:rPr>
        <w:t xml:space="preserve">Comités départementaux de Protection de l’Enfant </w:t>
      </w:r>
    </w:p>
    <w:p w14:paraId="438E6960" w14:textId="437FE50E" w:rsidR="00146BDA" w:rsidRPr="00AE223A" w:rsidRDefault="00146BDA" w:rsidP="00AE223A">
      <w:pPr>
        <w:pStyle w:val="SingleTxtG"/>
        <w:ind w:left="2835" w:hanging="1701"/>
        <w:jc w:val="left"/>
        <w:rPr>
          <w:color w:val="000000" w:themeColor="text1"/>
          <w:lang w:val="fr-FR"/>
        </w:rPr>
      </w:pPr>
      <w:r w:rsidRPr="00AE223A">
        <w:rPr>
          <w:color w:val="000000" w:themeColor="text1"/>
          <w:lang w:val="fr-FR"/>
        </w:rPr>
        <w:t xml:space="preserve">CEDEF : </w:t>
      </w:r>
      <w:r w:rsidR="00AE223A">
        <w:rPr>
          <w:color w:val="000000" w:themeColor="text1"/>
          <w:lang w:val="fr-FR"/>
        </w:rPr>
        <w:tab/>
      </w:r>
      <w:r w:rsidR="00AE223A">
        <w:rPr>
          <w:color w:val="000000" w:themeColor="text1"/>
          <w:lang w:val="fr-FR"/>
        </w:rPr>
        <w:tab/>
      </w:r>
      <w:r w:rsidRPr="00AE223A">
        <w:rPr>
          <w:color w:val="000000" w:themeColor="text1"/>
          <w:lang w:val="fr-FR"/>
        </w:rPr>
        <w:t xml:space="preserve">Convention sur l’Élimination de toutes les formes de Discrimination </w:t>
      </w:r>
      <w:r w:rsidR="00AE223A">
        <w:rPr>
          <w:color w:val="000000" w:themeColor="text1"/>
          <w:lang w:val="fr-FR"/>
        </w:rPr>
        <w:br/>
      </w:r>
      <w:r w:rsidRPr="00AE223A">
        <w:rPr>
          <w:color w:val="000000" w:themeColor="text1"/>
          <w:lang w:val="fr-FR"/>
        </w:rPr>
        <w:t xml:space="preserve">à l’Égard des Femmes </w:t>
      </w:r>
    </w:p>
    <w:p w14:paraId="496D5F3E" w14:textId="1298FE6E" w:rsidR="00146BDA" w:rsidRPr="00AE223A" w:rsidRDefault="00146BDA" w:rsidP="006D217C">
      <w:pPr>
        <w:pStyle w:val="SingleTxtG"/>
        <w:jc w:val="left"/>
        <w:rPr>
          <w:color w:val="000000" w:themeColor="text1"/>
          <w:lang w:val="fr-SN"/>
        </w:rPr>
      </w:pPr>
      <w:r w:rsidRPr="00AE223A">
        <w:rPr>
          <w:color w:val="000000" w:themeColor="text1"/>
          <w:lang w:val="fr-SN"/>
        </w:rPr>
        <w:t xml:space="preserve">CFJ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lang w:val="fr-SN"/>
        </w:rPr>
        <w:t xml:space="preserve">Centre de Formation Judiciaire </w:t>
      </w:r>
    </w:p>
    <w:p w14:paraId="03EB9F6D" w14:textId="5BFD7CD6" w:rsidR="00146BDA" w:rsidRPr="00AE223A" w:rsidRDefault="00146BDA" w:rsidP="006D217C">
      <w:pPr>
        <w:pStyle w:val="SingleTxtG"/>
        <w:jc w:val="left"/>
        <w:rPr>
          <w:color w:val="000000" w:themeColor="text1"/>
          <w:lang w:val="fr-SN"/>
        </w:rPr>
      </w:pPr>
      <w:r w:rsidRPr="00AE223A">
        <w:rPr>
          <w:color w:val="000000" w:themeColor="text1"/>
          <w:lang w:val="fr-FR"/>
        </w:rPr>
        <w:t xml:space="preserve">CICR : </w:t>
      </w:r>
      <w:r w:rsidR="00AE223A">
        <w:rPr>
          <w:color w:val="000000" w:themeColor="text1"/>
          <w:lang w:val="fr-FR"/>
        </w:rPr>
        <w:tab/>
      </w:r>
      <w:r w:rsidR="00AE223A">
        <w:rPr>
          <w:color w:val="000000" w:themeColor="text1"/>
          <w:lang w:val="fr-FR"/>
        </w:rPr>
        <w:tab/>
      </w:r>
      <w:r w:rsidRPr="00AE223A">
        <w:rPr>
          <w:color w:val="000000" w:themeColor="text1"/>
          <w:lang w:val="fr-SN"/>
        </w:rPr>
        <w:t>Comité International de la Croix Rouge</w:t>
      </w:r>
    </w:p>
    <w:p w14:paraId="014FBA2B" w14:textId="0B91F6A5" w:rsidR="00146BDA" w:rsidRPr="00AE223A" w:rsidRDefault="00146BDA" w:rsidP="006D217C">
      <w:pPr>
        <w:pStyle w:val="SingleTxtG"/>
        <w:jc w:val="left"/>
        <w:rPr>
          <w:rFonts w:eastAsia="Times New Roman"/>
          <w:color w:val="000000" w:themeColor="text1"/>
          <w:lang w:val="fr-FR"/>
        </w:rPr>
      </w:pPr>
      <w:r w:rsidRPr="00AE223A">
        <w:rPr>
          <w:rFonts w:eastAsia="Times New Roman"/>
          <w:color w:val="000000" w:themeColor="text1"/>
          <w:lang w:val="fr-FR"/>
        </w:rPr>
        <w:t>CNDN</w:t>
      </w:r>
      <w:r w:rsidRPr="00AE223A">
        <w:rPr>
          <w:rFonts w:eastAsia="Times New Roman"/>
          <w:color w:val="000000" w:themeColor="text1"/>
          <w:lang w:val="fr-SN"/>
        </w:rPr>
        <w:t xml:space="preserve"> : </w:t>
      </w:r>
      <w:r w:rsidR="00AE223A">
        <w:rPr>
          <w:rFonts w:eastAsia="Times New Roman"/>
          <w:color w:val="000000" w:themeColor="text1"/>
          <w:lang w:val="fr-SN"/>
        </w:rPr>
        <w:tab/>
      </w:r>
      <w:r w:rsidR="00AE223A">
        <w:rPr>
          <w:rFonts w:eastAsia="Times New Roman"/>
          <w:color w:val="000000" w:themeColor="text1"/>
          <w:lang w:val="fr-SN"/>
        </w:rPr>
        <w:tab/>
      </w:r>
      <w:r w:rsidRPr="00AE223A">
        <w:rPr>
          <w:rFonts w:eastAsia="Times New Roman"/>
          <w:color w:val="000000" w:themeColor="text1"/>
          <w:lang w:val="fr-FR"/>
        </w:rPr>
        <w:t xml:space="preserve">Conseil National de Développement de la Nutrition </w:t>
      </w:r>
    </w:p>
    <w:p w14:paraId="6AA5C57B" w14:textId="2177A4C9" w:rsidR="00146BDA" w:rsidRPr="00AE223A" w:rsidRDefault="00146BDA" w:rsidP="00AE223A">
      <w:pPr>
        <w:pStyle w:val="SingleTxtG"/>
        <w:ind w:left="2835" w:hanging="1701"/>
        <w:jc w:val="left"/>
        <w:rPr>
          <w:color w:val="000000" w:themeColor="text1"/>
          <w:lang w:val="fr-SN"/>
        </w:rPr>
      </w:pPr>
      <w:r w:rsidRPr="00AE223A">
        <w:rPr>
          <w:color w:val="000000" w:themeColor="text1"/>
          <w:lang w:val="fr-FR"/>
        </w:rPr>
        <w:t>CNEFIG</w:t>
      </w:r>
      <w:r w:rsidRPr="00AE223A">
        <w:rPr>
          <w:color w:val="000000" w:themeColor="text1"/>
          <w:lang w:val="fr-SN"/>
        </w:rPr>
        <w:t xml:space="preserve"> : </w:t>
      </w:r>
      <w:r w:rsidR="00AE223A">
        <w:rPr>
          <w:color w:val="000000" w:themeColor="text1"/>
          <w:lang w:val="fr-SN"/>
        </w:rPr>
        <w:tab/>
      </w:r>
      <w:r w:rsidR="00AE223A">
        <w:rPr>
          <w:color w:val="000000" w:themeColor="text1"/>
          <w:lang w:val="fr-SN"/>
        </w:rPr>
        <w:tab/>
      </w:r>
      <w:r w:rsidRPr="00AE223A">
        <w:rPr>
          <w:color w:val="000000" w:themeColor="text1"/>
          <w:lang w:val="fr-SN"/>
        </w:rPr>
        <w:t xml:space="preserve">Centre National d’Entrainement des Forces d’Intervention </w:t>
      </w:r>
      <w:r w:rsidR="00AE223A">
        <w:rPr>
          <w:color w:val="000000" w:themeColor="text1"/>
          <w:lang w:val="fr-SN"/>
        </w:rPr>
        <w:br/>
      </w:r>
      <w:r w:rsidRPr="00AE223A">
        <w:rPr>
          <w:color w:val="000000" w:themeColor="text1"/>
          <w:lang w:val="fr-SN"/>
        </w:rPr>
        <w:t>de la Gendarmerie</w:t>
      </w:r>
    </w:p>
    <w:p w14:paraId="7495F2EC" w14:textId="5110CBEE" w:rsidR="00146BDA" w:rsidRPr="00AE223A" w:rsidRDefault="00146BDA" w:rsidP="006D217C">
      <w:pPr>
        <w:pStyle w:val="SingleTxtG"/>
        <w:jc w:val="left"/>
        <w:rPr>
          <w:color w:val="000000" w:themeColor="text1"/>
          <w:lang w:val="fr-SN"/>
        </w:rPr>
      </w:pPr>
      <w:r w:rsidRPr="00AE223A">
        <w:rPr>
          <w:color w:val="000000" w:themeColor="text1"/>
          <w:lang w:val="fr-SN"/>
        </w:rPr>
        <w:t xml:space="preserve">CNGRA : </w:t>
      </w:r>
      <w:r w:rsidR="00AE223A">
        <w:rPr>
          <w:color w:val="000000" w:themeColor="text1"/>
          <w:lang w:val="fr-SN"/>
        </w:rPr>
        <w:tab/>
      </w:r>
      <w:r w:rsidR="00AE223A">
        <w:rPr>
          <w:color w:val="000000" w:themeColor="text1"/>
          <w:lang w:val="fr-SN"/>
        </w:rPr>
        <w:tab/>
      </w:r>
      <w:r w:rsidRPr="00AE223A">
        <w:rPr>
          <w:color w:val="000000" w:themeColor="text1"/>
          <w:lang w:val="fr-SN"/>
        </w:rPr>
        <w:t>Commission Nationale de Gestion des Réfugiés et Apatrides</w:t>
      </w:r>
    </w:p>
    <w:p w14:paraId="37953AFA" w14:textId="31D181F6" w:rsidR="00146BDA" w:rsidRPr="00AE223A" w:rsidRDefault="00146BDA" w:rsidP="006D217C">
      <w:pPr>
        <w:pStyle w:val="SingleTxtG"/>
        <w:jc w:val="left"/>
        <w:rPr>
          <w:color w:val="000000" w:themeColor="text1"/>
          <w:lang w:val="fr-SN"/>
        </w:rPr>
      </w:pPr>
      <w:r w:rsidRPr="00AE223A">
        <w:rPr>
          <w:color w:val="000000" w:themeColor="text1"/>
          <w:lang w:val="fr-SN"/>
        </w:rPr>
        <w:t xml:space="preserve">CNLTP : </w:t>
      </w:r>
      <w:r w:rsidR="00AE223A">
        <w:rPr>
          <w:color w:val="000000" w:themeColor="text1"/>
          <w:lang w:val="fr-SN"/>
        </w:rPr>
        <w:tab/>
      </w:r>
      <w:r w:rsidR="00AE223A">
        <w:rPr>
          <w:color w:val="000000" w:themeColor="text1"/>
          <w:lang w:val="fr-SN"/>
        </w:rPr>
        <w:tab/>
      </w:r>
      <w:r w:rsidRPr="00AE223A">
        <w:rPr>
          <w:color w:val="000000" w:themeColor="text1"/>
          <w:lang w:val="fr-SN"/>
        </w:rPr>
        <w:t xml:space="preserve">Comité National de Lutte contre la Traite des Personnes </w:t>
      </w:r>
    </w:p>
    <w:p w14:paraId="73044A61" w14:textId="72F7C229" w:rsidR="00146BDA" w:rsidRPr="00AE223A" w:rsidRDefault="00146BDA" w:rsidP="006D217C">
      <w:pPr>
        <w:pStyle w:val="SingleTxtG"/>
        <w:jc w:val="left"/>
        <w:rPr>
          <w:color w:val="000000" w:themeColor="text1"/>
          <w:lang w:val="fr-SN"/>
        </w:rPr>
      </w:pPr>
      <w:r w:rsidRPr="00AE223A">
        <w:rPr>
          <w:color w:val="000000" w:themeColor="text1"/>
          <w:lang w:val="fr-FR"/>
        </w:rPr>
        <w:t xml:space="preserve">CPP : </w:t>
      </w:r>
      <w:r w:rsidR="00AE223A">
        <w:rPr>
          <w:color w:val="000000" w:themeColor="text1"/>
          <w:lang w:val="fr-FR"/>
        </w:rPr>
        <w:tab/>
      </w:r>
      <w:r w:rsidR="00AE223A">
        <w:rPr>
          <w:color w:val="000000" w:themeColor="text1"/>
          <w:lang w:val="fr-FR"/>
        </w:rPr>
        <w:tab/>
      </w:r>
      <w:r w:rsidR="00AE223A">
        <w:rPr>
          <w:color w:val="000000" w:themeColor="text1"/>
          <w:lang w:val="fr-FR"/>
        </w:rPr>
        <w:tab/>
      </w:r>
      <w:r w:rsidRPr="00AE223A">
        <w:rPr>
          <w:color w:val="000000" w:themeColor="text1"/>
          <w:lang w:val="fr-FR"/>
        </w:rPr>
        <w:t>Code de Procédure Pénale</w:t>
      </w:r>
    </w:p>
    <w:p w14:paraId="06A668F9" w14:textId="3189FEC4" w:rsidR="00146BDA" w:rsidRPr="00AE223A" w:rsidRDefault="00146BDA" w:rsidP="006D217C">
      <w:pPr>
        <w:pStyle w:val="SingleTxtG"/>
        <w:jc w:val="left"/>
        <w:rPr>
          <w:color w:val="000000" w:themeColor="text1"/>
        </w:rPr>
      </w:pPr>
      <w:r w:rsidRPr="00AE223A">
        <w:rPr>
          <w:color w:val="000000" w:themeColor="text1"/>
        </w:rPr>
        <w:t xml:space="preserve">CQPE : </w:t>
      </w:r>
      <w:r w:rsidR="00AE223A">
        <w:rPr>
          <w:color w:val="000000" w:themeColor="text1"/>
        </w:rPr>
        <w:tab/>
      </w:r>
      <w:r w:rsidR="00AE223A">
        <w:rPr>
          <w:color w:val="000000" w:themeColor="text1"/>
        </w:rPr>
        <w:tab/>
      </w:r>
      <w:r w:rsidRPr="00AE223A">
        <w:rPr>
          <w:color w:val="000000" w:themeColor="text1"/>
        </w:rPr>
        <w:t xml:space="preserve">Comité de Quartier de Protection de l’Enfant </w:t>
      </w:r>
    </w:p>
    <w:p w14:paraId="3915C424" w14:textId="04C545AA" w:rsidR="00146BDA" w:rsidRPr="00AE223A" w:rsidRDefault="00146BDA" w:rsidP="006D217C">
      <w:pPr>
        <w:pStyle w:val="SingleTxtG"/>
        <w:jc w:val="left"/>
        <w:rPr>
          <w:rFonts w:eastAsia="Times New Roman"/>
          <w:color w:val="000000" w:themeColor="text1"/>
          <w:lang w:val="fr-SN"/>
        </w:rPr>
      </w:pPr>
      <w:r w:rsidRPr="00AE223A">
        <w:rPr>
          <w:rFonts w:eastAsia="Times New Roman"/>
          <w:color w:val="000000" w:themeColor="text1"/>
          <w:lang w:val="fr-SN"/>
        </w:rPr>
        <w:t xml:space="preserve">CSDH : </w:t>
      </w:r>
      <w:r w:rsidR="00AE223A">
        <w:rPr>
          <w:rFonts w:eastAsia="Times New Roman"/>
          <w:color w:val="000000" w:themeColor="text1"/>
          <w:lang w:val="fr-SN"/>
        </w:rPr>
        <w:tab/>
      </w:r>
      <w:r w:rsidR="00AE223A">
        <w:rPr>
          <w:rFonts w:eastAsia="Times New Roman"/>
          <w:color w:val="000000" w:themeColor="text1"/>
          <w:lang w:val="fr-SN"/>
        </w:rPr>
        <w:tab/>
      </w:r>
      <w:r w:rsidRPr="00AE223A">
        <w:rPr>
          <w:color w:val="000000" w:themeColor="text1"/>
          <w:lang w:val="fr-FR"/>
        </w:rPr>
        <w:t xml:space="preserve">Comité Sénégalais </w:t>
      </w:r>
      <w:r w:rsidRPr="00AE223A">
        <w:rPr>
          <w:rFonts w:eastAsia="Times New Roman"/>
          <w:color w:val="000000" w:themeColor="text1"/>
          <w:lang w:val="fr-SN"/>
        </w:rPr>
        <w:t xml:space="preserve">des Droits de l’Homme </w:t>
      </w:r>
    </w:p>
    <w:p w14:paraId="13126EF3" w14:textId="0125AD96" w:rsidR="00146BDA" w:rsidRPr="00AE223A" w:rsidRDefault="00146BDA" w:rsidP="006D217C">
      <w:pPr>
        <w:pStyle w:val="SingleTxtG"/>
        <w:jc w:val="left"/>
        <w:rPr>
          <w:color w:val="000000" w:themeColor="text1"/>
          <w:lang w:val="fr-SN"/>
        </w:rPr>
      </w:pPr>
      <w:r w:rsidRPr="00AE223A">
        <w:rPr>
          <w:color w:val="000000" w:themeColor="text1"/>
          <w:lang w:val="fr-SN"/>
        </w:rPr>
        <w:t xml:space="preserve">CSM : </w:t>
      </w:r>
      <w:r w:rsidR="00AE223A">
        <w:rPr>
          <w:color w:val="000000" w:themeColor="text1"/>
          <w:lang w:val="fr-SN"/>
        </w:rPr>
        <w:tab/>
      </w:r>
      <w:r w:rsidR="00AE223A">
        <w:rPr>
          <w:color w:val="000000" w:themeColor="text1"/>
          <w:lang w:val="fr-SN"/>
        </w:rPr>
        <w:tab/>
      </w:r>
      <w:r w:rsidRPr="00AE223A">
        <w:rPr>
          <w:color w:val="000000" w:themeColor="text1"/>
          <w:lang w:val="fr-SN"/>
        </w:rPr>
        <w:t>Conseil Supérieur de la Magistrature</w:t>
      </w:r>
    </w:p>
    <w:p w14:paraId="453719E6" w14:textId="5F1F93AD" w:rsidR="00146BDA" w:rsidRPr="00AE223A" w:rsidRDefault="00146BDA" w:rsidP="006D217C">
      <w:pPr>
        <w:pStyle w:val="SingleTxtG"/>
        <w:jc w:val="left"/>
        <w:rPr>
          <w:color w:val="000000" w:themeColor="text1"/>
          <w:lang w:val="fr-SN"/>
        </w:rPr>
      </w:pPr>
      <w:r w:rsidRPr="00AE223A">
        <w:rPr>
          <w:color w:val="000000" w:themeColor="text1"/>
          <w:lang w:val="fr-SN"/>
        </w:rPr>
        <w:t xml:space="preserve">CTE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lang w:val="fr-SN"/>
        </w:rPr>
        <w:t>Centre de Traitement Épidémiologiques</w:t>
      </w:r>
    </w:p>
    <w:p w14:paraId="6DE95A2E" w14:textId="5E1ED007" w:rsidR="00146BDA" w:rsidRPr="00AE223A" w:rsidRDefault="00146BDA" w:rsidP="006D217C">
      <w:pPr>
        <w:pStyle w:val="SingleTxtG"/>
        <w:jc w:val="left"/>
        <w:rPr>
          <w:color w:val="000000" w:themeColor="text1"/>
          <w:lang w:val="fr-SN"/>
        </w:rPr>
      </w:pPr>
      <w:r w:rsidRPr="00AE223A">
        <w:rPr>
          <w:color w:val="000000" w:themeColor="text1"/>
        </w:rPr>
        <w:t xml:space="preserve">CVPE : </w:t>
      </w:r>
      <w:r w:rsidR="00AE223A">
        <w:rPr>
          <w:color w:val="000000" w:themeColor="text1"/>
        </w:rPr>
        <w:tab/>
      </w:r>
      <w:r w:rsidR="00AE223A">
        <w:rPr>
          <w:color w:val="000000" w:themeColor="text1"/>
        </w:rPr>
        <w:tab/>
      </w:r>
      <w:r w:rsidRPr="00AE223A">
        <w:rPr>
          <w:color w:val="000000" w:themeColor="text1"/>
        </w:rPr>
        <w:t>Comité Villageois pour la Protection de l’enfant</w:t>
      </w:r>
    </w:p>
    <w:p w14:paraId="2C357772" w14:textId="7A9B9ACB" w:rsidR="00146BDA" w:rsidRPr="00AE223A" w:rsidRDefault="00146BDA" w:rsidP="006D217C">
      <w:pPr>
        <w:pStyle w:val="SingleTxtG"/>
        <w:jc w:val="left"/>
        <w:rPr>
          <w:color w:val="000000" w:themeColor="text1"/>
          <w:lang w:val="fr-SN"/>
        </w:rPr>
      </w:pPr>
      <w:r w:rsidRPr="00AE223A">
        <w:rPr>
          <w:color w:val="000000" w:themeColor="text1"/>
          <w:lang w:val="fr-SN"/>
        </w:rPr>
        <w:t xml:space="preserve">DAP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lang w:val="fr-SN"/>
        </w:rPr>
        <w:t xml:space="preserve">Direction de l’Administration Pénitentiaire </w:t>
      </w:r>
    </w:p>
    <w:p w14:paraId="1A341713" w14:textId="7538B64C" w:rsidR="00146BDA" w:rsidRPr="00AE223A" w:rsidRDefault="00146BDA" w:rsidP="006D217C">
      <w:pPr>
        <w:pStyle w:val="SingleTxtG"/>
        <w:jc w:val="left"/>
        <w:rPr>
          <w:color w:val="000000" w:themeColor="text1"/>
          <w:lang w:val="fr-SN"/>
        </w:rPr>
      </w:pPr>
      <w:r w:rsidRPr="00AE223A">
        <w:rPr>
          <w:color w:val="000000" w:themeColor="text1"/>
          <w:lang w:val="fr-SN"/>
        </w:rPr>
        <w:t xml:space="preserve">DDH : </w:t>
      </w:r>
      <w:r w:rsidR="00AE223A">
        <w:rPr>
          <w:color w:val="000000" w:themeColor="text1"/>
          <w:lang w:val="fr-SN"/>
        </w:rPr>
        <w:tab/>
      </w:r>
      <w:r w:rsidR="00AE223A">
        <w:rPr>
          <w:color w:val="000000" w:themeColor="text1"/>
          <w:lang w:val="fr-SN"/>
        </w:rPr>
        <w:tab/>
      </w:r>
      <w:r w:rsidRPr="00AE223A">
        <w:rPr>
          <w:color w:val="000000" w:themeColor="text1"/>
          <w:lang w:val="fr-SN"/>
        </w:rPr>
        <w:t xml:space="preserve">Direction des Droits de l’Humain </w:t>
      </w:r>
    </w:p>
    <w:p w14:paraId="5B65F264" w14:textId="0CEBF6A8" w:rsidR="00146BDA" w:rsidRPr="00AE223A" w:rsidRDefault="00146BDA" w:rsidP="006D217C">
      <w:pPr>
        <w:pStyle w:val="SingleTxtG"/>
        <w:jc w:val="left"/>
        <w:rPr>
          <w:color w:val="000000" w:themeColor="text1"/>
          <w:lang w:val="fr-SN"/>
        </w:rPr>
      </w:pPr>
      <w:r w:rsidRPr="00AE223A">
        <w:rPr>
          <w:color w:val="000000" w:themeColor="text1"/>
          <w:lang w:val="fr-FR"/>
        </w:rPr>
        <w:t xml:space="preserve">DER : </w:t>
      </w:r>
      <w:r w:rsidR="00AE223A">
        <w:rPr>
          <w:color w:val="000000" w:themeColor="text1"/>
          <w:lang w:val="fr-FR"/>
        </w:rPr>
        <w:tab/>
      </w:r>
      <w:r w:rsidR="00AE223A">
        <w:rPr>
          <w:color w:val="000000" w:themeColor="text1"/>
          <w:lang w:val="fr-FR"/>
        </w:rPr>
        <w:tab/>
      </w:r>
      <w:r w:rsidR="00AE223A">
        <w:rPr>
          <w:color w:val="000000" w:themeColor="text1"/>
          <w:lang w:val="fr-FR"/>
        </w:rPr>
        <w:tab/>
      </w:r>
      <w:r w:rsidRPr="00AE223A">
        <w:rPr>
          <w:color w:val="000000" w:themeColor="text1"/>
          <w:lang w:val="fr-FR"/>
        </w:rPr>
        <w:t xml:space="preserve">Délégation générale à l’Entreprenariat Rapide </w:t>
      </w:r>
    </w:p>
    <w:p w14:paraId="7110D2E6" w14:textId="2EFF22EF" w:rsidR="00146BDA" w:rsidRPr="00AE223A" w:rsidRDefault="00146BDA" w:rsidP="006D217C">
      <w:pPr>
        <w:pStyle w:val="SingleTxtG"/>
        <w:jc w:val="left"/>
        <w:rPr>
          <w:color w:val="000000" w:themeColor="text1"/>
          <w:lang w:val="fr-SN"/>
        </w:rPr>
      </w:pPr>
      <w:r w:rsidRPr="00AE223A">
        <w:rPr>
          <w:color w:val="000000" w:themeColor="text1"/>
          <w:lang w:val="fr-SN"/>
        </w:rPr>
        <w:t xml:space="preserve">DESPS : </w:t>
      </w:r>
      <w:r w:rsidR="00AE223A">
        <w:rPr>
          <w:color w:val="000000" w:themeColor="text1"/>
          <w:lang w:val="fr-SN"/>
        </w:rPr>
        <w:tab/>
      </w:r>
      <w:r w:rsidR="00AE223A">
        <w:rPr>
          <w:color w:val="000000" w:themeColor="text1"/>
          <w:lang w:val="fr-SN"/>
        </w:rPr>
        <w:tab/>
      </w:r>
      <w:r w:rsidRPr="00AE223A">
        <w:rPr>
          <w:color w:val="000000" w:themeColor="text1"/>
          <w:lang w:val="fr-SN"/>
        </w:rPr>
        <w:t xml:space="preserve">Direction de l’Éducation Surveillée et de la Protection Sociale </w:t>
      </w:r>
    </w:p>
    <w:p w14:paraId="2D77A2F7" w14:textId="61CD8D00" w:rsidR="00146BDA" w:rsidRPr="00AE223A" w:rsidRDefault="00146BDA" w:rsidP="006D217C">
      <w:pPr>
        <w:pStyle w:val="SingleTxtG"/>
        <w:jc w:val="left"/>
        <w:rPr>
          <w:iCs/>
          <w:color w:val="000000" w:themeColor="text1"/>
          <w:lang w:val="fr-FR"/>
        </w:rPr>
      </w:pPr>
      <w:r w:rsidRPr="00AE223A">
        <w:rPr>
          <w:iCs/>
          <w:color w:val="000000" w:themeColor="text1"/>
          <w:lang w:val="fr-FR"/>
        </w:rPr>
        <w:t xml:space="preserve">DIH : </w:t>
      </w:r>
      <w:r w:rsidR="00AE223A">
        <w:rPr>
          <w:iCs/>
          <w:color w:val="000000" w:themeColor="text1"/>
          <w:lang w:val="fr-FR"/>
        </w:rPr>
        <w:tab/>
      </w:r>
      <w:r w:rsidR="00AE223A">
        <w:rPr>
          <w:iCs/>
          <w:color w:val="000000" w:themeColor="text1"/>
          <w:lang w:val="fr-FR"/>
        </w:rPr>
        <w:tab/>
      </w:r>
      <w:r w:rsidR="00AE223A">
        <w:rPr>
          <w:iCs/>
          <w:color w:val="000000" w:themeColor="text1"/>
          <w:lang w:val="fr-FR"/>
        </w:rPr>
        <w:tab/>
      </w:r>
      <w:r w:rsidRPr="00AE223A">
        <w:rPr>
          <w:iCs/>
          <w:color w:val="000000" w:themeColor="text1"/>
          <w:lang w:val="fr-FR"/>
        </w:rPr>
        <w:t>Droit International Humanitaire</w:t>
      </w:r>
    </w:p>
    <w:p w14:paraId="61B3964D" w14:textId="1A251EC2" w:rsidR="00146BDA" w:rsidRPr="00AE223A" w:rsidRDefault="00146BDA" w:rsidP="006D217C">
      <w:pPr>
        <w:pStyle w:val="SingleTxtG"/>
        <w:jc w:val="left"/>
        <w:rPr>
          <w:color w:val="000000" w:themeColor="text1"/>
          <w:lang w:val="fr-SN"/>
        </w:rPr>
      </w:pPr>
      <w:r w:rsidRPr="00AE223A">
        <w:rPr>
          <w:iCs/>
          <w:color w:val="000000" w:themeColor="text1"/>
          <w:lang w:val="fr-SN"/>
        </w:rPr>
        <w:t xml:space="preserve">DPRE : </w:t>
      </w:r>
      <w:r w:rsidR="00AE223A">
        <w:rPr>
          <w:iCs/>
          <w:color w:val="000000" w:themeColor="text1"/>
          <w:lang w:val="fr-SN"/>
        </w:rPr>
        <w:tab/>
      </w:r>
      <w:r w:rsidR="00AE223A">
        <w:rPr>
          <w:iCs/>
          <w:color w:val="000000" w:themeColor="text1"/>
          <w:lang w:val="fr-SN"/>
        </w:rPr>
        <w:tab/>
      </w:r>
      <w:r w:rsidRPr="00AE223A">
        <w:rPr>
          <w:iCs/>
          <w:color w:val="000000" w:themeColor="text1"/>
          <w:lang w:val="fr-SN"/>
        </w:rPr>
        <w:t xml:space="preserve">Direction de la Planification et la Réforme de l’Éducation </w:t>
      </w:r>
    </w:p>
    <w:p w14:paraId="4199E722" w14:textId="22481E84" w:rsidR="00146BDA" w:rsidRPr="00AE223A" w:rsidRDefault="00146BDA" w:rsidP="00AE223A">
      <w:pPr>
        <w:pStyle w:val="SingleTxtG"/>
        <w:ind w:left="2835" w:hanging="1701"/>
        <w:jc w:val="left"/>
        <w:rPr>
          <w:rFonts w:eastAsia="Times New Roman"/>
          <w:color w:val="000000" w:themeColor="text1"/>
          <w:lang w:val="fr-SN"/>
        </w:rPr>
      </w:pPr>
      <w:r w:rsidRPr="00AE223A">
        <w:rPr>
          <w:rFonts w:eastAsia="Times New Roman"/>
          <w:color w:val="000000" w:themeColor="text1"/>
          <w:lang w:val="fr-FR"/>
        </w:rPr>
        <w:t xml:space="preserve">DSPSESD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 xml:space="preserve">Dispositif Spécial de Protection Sociale des Enfants </w:t>
      </w:r>
      <w:r w:rsidR="00AE223A">
        <w:rPr>
          <w:rFonts w:eastAsia="Times New Roman"/>
          <w:color w:val="000000" w:themeColor="text1"/>
          <w:lang w:val="fr-FR"/>
        </w:rPr>
        <w:br/>
      </w:r>
      <w:r w:rsidRPr="00AE223A">
        <w:rPr>
          <w:rFonts w:eastAsia="Times New Roman"/>
          <w:color w:val="000000" w:themeColor="text1"/>
          <w:lang w:val="fr-FR"/>
        </w:rPr>
        <w:t xml:space="preserve">en Situation Difficile </w:t>
      </w:r>
    </w:p>
    <w:p w14:paraId="4844D10D" w14:textId="55642E70" w:rsidR="00146BDA" w:rsidRPr="00AE223A" w:rsidRDefault="00146BDA" w:rsidP="006D217C">
      <w:pPr>
        <w:pStyle w:val="SingleTxtG"/>
        <w:jc w:val="left"/>
        <w:rPr>
          <w:color w:val="000000" w:themeColor="text1"/>
          <w:lang w:val="fr-SN"/>
        </w:rPr>
      </w:pPr>
      <w:r w:rsidRPr="00AE223A">
        <w:rPr>
          <w:color w:val="000000" w:themeColor="text1"/>
          <w:lang w:val="fr-FR"/>
        </w:rPr>
        <w:t xml:space="preserve">FONGIP : </w:t>
      </w:r>
      <w:r w:rsidR="00AE223A">
        <w:rPr>
          <w:color w:val="000000" w:themeColor="text1"/>
          <w:lang w:val="fr-FR"/>
        </w:rPr>
        <w:tab/>
      </w:r>
      <w:r w:rsidR="00AE223A">
        <w:rPr>
          <w:color w:val="000000" w:themeColor="text1"/>
          <w:lang w:val="fr-FR"/>
        </w:rPr>
        <w:tab/>
      </w:r>
      <w:r w:rsidRPr="00AE223A">
        <w:rPr>
          <w:color w:val="000000" w:themeColor="text1"/>
          <w:lang w:val="fr-SN"/>
        </w:rPr>
        <w:t>Fond de Garantie des Investissements Prioritaires</w:t>
      </w:r>
    </w:p>
    <w:p w14:paraId="1314C76D" w14:textId="31D65EF4" w:rsidR="00146BDA" w:rsidRPr="00AE223A" w:rsidRDefault="00146BDA" w:rsidP="006D217C">
      <w:pPr>
        <w:pStyle w:val="SingleTxtG"/>
        <w:jc w:val="left"/>
        <w:rPr>
          <w:color w:val="000000" w:themeColor="text1"/>
          <w:lang w:val="fr-SN"/>
        </w:rPr>
      </w:pPr>
      <w:r w:rsidRPr="00AE223A">
        <w:rPr>
          <w:color w:val="000000" w:themeColor="text1"/>
          <w:lang w:val="fr-FR"/>
        </w:rPr>
        <w:t xml:space="preserve">FONSIS : </w:t>
      </w:r>
      <w:r w:rsidR="00AE223A">
        <w:rPr>
          <w:color w:val="000000" w:themeColor="text1"/>
          <w:lang w:val="fr-FR"/>
        </w:rPr>
        <w:tab/>
      </w:r>
      <w:r w:rsidR="00AE223A">
        <w:rPr>
          <w:color w:val="000000" w:themeColor="text1"/>
          <w:lang w:val="fr-FR"/>
        </w:rPr>
        <w:tab/>
      </w:r>
      <w:r w:rsidRPr="00AE223A">
        <w:rPr>
          <w:color w:val="000000" w:themeColor="text1"/>
          <w:lang w:val="fr-SN"/>
        </w:rPr>
        <w:t>Fonds Souverain d’Investissement Stratégique </w:t>
      </w:r>
    </w:p>
    <w:p w14:paraId="1F336310" w14:textId="3BD36171" w:rsidR="00146BDA" w:rsidRPr="00AE223A" w:rsidRDefault="00146BDA" w:rsidP="006D217C">
      <w:pPr>
        <w:pStyle w:val="SingleTxtG"/>
        <w:jc w:val="left"/>
        <w:rPr>
          <w:color w:val="000000" w:themeColor="text1"/>
        </w:rPr>
      </w:pPr>
      <w:r w:rsidRPr="00AE223A">
        <w:rPr>
          <w:iCs/>
          <w:color w:val="000000" w:themeColor="text1"/>
        </w:rPr>
        <w:t>IEF</w:t>
      </w:r>
      <w:r w:rsidRPr="00AE223A">
        <w:rPr>
          <w:color w:val="000000" w:themeColor="text1"/>
          <w:lang w:val="fr-SN"/>
        </w:rPr>
        <w:t xml:space="preserve">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iCs/>
          <w:color w:val="000000" w:themeColor="text1"/>
        </w:rPr>
        <w:t xml:space="preserve">Inspection de l’Éducation et de la Formation </w:t>
      </w:r>
    </w:p>
    <w:p w14:paraId="116C14B6" w14:textId="463F3945" w:rsidR="00146BDA" w:rsidRPr="00AE223A" w:rsidRDefault="00146BDA" w:rsidP="006D217C">
      <w:pPr>
        <w:pStyle w:val="SingleTxtG"/>
        <w:jc w:val="left"/>
        <w:rPr>
          <w:color w:val="000000" w:themeColor="text1"/>
          <w:lang w:val="fr-SN"/>
        </w:rPr>
      </w:pPr>
      <w:r w:rsidRPr="00AE223A">
        <w:rPr>
          <w:color w:val="000000" w:themeColor="text1"/>
          <w:lang w:val="fr-SN"/>
        </w:rPr>
        <w:t xml:space="preserve">MAC : </w:t>
      </w:r>
      <w:r w:rsidR="00AE223A">
        <w:rPr>
          <w:color w:val="000000" w:themeColor="text1"/>
          <w:lang w:val="fr-SN"/>
        </w:rPr>
        <w:tab/>
      </w:r>
      <w:r w:rsidR="00AE223A">
        <w:rPr>
          <w:color w:val="000000" w:themeColor="text1"/>
          <w:lang w:val="fr-SN"/>
        </w:rPr>
        <w:tab/>
      </w:r>
      <w:r w:rsidRPr="00AE223A">
        <w:rPr>
          <w:color w:val="000000" w:themeColor="text1"/>
          <w:lang w:val="fr-SN"/>
        </w:rPr>
        <w:t>Maison d’Arrêt et de Correction</w:t>
      </w:r>
    </w:p>
    <w:p w14:paraId="7A6350EC" w14:textId="3E18F69A" w:rsidR="00146BDA" w:rsidRPr="00AE223A" w:rsidRDefault="00146BDA" w:rsidP="006D217C">
      <w:pPr>
        <w:pStyle w:val="SingleTxtG"/>
        <w:jc w:val="left"/>
        <w:rPr>
          <w:color w:val="000000" w:themeColor="text1"/>
          <w:lang w:val="fr-SN"/>
        </w:rPr>
      </w:pPr>
      <w:r w:rsidRPr="00AE223A">
        <w:rPr>
          <w:iCs/>
          <w:color w:val="000000" w:themeColor="text1"/>
        </w:rPr>
        <w:t>MEN</w:t>
      </w:r>
      <w:r w:rsidRPr="00AE223A">
        <w:rPr>
          <w:iCs/>
          <w:color w:val="000000" w:themeColor="text1"/>
          <w:lang w:val="fr-SN"/>
        </w:rPr>
        <w:t xml:space="preserve"> : </w:t>
      </w:r>
      <w:r w:rsidR="00AE223A">
        <w:rPr>
          <w:iCs/>
          <w:color w:val="000000" w:themeColor="text1"/>
          <w:lang w:val="fr-SN"/>
        </w:rPr>
        <w:tab/>
      </w:r>
      <w:r w:rsidR="00AE223A">
        <w:rPr>
          <w:iCs/>
          <w:color w:val="000000" w:themeColor="text1"/>
          <w:lang w:val="fr-SN"/>
        </w:rPr>
        <w:tab/>
      </w:r>
      <w:r w:rsidRPr="00AE223A">
        <w:rPr>
          <w:iCs/>
          <w:color w:val="000000" w:themeColor="text1"/>
        </w:rPr>
        <w:t xml:space="preserve">Ministère de 1’Education Nationale </w:t>
      </w:r>
    </w:p>
    <w:p w14:paraId="4F246086" w14:textId="0589279B" w:rsidR="00146BDA" w:rsidRPr="00AE223A" w:rsidRDefault="00146BDA" w:rsidP="006D217C">
      <w:pPr>
        <w:pStyle w:val="SingleTxtG"/>
        <w:jc w:val="left"/>
        <w:rPr>
          <w:color w:val="000000" w:themeColor="text1"/>
          <w:lang w:val="fr-SN"/>
        </w:rPr>
      </w:pPr>
      <w:r w:rsidRPr="00AE223A">
        <w:rPr>
          <w:iCs/>
          <w:color w:val="000000" w:themeColor="text1"/>
          <w:lang w:val="fr-FR"/>
        </w:rPr>
        <w:t xml:space="preserve">MFDC : </w:t>
      </w:r>
      <w:r w:rsidR="00AE223A">
        <w:rPr>
          <w:iCs/>
          <w:color w:val="000000" w:themeColor="text1"/>
          <w:lang w:val="fr-FR"/>
        </w:rPr>
        <w:tab/>
      </w:r>
      <w:r w:rsidR="00AE223A">
        <w:rPr>
          <w:iCs/>
          <w:color w:val="000000" w:themeColor="text1"/>
          <w:lang w:val="fr-FR"/>
        </w:rPr>
        <w:tab/>
      </w:r>
      <w:r w:rsidRPr="00AE223A">
        <w:rPr>
          <w:color w:val="000000" w:themeColor="text1"/>
          <w:lang w:val="fr-SN"/>
        </w:rPr>
        <w:t>Mouvement des Forces Démocratiques de Casamance</w:t>
      </w:r>
    </w:p>
    <w:p w14:paraId="4197D902" w14:textId="7D068989" w:rsidR="00146BDA" w:rsidRPr="00AE223A" w:rsidRDefault="00146BDA" w:rsidP="006D217C">
      <w:pPr>
        <w:pStyle w:val="SingleTxtG"/>
        <w:jc w:val="left"/>
        <w:rPr>
          <w:color w:val="000000" w:themeColor="text1"/>
          <w:lang w:val="fr-SN"/>
        </w:rPr>
      </w:pPr>
      <w:r w:rsidRPr="00AE223A">
        <w:rPr>
          <w:color w:val="000000" w:themeColor="text1"/>
          <w:lang w:val="fr-FR"/>
        </w:rPr>
        <w:t xml:space="preserve">MGF : </w:t>
      </w:r>
      <w:r w:rsidR="00AE223A">
        <w:rPr>
          <w:color w:val="000000" w:themeColor="text1"/>
          <w:lang w:val="fr-FR"/>
        </w:rPr>
        <w:tab/>
      </w:r>
      <w:r w:rsidR="00AE223A">
        <w:rPr>
          <w:color w:val="000000" w:themeColor="text1"/>
          <w:lang w:val="fr-FR"/>
        </w:rPr>
        <w:tab/>
      </w:r>
      <w:r w:rsidRPr="00AE223A">
        <w:rPr>
          <w:color w:val="000000" w:themeColor="text1"/>
          <w:lang w:val="fr-FR"/>
        </w:rPr>
        <w:t>Mutilations Génitales féminines</w:t>
      </w:r>
    </w:p>
    <w:p w14:paraId="796D03E1" w14:textId="79FF9A03" w:rsidR="00146BDA" w:rsidRPr="00AE223A" w:rsidRDefault="00146BDA" w:rsidP="006D217C">
      <w:pPr>
        <w:pStyle w:val="SingleTxtG"/>
        <w:jc w:val="left"/>
        <w:rPr>
          <w:color w:val="000000" w:themeColor="text1"/>
          <w:lang w:val="fr-SN"/>
        </w:rPr>
      </w:pPr>
      <w:r w:rsidRPr="00AE223A">
        <w:rPr>
          <w:color w:val="000000" w:themeColor="text1"/>
        </w:rPr>
        <w:t xml:space="preserve">OCB : </w:t>
      </w:r>
      <w:r w:rsidR="00AE223A">
        <w:rPr>
          <w:color w:val="000000" w:themeColor="text1"/>
        </w:rPr>
        <w:tab/>
      </w:r>
      <w:r w:rsidR="00AE223A">
        <w:rPr>
          <w:color w:val="000000" w:themeColor="text1"/>
        </w:rPr>
        <w:tab/>
      </w:r>
      <w:r w:rsidR="00AE223A">
        <w:rPr>
          <w:color w:val="000000" w:themeColor="text1"/>
        </w:rPr>
        <w:tab/>
      </w:r>
      <w:r w:rsidRPr="00AE223A">
        <w:rPr>
          <w:color w:val="000000" w:themeColor="text1"/>
          <w:shd w:val="clear" w:color="auto" w:fill="FFFFFF"/>
          <w:lang w:val="fr-SN"/>
        </w:rPr>
        <w:t>Organisation Communautaire de Base </w:t>
      </w:r>
    </w:p>
    <w:p w14:paraId="663ACCFE" w14:textId="135291BE" w:rsidR="00146BDA" w:rsidRPr="00AE223A" w:rsidRDefault="00146BDA" w:rsidP="006D217C">
      <w:pPr>
        <w:pStyle w:val="SingleTxtG"/>
        <w:jc w:val="left"/>
        <w:rPr>
          <w:color w:val="000000" w:themeColor="text1"/>
        </w:rPr>
      </w:pPr>
      <w:r w:rsidRPr="00AE223A">
        <w:rPr>
          <w:color w:val="000000" w:themeColor="text1"/>
        </w:rPr>
        <w:lastRenderedPageBreak/>
        <w:t>OIH</w:t>
      </w:r>
      <w:r w:rsidRPr="00AE223A">
        <w:rPr>
          <w:color w:val="000000" w:themeColor="text1"/>
          <w:lang w:val="fr-SN"/>
        </w:rPr>
        <w:t xml:space="preserve">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rPr>
        <w:t xml:space="preserve">Outils d’Interventions Harmonisés </w:t>
      </w:r>
    </w:p>
    <w:p w14:paraId="78D708A8" w14:textId="6C290C88" w:rsidR="00146BDA" w:rsidRPr="00AE223A" w:rsidRDefault="00146BDA" w:rsidP="006D217C">
      <w:pPr>
        <w:pStyle w:val="SingleTxtG"/>
        <w:jc w:val="left"/>
        <w:rPr>
          <w:color w:val="000000" w:themeColor="text1"/>
          <w:lang w:val="fr-SN"/>
        </w:rPr>
      </w:pPr>
      <w:r w:rsidRPr="00AE223A">
        <w:rPr>
          <w:color w:val="000000" w:themeColor="text1"/>
          <w:lang w:val="fr-FR"/>
        </w:rPr>
        <w:t xml:space="preserve">OIT : </w:t>
      </w:r>
      <w:r w:rsidR="00AE223A">
        <w:rPr>
          <w:color w:val="000000" w:themeColor="text1"/>
          <w:lang w:val="fr-FR"/>
        </w:rPr>
        <w:tab/>
      </w:r>
      <w:r w:rsidR="00AE223A">
        <w:rPr>
          <w:color w:val="000000" w:themeColor="text1"/>
          <w:lang w:val="fr-FR"/>
        </w:rPr>
        <w:tab/>
      </w:r>
      <w:r w:rsidR="00AE223A">
        <w:rPr>
          <w:color w:val="000000" w:themeColor="text1"/>
          <w:lang w:val="fr-FR"/>
        </w:rPr>
        <w:tab/>
      </w:r>
      <w:r w:rsidRPr="00AE223A">
        <w:rPr>
          <w:color w:val="000000" w:themeColor="text1"/>
          <w:lang w:val="fr-FR"/>
        </w:rPr>
        <w:t xml:space="preserve">Organisation International du Travail </w:t>
      </w:r>
    </w:p>
    <w:p w14:paraId="6C7413CF" w14:textId="1651178F" w:rsidR="00146BDA" w:rsidRPr="00AE223A" w:rsidRDefault="00146BDA" w:rsidP="006D217C">
      <w:pPr>
        <w:pStyle w:val="SingleTxtG"/>
        <w:jc w:val="left"/>
        <w:rPr>
          <w:color w:val="000000" w:themeColor="text1"/>
          <w:lang w:val="fr-SN"/>
        </w:rPr>
      </w:pPr>
      <w:r w:rsidRPr="00AE223A">
        <w:rPr>
          <w:color w:val="000000" w:themeColor="text1"/>
          <w:lang w:val="fr-SN"/>
        </w:rPr>
        <w:t xml:space="preserve">ONLPL : </w:t>
      </w:r>
      <w:r w:rsidR="00AE223A">
        <w:rPr>
          <w:color w:val="000000" w:themeColor="text1"/>
          <w:lang w:val="fr-SN"/>
        </w:rPr>
        <w:tab/>
      </w:r>
      <w:r w:rsidR="00AE223A">
        <w:rPr>
          <w:color w:val="000000" w:themeColor="text1"/>
          <w:lang w:val="fr-SN"/>
        </w:rPr>
        <w:tab/>
      </w:r>
      <w:r w:rsidRPr="00AE223A">
        <w:rPr>
          <w:color w:val="000000" w:themeColor="text1"/>
          <w:lang w:val="fr-SN"/>
        </w:rPr>
        <w:t xml:space="preserve">Observateur National des Lieux de Privation de Liberté </w:t>
      </w:r>
    </w:p>
    <w:p w14:paraId="3C28D2ED" w14:textId="1BB35A49" w:rsidR="00146BDA" w:rsidRPr="00AE223A" w:rsidRDefault="00146BDA" w:rsidP="006D217C">
      <w:pPr>
        <w:pStyle w:val="SingleTxtG"/>
        <w:jc w:val="left"/>
        <w:rPr>
          <w:color w:val="000000" w:themeColor="text1"/>
          <w:lang w:val="fr-SN"/>
        </w:rPr>
      </w:pPr>
      <w:r w:rsidRPr="00AE223A">
        <w:rPr>
          <w:color w:val="000000" w:themeColor="text1"/>
        </w:rPr>
        <w:t xml:space="preserve">OPJ : </w:t>
      </w:r>
      <w:r w:rsidR="00AE223A">
        <w:rPr>
          <w:color w:val="000000" w:themeColor="text1"/>
        </w:rPr>
        <w:tab/>
      </w:r>
      <w:r w:rsidR="00AE223A">
        <w:rPr>
          <w:color w:val="000000" w:themeColor="text1"/>
        </w:rPr>
        <w:tab/>
      </w:r>
      <w:r w:rsidR="00AE223A">
        <w:rPr>
          <w:color w:val="000000" w:themeColor="text1"/>
        </w:rPr>
        <w:tab/>
      </w:r>
      <w:r w:rsidRPr="00AE223A">
        <w:rPr>
          <w:color w:val="000000" w:themeColor="text1"/>
        </w:rPr>
        <w:t xml:space="preserve">Officier de Police Judiciaire </w:t>
      </w:r>
    </w:p>
    <w:p w14:paraId="0530A924" w14:textId="4458C825" w:rsidR="00146BDA" w:rsidRPr="00AE223A" w:rsidRDefault="00146BDA" w:rsidP="006D217C">
      <w:pPr>
        <w:pStyle w:val="SingleTxtG"/>
        <w:jc w:val="left"/>
        <w:rPr>
          <w:color w:val="000000" w:themeColor="text1"/>
          <w:lang w:val="fr-SN"/>
        </w:rPr>
      </w:pPr>
      <w:r w:rsidRPr="00AE223A">
        <w:rPr>
          <w:color w:val="000000" w:themeColor="text1"/>
          <w:lang w:val="fr-SN"/>
        </w:rPr>
        <w:t xml:space="preserve">OVDS : </w:t>
      </w:r>
      <w:r w:rsidR="00AE223A">
        <w:rPr>
          <w:color w:val="000000" w:themeColor="text1"/>
          <w:lang w:val="fr-SN"/>
        </w:rPr>
        <w:tab/>
      </w:r>
      <w:r w:rsidR="00AE223A">
        <w:rPr>
          <w:color w:val="000000" w:themeColor="text1"/>
          <w:lang w:val="fr-SN"/>
        </w:rPr>
        <w:tab/>
      </w:r>
      <w:r w:rsidRPr="00AE223A">
        <w:rPr>
          <w:color w:val="000000" w:themeColor="text1"/>
          <w:lang w:val="fr-FR"/>
        </w:rPr>
        <w:t xml:space="preserve">Observatoires de la Vulnérabilité à la Déperdition Scolaire </w:t>
      </w:r>
    </w:p>
    <w:p w14:paraId="36D571CA" w14:textId="1940F368" w:rsidR="00146BDA" w:rsidRPr="00AE223A" w:rsidRDefault="00146BDA" w:rsidP="006D217C">
      <w:pPr>
        <w:pStyle w:val="SingleTxtG"/>
        <w:jc w:val="left"/>
        <w:rPr>
          <w:rFonts w:eastAsia="Times New Roman"/>
          <w:color w:val="000000" w:themeColor="text1"/>
          <w:lang w:val="fr-FR"/>
        </w:rPr>
      </w:pPr>
      <w:r w:rsidRPr="00AE223A">
        <w:rPr>
          <w:rFonts w:eastAsia="Times New Roman"/>
          <w:color w:val="000000" w:themeColor="text1"/>
          <w:lang w:val="fr-FR"/>
        </w:rPr>
        <w:t xml:space="preserve">PAMOD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 xml:space="preserve">Projet d’Appui à la Modernisation des </w:t>
      </w:r>
      <w:r w:rsidRPr="00AE223A">
        <w:rPr>
          <w:rFonts w:eastAsia="Times New Roman"/>
          <w:i/>
          <w:iCs/>
          <w:color w:val="000000" w:themeColor="text1"/>
          <w:lang w:val="fr-FR"/>
        </w:rPr>
        <w:t>Daaras</w:t>
      </w:r>
      <w:r w:rsidRPr="00AE223A">
        <w:rPr>
          <w:rFonts w:eastAsia="Times New Roman"/>
          <w:color w:val="000000" w:themeColor="text1"/>
          <w:lang w:val="fr-FR"/>
        </w:rPr>
        <w:t xml:space="preserve"> </w:t>
      </w:r>
    </w:p>
    <w:p w14:paraId="357B3690" w14:textId="403C303D" w:rsidR="00146BDA" w:rsidRPr="00AE223A" w:rsidRDefault="00146BDA" w:rsidP="006D217C">
      <w:pPr>
        <w:pStyle w:val="SingleTxtG"/>
        <w:jc w:val="left"/>
        <w:rPr>
          <w:color w:val="000000" w:themeColor="text1"/>
          <w:lang w:val="fr-SN"/>
        </w:rPr>
      </w:pPr>
      <w:r w:rsidRPr="00AE223A">
        <w:rPr>
          <w:color w:val="000000" w:themeColor="text1"/>
          <w:lang w:val="fr-FR"/>
        </w:rPr>
        <w:t>PANAF</w:t>
      </w:r>
      <w:r w:rsidRPr="00AE223A">
        <w:rPr>
          <w:color w:val="000000" w:themeColor="text1"/>
          <w:lang w:val="fr-SN"/>
        </w:rPr>
        <w:t xml:space="preserve"> : </w:t>
      </w:r>
      <w:r w:rsidR="00AE223A">
        <w:rPr>
          <w:color w:val="000000" w:themeColor="text1"/>
          <w:lang w:val="fr-SN"/>
        </w:rPr>
        <w:tab/>
      </w:r>
      <w:r w:rsidR="00AE223A">
        <w:rPr>
          <w:color w:val="000000" w:themeColor="text1"/>
          <w:lang w:val="fr-SN"/>
        </w:rPr>
        <w:tab/>
      </w:r>
      <w:r w:rsidRPr="00AE223A">
        <w:rPr>
          <w:color w:val="000000" w:themeColor="text1"/>
          <w:lang w:val="fr-FR"/>
        </w:rPr>
        <w:t xml:space="preserve">Plan d’Action National pour la Femme </w:t>
      </w:r>
    </w:p>
    <w:p w14:paraId="52E90688" w14:textId="15423AAC" w:rsidR="00146BDA" w:rsidRPr="00AE223A" w:rsidRDefault="00146BDA" w:rsidP="00AE223A">
      <w:pPr>
        <w:pStyle w:val="SingleTxtG"/>
        <w:ind w:left="2835" w:hanging="1701"/>
        <w:jc w:val="left"/>
        <w:rPr>
          <w:rFonts w:eastAsia="Times New Roman"/>
          <w:color w:val="000000" w:themeColor="text1"/>
          <w:lang w:val="fr-FR"/>
        </w:rPr>
      </w:pPr>
      <w:r w:rsidRPr="00AE223A">
        <w:rPr>
          <w:rFonts w:eastAsia="Times New Roman"/>
          <w:color w:val="000000" w:themeColor="text1"/>
          <w:lang w:val="fr-FR"/>
        </w:rPr>
        <w:t xml:space="preserve">PAQUET-EF : </w:t>
      </w:r>
      <w:r w:rsidR="00AE223A">
        <w:rPr>
          <w:rFonts w:eastAsia="Times New Roman"/>
          <w:color w:val="000000" w:themeColor="text1"/>
          <w:lang w:val="fr-FR"/>
        </w:rPr>
        <w:tab/>
      </w:r>
      <w:r w:rsidRPr="00AE223A">
        <w:rPr>
          <w:rFonts w:eastAsia="Times New Roman"/>
          <w:color w:val="000000" w:themeColor="text1"/>
          <w:lang w:val="fr-FR"/>
        </w:rPr>
        <w:t xml:space="preserve">Programme d’Amélioration de la Qualité, de l’Équité </w:t>
      </w:r>
      <w:r w:rsidR="00AE223A">
        <w:rPr>
          <w:rFonts w:eastAsia="Times New Roman"/>
          <w:color w:val="000000" w:themeColor="text1"/>
          <w:lang w:val="fr-FR"/>
        </w:rPr>
        <w:br/>
      </w:r>
      <w:r w:rsidRPr="00AE223A">
        <w:rPr>
          <w:rFonts w:eastAsia="Times New Roman"/>
          <w:color w:val="000000" w:themeColor="text1"/>
          <w:lang w:val="fr-FR"/>
        </w:rPr>
        <w:t xml:space="preserve">et de la Transparence dans le secteur de l’éducation et de la formation </w:t>
      </w:r>
    </w:p>
    <w:p w14:paraId="50AC6F8A" w14:textId="60AD2679" w:rsidR="00146BDA" w:rsidRPr="00AE223A" w:rsidRDefault="00146BDA" w:rsidP="006D217C">
      <w:pPr>
        <w:pStyle w:val="SingleTxtG"/>
        <w:jc w:val="left"/>
        <w:rPr>
          <w:color w:val="000000" w:themeColor="text1"/>
          <w:lang w:val="fr-SN"/>
        </w:rPr>
      </w:pPr>
      <w:r w:rsidRPr="00AE223A">
        <w:rPr>
          <w:color w:val="000000" w:themeColor="text1"/>
          <w:lang w:val="fr-FR"/>
        </w:rPr>
        <w:t xml:space="preserve">PIDESC : </w:t>
      </w:r>
      <w:r w:rsidR="00AE223A">
        <w:rPr>
          <w:color w:val="000000" w:themeColor="text1"/>
          <w:lang w:val="fr-FR"/>
        </w:rPr>
        <w:tab/>
      </w:r>
      <w:r w:rsidR="00AE223A">
        <w:rPr>
          <w:color w:val="000000" w:themeColor="text1"/>
          <w:lang w:val="fr-FR"/>
        </w:rPr>
        <w:tab/>
      </w:r>
      <w:r w:rsidRPr="00AE223A">
        <w:rPr>
          <w:color w:val="000000" w:themeColor="text1"/>
          <w:lang w:val="fr-FR"/>
        </w:rPr>
        <w:t xml:space="preserve">Pacte international relatif aux droits économiques, sociaux et culturels </w:t>
      </w:r>
    </w:p>
    <w:p w14:paraId="023FDCB3" w14:textId="7BF8FCEE" w:rsidR="00146BDA" w:rsidRPr="00AE223A" w:rsidRDefault="00146BDA" w:rsidP="00AE223A">
      <w:pPr>
        <w:pStyle w:val="SingleTxtG"/>
        <w:ind w:left="2835" w:hanging="1701"/>
        <w:jc w:val="left"/>
        <w:rPr>
          <w:color w:val="000000" w:themeColor="text1"/>
          <w:lang w:val="fr-SN"/>
        </w:rPr>
      </w:pPr>
      <w:r w:rsidRPr="00AE223A">
        <w:rPr>
          <w:rFonts w:eastAsia="Times New Roman"/>
          <w:color w:val="000000" w:themeColor="text1"/>
          <w:lang w:val="fr-FR"/>
        </w:rPr>
        <w:t xml:space="preserve">PIPADHS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 xml:space="preserve">Projet Investir dans les Premières Années </w:t>
      </w:r>
      <w:r w:rsidR="00AE223A">
        <w:rPr>
          <w:rFonts w:eastAsia="Times New Roman"/>
          <w:color w:val="000000" w:themeColor="text1"/>
          <w:lang w:val="fr-FR"/>
        </w:rPr>
        <w:br/>
      </w:r>
      <w:r w:rsidRPr="00AE223A">
        <w:rPr>
          <w:rFonts w:eastAsia="Times New Roman"/>
          <w:color w:val="000000" w:themeColor="text1"/>
          <w:lang w:val="fr-FR"/>
        </w:rPr>
        <w:t xml:space="preserve">pour le Développement Humain au Sénégal </w:t>
      </w:r>
    </w:p>
    <w:p w14:paraId="67027127" w14:textId="6015DAE3" w:rsidR="00146BDA" w:rsidRPr="00AE223A" w:rsidRDefault="00146BDA" w:rsidP="006D217C">
      <w:pPr>
        <w:pStyle w:val="SingleTxtG"/>
        <w:jc w:val="left"/>
        <w:rPr>
          <w:color w:val="000000" w:themeColor="text1"/>
          <w:lang w:val="fr-FR"/>
        </w:rPr>
      </w:pPr>
      <w:r w:rsidRPr="00AE223A">
        <w:rPr>
          <w:color w:val="000000" w:themeColor="text1"/>
          <w:lang w:val="fr-FR"/>
        </w:rPr>
        <w:t xml:space="preserve">PNUD : </w:t>
      </w:r>
      <w:r w:rsidR="00AE223A">
        <w:rPr>
          <w:color w:val="000000" w:themeColor="text1"/>
          <w:lang w:val="fr-FR"/>
        </w:rPr>
        <w:tab/>
      </w:r>
      <w:r w:rsidR="00AE223A">
        <w:rPr>
          <w:color w:val="000000" w:themeColor="text1"/>
          <w:lang w:val="fr-FR"/>
        </w:rPr>
        <w:tab/>
      </w:r>
      <w:r w:rsidRPr="00AE223A">
        <w:rPr>
          <w:color w:val="000000" w:themeColor="text1"/>
          <w:lang w:val="fr-FR"/>
        </w:rPr>
        <w:t>Programme des Nations Unies pour le Développement</w:t>
      </w:r>
    </w:p>
    <w:p w14:paraId="63BBD2DD" w14:textId="706F2180" w:rsidR="00146BDA" w:rsidRPr="00AE223A" w:rsidRDefault="00146BDA" w:rsidP="006D217C">
      <w:pPr>
        <w:pStyle w:val="SingleTxtG"/>
        <w:jc w:val="left"/>
        <w:rPr>
          <w:color w:val="000000" w:themeColor="text1"/>
          <w:lang w:val="fr-SN"/>
        </w:rPr>
      </w:pPr>
      <w:r w:rsidRPr="00AE223A">
        <w:rPr>
          <w:color w:val="000000" w:themeColor="text1"/>
          <w:lang w:val="fr-SN"/>
        </w:rPr>
        <w:t xml:space="preserve">PSD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lang w:val="fr-SN"/>
        </w:rPr>
        <w:t>Partenariat de Solution de Développement</w:t>
      </w:r>
    </w:p>
    <w:p w14:paraId="37955622" w14:textId="2D3F163E" w:rsidR="00146BDA" w:rsidRPr="00AE223A" w:rsidRDefault="00146BDA" w:rsidP="006D217C">
      <w:pPr>
        <w:pStyle w:val="SingleTxtG"/>
        <w:jc w:val="left"/>
        <w:rPr>
          <w:color w:val="000000" w:themeColor="text1"/>
          <w:lang w:val="fr-SN"/>
        </w:rPr>
      </w:pPr>
      <w:r w:rsidRPr="00AE223A">
        <w:rPr>
          <w:rFonts w:eastAsia="Times New Roman"/>
          <w:color w:val="000000" w:themeColor="text1"/>
          <w:lang w:val="fr-FR"/>
        </w:rPr>
        <w:t xml:space="preserve">PSMN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 xml:space="preserve">Plan Stratégique Multisectoriel de la Nutrition </w:t>
      </w:r>
    </w:p>
    <w:p w14:paraId="771614C4" w14:textId="767335A1" w:rsidR="00146BDA" w:rsidRPr="00AE223A" w:rsidRDefault="00146BDA" w:rsidP="006D217C">
      <w:pPr>
        <w:pStyle w:val="SingleTxtG"/>
        <w:jc w:val="left"/>
        <w:rPr>
          <w:rFonts w:eastAsia="Times New Roman"/>
          <w:color w:val="000000" w:themeColor="text1"/>
          <w:lang w:val="fr-FR"/>
        </w:rPr>
      </w:pPr>
      <w:r w:rsidRPr="00AE223A">
        <w:rPr>
          <w:rFonts w:eastAsia="Times New Roman"/>
          <w:color w:val="000000" w:themeColor="text1"/>
          <w:lang w:val="fr-FR"/>
        </w:rPr>
        <w:t xml:space="preserve">RAO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Réseau Afrique de l</w:t>
      </w:r>
      <w:r w:rsidR="00546497" w:rsidRPr="00AE223A">
        <w:rPr>
          <w:rFonts w:eastAsia="Times New Roman"/>
          <w:color w:val="000000" w:themeColor="text1"/>
          <w:lang w:val="fr-FR"/>
        </w:rPr>
        <w:t>’</w:t>
      </w:r>
      <w:r w:rsidRPr="00AE223A">
        <w:rPr>
          <w:rFonts w:eastAsia="Times New Roman"/>
          <w:color w:val="000000" w:themeColor="text1"/>
          <w:lang w:val="fr-FR"/>
        </w:rPr>
        <w:t>Ouest pour la protection des enfants</w:t>
      </w:r>
    </w:p>
    <w:p w14:paraId="252788CF" w14:textId="1C97408A" w:rsidR="00146BDA" w:rsidRPr="00AE223A" w:rsidRDefault="00146BDA" w:rsidP="006D217C">
      <w:pPr>
        <w:pStyle w:val="SingleTxtG"/>
        <w:jc w:val="left"/>
        <w:rPr>
          <w:rFonts w:eastAsia="Times New Roman"/>
          <w:color w:val="000000" w:themeColor="text1"/>
          <w:lang w:val="fr-FR"/>
        </w:rPr>
      </w:pPr>
      <w:r w:rsidRPr="00AE223A">
        <w:rPr>
          <w:rFonts w:eastAsia="Times New Roman"/>
          <w:color w:val="000000" w:themeColor="text1"/>
          <w:lang w:val="fr-FR"/>
        </w:rPr>
        <w:t xml:space="preserve">RAP : </w:t>
      </w:r>
      <w:r w:rsidR="00AE223A">
        <w:rPr>
          <w:rFonts w:eastAsia="Times New Roman"/>
          <w:color w:val="000000" w:themeColor="text1"/>
          <w:lang w:val="fr-FR"/>
        </w:rPr>
        <w:tab/>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Renforcement de l’Appui à la Protection des Enfants</w:t>
      </w:r>
    </w:p>
    <w:p w14:paraId="78B82C5C" w14:textId="5FEB2AF0" w:rsidR="00146BDA" w:rsidRPr="00AE223A" w:rsidRDefault="00146BDA" w:rsidP="006D217C">
      <w:pPr>
        <w:pStyle w:val="SingleTxtG"/>
        <w:jc w:val="left"/>
        <w:rPr>
          <w:color w:val="000000" w:themeColor="text1"/>
          <w:lang w:val="fr-FR"/>
        </w:rPr>
      </w:pPr>
      <w:r w:rsidRPr="00AE223A">
        <w:rPr>
          <w:color w:val="000000" w:themeColor="text1"/>
          <w:lang w:val="fr-FR"/>
        </w:rPr>
        <w:t xml:space="preserve">SGG : </w:t>
      </w:r>
      <w:r w:rsidR="00AE223A">
        <w:rPr>
          <w:color w:val="000000" w:themeColor="text1"/>
          <w:lang w:val="fr-FR"/>
        </w:rPr>
        <w:tab/>
      </w:r>
      <w:r w:rsidR="00AE223A">
        <w:rPr>
          <w:color w:val="000000" w:themeColor="text1"/>
          <w:lang w:val="fr-FR"/>
        </w:rPr>
        <w:tab/>
      </w:r>
      <w:r w:rsidR="00AE223A">
        <w:rPr>
          <w:color w:val="000000" w:themeColor="text1"/>
          <w:lang w:val="fr-FR"/>
        </w:rPr>
        <w:tab/>
      </w:r>
      <w:r w:rsidRPr="00AE223A">
        <w:rPr>
          <w:color w:val="000000" w:themeColor="text1"/>
          <w:lang w:val="fr-FR"/>
        </w:rPr>
        <w:t xml:space="preserve">Secrétariat Général du Gouvernement </w:t>
      </w:r>
    </w:p>
    <w:p w14:paraId="4C8ACA58" w14:textId="02585879" w:rsidR="00146BDA" w:rsidRPr="00AE223A" w:rsidRDefault="00146BDA" w:rsidP="006D217C">
      <w:pPr>
        <w:pStyle w:val="SingleTxtG"/>
        <w:jc w:val="left"/>
        <w:rPr>
          <w:color w:val="000000" w:themeColor="text1"/>
          <w:lang w:val="fr-SN"/>
        </w:rPr>
      </w:pPr>
      <w:r w:rsidRPr="00AE223A">
        <w:rPr>
          <w:color w:val="000000" w:themeColor="text1"/>
          <w:lang w:val="fr-FR"/>
        </w:rPr>
        <w:t xml:space="preserve">SNEEG : </w:t>
      </w:r>
      <w:r w:rsidR="00AE223A">
        <w:rPr>
          <w:color w:val="000000" w:themeColor="text1"/>
          <w:lang w:val="fr-FR"/>
        </w:rPr>
        <w:tab/>
      </w:r>
      <w:r w:rsidR="00AE223A">
        <w:rPr>
          <w:color w:val="000000" w:themeColor="text1"/>
          <w:lang w:val="fr-FR"/>
        </w:rPr>
        <w:tab/>
      </w:r>
      <w:r w:rsidRPr="00AE223A">
        <w:rPr>
          <w:color w:val="000000" w:themeColor="text1"/>
          <w:lang w:val="fr-FR"/>
        </w:rPr>
        <w:t xml:space="preserve">Stratégie Nationale pour l’Équinté et l’Égalité de Genre </w:t>
      </w:r>
    </w:p>
    <w:p w14:paraId="038174CE" w14:textId="403B78E6" w:rsidR="00146BDA" w:rsidRPr="00AE223A" w:rsidRDefault="00146BDA" w:rsidP="006D217C">
      <w:pPr>
        <w:pStyle w:val="SingleTxtG"/>
        <w:jc w:val="left"/>
        <w:rPr>
          <w:color w:val="000000" w:themeColor="text1"/>
          <w:lang w:val="fr-SN"/>
        </w:rPr>
      </w:pPr>
      <w:r w:rsidRPr="00AE223A">
        <w:rPr>
          <w:rFonts w:eastAsia="Times New Roman"/>
          <w:color w:val="000000" w:themeColor="text1"/>
          <w:lang w:val="fr-FR"/>
        </w:rPr>
        <w:t xml:space="preserve">SNPE : </w:t>
      </w:r>
      <w:r w:rsidR="00AE223A">
        <w:rPr>
          <w:rFonts w:eastAsia="Times New Roman"/>
          <w:color w:val="000000" w:themeColor="text1"/>
          <w:lang w:val="fr-FR"/>
        </w:rPr>
        <w:tab/>
      </w:r>
      <w:r w:rsidR="00AE223A">
        <w:rPr>
          <w:rFonts w:eastAsia="Times New Roman"/>
          <w:color w:val="000000" w:themeColor="text1"/>
          <w:lang w:val="fr-FR"/>
        </w:rPr>
        <w:tab/>
      </w:r>
      <w:r w:rsidRPr="00AE223A">
        <w:rPr>
          <w:rFonts w:eastAsia="Times New Roman"/>
          <w:color w:val="000000" w:themeColor="text1"/>
          <w:lang w:val="fr-FR"/>
        </w:rPr>
        <w:t>Stratégie Nationale de Protection de l</w:t>
      </w:r>
      <w:r w:rsidR="00546497" w:rsidRPr="00AE223A">
        <w:rPr>
          <w:rFonts w:eastAsia="Times New Roman"/>
          <w:color w:val="000000" w:themeColor="text1"/>
          <w:lang w:val="fr-FR"/>
        </w:rPr>
        <w:t>’</w:t>
      </w:r>
      <w:r w:rsidRPr="00AE223A">
        <w:rPr>
          <w:rFonts w:eastAsia="Times New Roman"/>
          <w:color w:val="000000" w:themeColor="text1"/>
          <w:lang w:val="fr-FR"/>
        </w:rPr>
        <w:t xml:space="preserve">Enfant </w:t>
      </w:r>
    </w:p>
    <w:p w14:paraId="186AA65B" w14:textId="32CD45CE" w:rsidR="00146BDA" w:rsidRPr="00AE223A" w:rsidRDefault="00146BDA" w:rsidP="006D217C">
      <w:pPr>
        <w:pStyle w:val="SingleTxtG"/>
        <w:jc w:val="left"/>
        <w:rPr>
          <w:color w:val="000000" w:themeColor="text1"/>
          <w:lang w:val="fr-SN"/>
        </w:rPr>
      </w:pPr>
      <w:r w:rsidRPr="00AE223A">
        <w:rPr>
          <w:color w:val="000000" w:themeColor="text1"/>
          <w:lang w:val="fr-SN"/>
        </w:rPr>
        <w:t xml:space="preserve">TGI : </w:t>
      </w:r>
      <w:r w:rsidR="00AE223A">
        <w:rPr>
          <w:color w:val="000000" w:themeColor="text1"/>
          <w:lang w:val="fr-SN"/>
        </w:rPr>
        <w:tab/>
      </w:r>
      <w:r w:rsidR="00AE223A">
        <w:rPr>
          <w:color w:val="000000" w:themeColor="text1"/>
          <w:lang w:val="fr-SN"/>
        </w:rPr>
        <w:tab/>
      </w:r>
      <w:r w:rsidR="00AE223A">
        <w:rPr>
          <w:color w:val="000000" w:themeColor="text1"/>
          <w:lang w:val="fr-SN"/>
        </w:rPr>
        <w:tab/>
      </w:r>
      <w:r w:rsidRPr="00AE223A">
        <w:rPr>
          <w:color w:val="000000" w:themeColor="text1"/>
          <w:lang w:val="fr-SN"/>
        </w:rPr>
        <w:t xml:space="preserve">Tribunal de Grande Instance </w:t>
      </w:r>
    </w:p>
    <w:p w14:paraId="4E7CA848" w14:textId="084743F5" w:rsidR="00146BDA" w:rsidRPr="00AE223A" w:rsidRDefault="00146BDA" w:rsidP="00AE223A">
      <w:pPr>
        <w:pStyle w:val="SingleTxtG"/>
        <w:ind w:left="2835" w:hanging="1701"/>
        <w:jc w:val="left"/>
        <w:rPr>
          <w:color w:val="000000" w:themeColor="text1"/>
          <w:lang w:val="fr-SN"/>
        </w:rPr>
      </w:pPr>
      <w:r w:rsidRPr="00AE223A">
        <w:rPr>
          <w:iCs/>
          <w:color w:val="000000" w:themeColor="text1"/>
        </w:rPr>
        <w:t xml:space="preserve">UNESCO : </w:t>
      </w:r>
      <w:r w:rsidR="00AE223A">
        <w:rPr>
          <w:iCs/>
          <w:color w:val="000000" w:themeColor="text1"/>
        </w:rPr>
        <w:tab/>
      </w:r>
      <w:r w:rsidR="00AE223A">
        <w:rPr>
          <w:iCs/>
          <w:color w:val="000000" w:themeColor="text1"/>
        </w:rPr>
        <w:tab/>
      </w:r>
      <w:r w:rsidRPr="00AE223A">
        <w:rPr>
          <w:iCs/>
          <w:color w:val="000000" w:themeColor="text1"/>
          <w:lang w:val="fr-SN"/>
        </w:rPr>
        <w:t xml:space="preserve">Organisation des Nations Unies pour l’Éducation, </w:t>
      </w:r>
      <w:r w:rsidR="00AE223A">
        <w:rPr>
          <w:iCs/>
          <w:color w:val="000000" w:themeColor="text1"/>
          <w:lang w:val="fr-SN"/>
        </w:rPr>
        <w:br/>
      </w:r>
      <w:r w:rsidRPr="00AE223A">
        <w:rPr>
          <w:iCs/>
          <w:color w:val="000000" w:themeColor="text1"/>
          <w:lang w:val="fr-SN"/>
        </w:rPr>
        <w:t xml:space="preserve">la Science et la Culture </w:t>
      </w:r>
    </w:p>
    <w:p w14:paraId="1F50A6FA" w14:textId="5EFE7940" w:rsidR="00146BDA" w:rsidRPr="00AE223A" w:rsidRDefault="00146BDA" w:rsidP="006D217C">
      <w:pPr>
        <w:pStyle w:val="SingleTxtG"/>
        <w:jc w:val="left"/>
        <w:rPr>
          <w:color w:val="000000" w:themeColor="text1"/>
          <w:lang w:val="fr-SN"/>
        </w:rPr>
      </w:pPr>
      <w:r w:rsidRPr="00AE223A">
        <w:rPr>
          <w:iCs/>
          <w:color w:val="000000" w:themeColor="text1"/>
          <w:lang w:val="fr-SN"/>
        </w:rPr>
        <w:t xml:space="preserve">UNICEF : </w:t>
      </w:r>
      <w:r w:rsidR="00AE223A">
        <w:rPr>
          <w:iCs/>
          <w:color w:val="000000" w:themeColor="text1"/>
          <w:lang w:val="fr-SN"/>
        </w:rPr>
        <w:tab/>
      </w:r>
      <w:r w:rsidR="00AE223A">
        <w:rPr>
          <w:iCs/>
          <w:color w:val="000000" w:themeColor="text1"/>
          <w:lang w:val="fr-SN"/>
        </w:rPr>
        <w:tab/>
      </w:r>
      <w:r w:rsidRPr="00AE223A">
        <w:rPr>
          <w:iCs/>
          <w:color w:val="000000" w:themeColor="text1"/>
          <w:lang w:val="fr-SN"/>
        </w:rPr>
        <w:t xml:space="preserve">Fond des Nations Unies pour l’Enfance </w:t>
      </w:r>
    </w:p>
    <w:p w14:paraId="74228FF8" w14:textId="7F7F92FE" w:rsidR="00146BDA" w:rsidRPr="00AE223A" w:rsidRDefault="00146BDA" w:rsidP="006D217C">
      <w:pPr>
        <w:pStyle w:val="SingleTxtG"/>
        <w:jc w:val="left"/>
        <w:rPr>
          <w:color w:val="000000" w:themeColor="text1"/>
          <w:lang w:val="en-US"/>
        </w:rPr>
      </w:pPr>
      <w:r w:rsidRPr="00AE223A">
        <w:rPr>
          <w:color w:val="000000" w:themeColor="text1"/>
          <w:lang w:val="en-US"/>
        </w:rPr>
        <w:t xml:space="preserve">UNPD SEOUL </w:t>
      </w:r>
      <w:r w:rsidR="00AE223A">
        <w:rPr>
          <w:color w:val="000000" w:themeColor="text1"/>
          <w:lang w:val="en-US"/>
        </w:rPr>
        <w:br/>
      </w:r>
      <w:r w:rsidRPr="00AE223A">
        <w:rPr>
          <w:color w:val="000000" w:themeColor="text1"/>
          <w:lang w:val="en-US"/>
        </w:rPr>
        <w:t xml:space="preserve">POLICY CENTRE: </w:t>
      </w:r>
      <w:r w:rsidR="00AE223A">
        <w:rPr>
          <w:color w:val="000000" w:themeColor="text1"/>
          <w:lang w:val="en-US"/>
        </w:rPr>
        <w:tab/>
      </w:r>
      <w:r w:rsidRPr="00AE223A">
        <w:rPr>
          <w:color w:val="000000" w:themeColor="text1"/>
          <w:lang w:val="en-US"/>
        </w:rPr>
        <w:t>United Nations Development Program of Seoul Policy Centre</w:t>
      </w:r>
    </w:p>
    <w:p w14:paraId="6CFA2469" w14:textId="048981BC" w:rsidR="00146BDA" w:rsidRPr="006D217C" w:rsidRDefault="00146BDA" w:rsidP="006D217C">
      <w:pPr>
        <w:pStyle w:val="SingleTxtG"/>
        <w:jc w:val="left"/>
        <w:rPr>
          <w:lang w:val="fr-FR"/>
        </w:rPr>
      </w:pPr>
      <w:r w:rsidRPr="006D217C">
        <w:rPr>
          <w:lang w:val="fr-FR"/>
        </w:rPr>
        <w:t xml:space="preserve">VBG : </w:t>
      </w:r>
      <w:r w:rsidR="00AE223A">
        <w:rPr>
          <w:lang w:val="fr-FR"/>
        </w:rPr>
        <w:tab/>
      </w:r>
      <w:r w:rsidR="00AE223A">
        <w:rPr>
          <w:lang w:val="fr-FR"/>
        </w:rPr>
        <w:tab/>
      </w:r>
      <w:r w:rsidRPr="006D217C">
        <w:rPr>
          <w:lang w:val="fr-FR"/>
        </w:rPr>
        <w:t>Violences Basées sur le Genre</w:t>
      </w:r>
    </w:p>
    <w:p w14:paraId="5353D225" w14:textId="5FEBAB99" w:rsidR="005926AE" w:rsidRPr="006D217C" w:rsidRDefault="00146BDA" w:rsidP="006D217C">
      <w:pPr>
        <w:pStyle w:val="SingleTxtG"/>
        <w:jc w:val="left"/>
        <w:rPr>
          <w:iCs/>
          <w:lang w:val="fr-SN"/>
        </w:rPr>
      </w:pPr>
      <w:r w:rsidRPr="006D217C">
        <w:rPr>
          <w:iCs/>
          <w:lang w:val="fr-SN"/>
        </w:rPr>
        <w:t xml:space="preserve">VGMS : </w:t>
      </w:r>
      <w:r w:rsidR="00AE223A">
        <w:rPr>
          <w:iCs/>
          <w:lang w:val="fr-SN"/>
        </w:rPr>
        <w:tab/>
      </w:r>
      <w:r w:rsidR="00AE223A">
        <w:rPr>
          <w:iCs/>
          <w:lang w:val="fr-SN"/>
        </w:rPr>
        <w:tab/>
      </w:r>
      <w:r w:rsidRPr="006D217C">
        <w:rPr>
          <w:iCs/>
          <w:lang w:val="fr-SN"/>
        </w:rPr>
        <w:t>Violences Basées sur le Genre en Milieu Scolaire</w:t>
      </w:r>
    </w:p>
    <w:p w14:paraId="5876B166" w14:textId="77777777" w:rsidR="005926AE" w:rsidRDefault="005926AE">
      <w:pPr>
        <w:suppressAutoHyphens w:val="0"/>
        <w:kinsoku/>
        <w:overflowPunct/>
        <w:autoSpaceDE/>
        <w:autoSpaceDN/>
        <w:adjustRightInd/>
        <w:snapToGrid/>
        <w:spacing w:after="200" w:line="276" w:lineRule="auto"/>
        <w:rPr>
          <w:bCs/>
          <w:iCs/>
          <w:lang w:val="fr-SN"/>
        </w:rPr>
      </w:pPr>
      <w:r>
        <w:rPr>
          <w:bCs/>
          <w:iCs/>
          <w:lang w:val="fr-SN"/>
        </w:rPr>
        <w:br w:type="page"/>
      </w:r>
    </w:p>
    <w:p w14:paraId="145EC419" w14:textId="03F1F7CD" w:rsidR="00146BDA" w:rsidRPr="00146BDA" w:rsidRDefault="00146BDA" w:rsidP="005926AE">
      <w:pPr>
        <w:pStyle w:val="SingleTxtG"/>
        <w:rPr>
          <w:lang w:val="fr-FR"/>
        </w:rPr>
      </w:pPr>
      <w:r w:rsidRPr="005926AE">
        <w:rPr>
          <w:bCs/>
          <w:lang w:val="fr-FR"/>
        </w:rPr>
        <w:lastRenderedPageBreak/>
        <w:t>1.</w:t>
      </w:r>
      <w:r w:rsidRPr="00146BDA">
        <w:rPr>
          <w:b/>
          <w:lang w:val="fr-FR"/>
        </w:rPr>
        <w:tab/>
      </w:r>
      <w:r w:rsidRPr="00146BDA">
        <w:rPr>
          <w:lang w:val="fr-FR"/>
        </w:rPr>
        <w:t xml:space="preserve">L’État du Sénégal a l’honneur de soumettre, conformément à l’article 19 de la Convention contre la torture et autres peines ou traitements cruels, inhumains ou dégradants, son cinquième rapport périodique. Cette </w:t>
      </w:r>
      <w:r w:rsidR="00C9311F">
        <w:rPr>
          <w:lang w:val="fr-FR"/>
        </w:rPr>
        <w:t>c</w:t>
      </w:r>
      <w:r w:rsidRPr="00146BDA">
        <w:rPr>
          <w:lang w:val="fr-FR"/>
        </w:rPr>
        <w:t xml:space="preserve">onvention adoptée par l’Assemblée </w:t>
      </w:r>
      <w:r w:rsidR="00CD4DC5">
        <w:rPr>
          <w:lang w:val="fr-FR"/>
        </w:rPr>
        <w:t>g</w:t>
      </w:r>
      <w:r w:rsidRPr="00146BDA">
        <w:rPr>
          <w:lang w:val="fr-FR"/>
        </w:rPr>
        <w:t>énérale des Nations Unies, le 10 décembre 1984, a été ratifiée par le Sénégal, le 26 août 1986.</w:t>
      </w:r>
    </w:p>
    <w:p w14:paraId="1295B76B" w14:textId="22192562" w:rsidR="00146BDA" w:rsidRPr="00146BDA" w:rsidRDefault="00146BDA" w:rsidP="005926AE">
      <w:pPr>
        <w:pStyle w:val="SingleTxtG"/>
        <w:rPr>
          <w:lang w:val="fr-FR"/>
        </w:rPr>
      </w:pPr>
      <w:r w:rsidRPr="00146BDA">
        <w:rPr>
          <w:lang w:val="fr-FR"/>
        </w:rPr>
        <w:t>2.</w:t>
      </w:r>
      <w:r w:rsidRPr="00146BDA">
        <w:rPr>
          <w:lang w:val="fr-FR"/>
        </w:rPr>
        <w:tab/>
        <w:t xml:space="preserve">Le Comité contre la torture des Nations Unies avait examiné le quatrième rapport périodique du Sénégal (CAT/C/SEN/4) à ses </w:t>
      </w:r>
      <w:r w:rsidRPr="00146BDA">
        <w:t>1619</w:t>
      </w:r>
      <w:r w:rsidRPr="006D217C">
        <w:rPr>
          <w:vertAlign w:val="superscript"/>
        </w:rPr>
        <w:t>e</w:t>
      </w:r>
      <w:r w:rsidRPr="00146BDA">
        <w:t xml:space="preserve"> et 1622</w:t>
      </w:r>
      <w:r w:rsidRPr="00146BDA">
        <w:rPr>
          <w:vertAlign w:val="superscript"/>
        </w:rPr>
        <w:t>e</w:t>
      </w:r>
      <w:r w:rsidRPr="00146BDA">
        <w:t> séances (voir CAT/C/SR.1619 et 1622), les 25 et 26 avril 2018, et a adopté les présentes observations finales à sa 1647</w:t>
      </w:r>
      <w:r w:rsidRPr="006D217C">
        <w:rPr>
          <w:vertAlign w:val="superscript"/>
        </w:rPr>
        <w:t>e</w:t>
      </w:r>
      <w:r w:rsidR="003562DE">
        <w:t> </w:t>
      </w:r>
      <w:r w:rsidRPr="00146BDA">
        <w:t>séance, le 15 mai 2018.</w:t>
      </w:r>
    </w:p>
    <w:p w14:paraId="14AA5087" w14:textId="77777777" w:rsidR="00146BDA" w:rsidRPr="00146BDA" w:rsidRDefault="00146BDA" w:rsidP="005926AE">
      <w:pPr>
        <w:pStyle w:val="SingleTxtG"/>
        <w:rPr>
          <w:lang w:val="fr-FR"/>
        </w:rPr>
      </w:pPr>
      <w:r w:rsidRPr="00146BDA">
        <w:rPr>
          <w:lang w:val="fr-FR"/>
        </w:rPr>
        <w:t>3.</w:t>
      </w:r>
      <w:r w:rsidRPr="00146BDA">
        <w:rPr>
          <w:lang w:val="fr-FR"/>
        </w:rPr>
        <w:tab/>
        <w:t>Aux termes du paragraphe 45 desdites observations, le Comité avait invité le Gouvernement du Sénégal à accepter d’établir son cinquième rapport périodique selon la procédure facultative. Celle-ci consiste à adresser à l’État partie une liste de points à traiter établie avant la soumission du rapport périodique. Nos réponses à la liste de points qui nous a été soumise constituent ainsi notre cinquième rapport périodique au titre de l’article 19 de la Convention précitée.</w:t>
      </w:r>
    </w:p>
    <w:p w14:paraId="64DFF78C" w14:textId="594D54B4" w:rsidR="00146BDA" w:rsidRPr="00146BDA" w:rsidRDefault="00146BDA" w:rsidP="005926AE">
      <w:pPr>
        <w:pStyle w:val="SingleTxtG"/>
        <w:rPr>
          <w:lang w:val="fr-FR"/>
        </w:rPr>
      </w:pPr>
      <w:r w:rsidRPr="00146BDA">
        <w:rPr>
          <w:lang w:val="fr-FR"/>
        </w:rPr>
        <w:t>4.</w:t>
      </w:r>
      <w:r w:rsidRPr="00146BDA">
        <w:rPr>
          <w:lang w:val="fr-FR"/>
        </w:rPr>
        <w:tab/>
        <w:t>La liste de points soumise aux autorités sénégalaises s’articule autour de deux parties</w:t>
      </w:r>
      <w:r w:rsidR="00BE4971">
        <w:rPr>
          <w:lang w:val="fr-FR"/>
        </w:rPr>
        <w:t> </w:t>
      </w:r>
      <w:r w:rsidRPr="00146BDA">
        <w:rPr>
          <w:lang w:val="fr-FR"/>
        </w:rPr>
        <w:t xml:space="preserve">: </w:t>
      </w:r>
    </w:p>
    <w:p w14:paraId="7F28B203" w14:textId="07653822" w:rsidR="00146BDA" w:rsidRPr="006D217C" w:rsidRDefault="006D217C" w:rsidP="006D217C">
      <w:pPr>
        <w:pStyle w:val="Bullet1G"/>
        <w:numPr>
          <w:ilvl w:val="0"/>
          <w:numId w:val="0"/>
        </w:numPr>
        <w:tabs>
          <w:tab w:val="left" w:pos="1701"/>
        </w:tabs>
        <w:ind w:left="1701" w:hanging="170"/>
        <w:rPr>
          <w:bCs/>
          <w:lang w:val="fr-FR"/>
        </w:rPr>
      </w:pPr>
      <w:r w:rsidRPr="006D217C">
        <w:rPr>
          <w:bCs/>
          <w:lang w:val="fr-FR"/>
        </w:rPr>
        <w:t>•</w:t>
      </w:r>
      <w:r w:rsidRPr="006D217C">
        <w:rPr>
          <w:bCs/>
          <w:lang w:val="fr-FR"/>
        </w:rPr>
        <w:tab/>
      </w:r>
      <w:r w:rsidR="00146BDA" w:rsidRPr="006D217C">
        <w:rPr>
          <w:bCs/>
          <w:lang w:val="fr-FR"/>
        </w:rPr>
        <w:t>Première partie : Renseignements concernant spécifiquement la mise en œuvre des articles</w:t>
      </w:r>
      <w:r w:rsidR="00AD6876">
        <w:rPr>
          <w:bCs/>
          <w:lang w:val="fr-FR"/>
        </w:rPr>
        <w:t> </w:t>
      </w:r>
      <w:r w:rsidR="00146BDA" w:rsidRPr="006D217C">
        <w:rPr>
          <w:bCs/>
          <w:lang w:val="fr-FR"/>
        </w:rPr>
        <w:t>1</w:t>
      </w:r>
      <w:r w:rsidR="00146BDA" w:rsidRPr="0013795C">
        <w:rPr>
          <w:bCs/>
          <w:vertAlign w:val="superscript"/>
          <w:lang w:val="fr-FR"/>
        </w:rPr>
        <w:t>er</w:t>
      </w:r>
      <w:r w:rsidR="00146BDA" w:rsidRPr="006D217C">
        <w:rPr>
          <w:bCs/>
          <w:lang w:val="fr-FR"/>
        </w:rPr>
        <w:t xml:space="preserve"> à 16 de la Convention, y compris au regard des précédentes recommandations du Comité ;</w:t>
      </w:r>
    </w:p>
    <w:p w14:paraId="6FA32930" w14:textId="408F1B2A" w:rsidR="00794E0E" w:rsidRDefault="006D217C" w:rsidP="006D217C">
      <w:pPr>
        <w:pStyle w:val="Bullet1G"/>
        <w:numPr>
          <w:ilvl w:val="0"/>
          <w:numId w:val="0"/>
        </w:numPr>
        <w:tabs>
          <w:tab w:val="left" w:pos="1701"/>
        </w:tabs>
        <w:ind w:left="1701" w:hanging="170"/>
        <w:rPr>
          <w:lang w:val="fr-FR"/>
        </w:rPr>
      </w:pPr>
      <w:bookmarkStart w:id="0" w:name="_Hlk103000632"/>
      <w:r>
        <w:rPr>
          <w:lang w:val="fr-FR"/>
        </w:rPr>
        <w:t>•</w:t>
      </w:r>
      <w:r>
        <w:rPr>
          <w:lang w:val="fr-FR"/>
        </w:rPr>
        <w:tab/>
      </w:r>
      <w:r w:rsidR="00146BDA" w:rsidRPr="006D217C">
        <w:rPr>
          <w:bCs/>
          <w:lang w:val="fr-FR"/>
        </w:rPr>
        <w:t>Deuxième partie</w:t>
      </w:r>
      <w:r w:rsidR="00146BDA" w:rsidRPr="00146BDA">
        <w:rPr>
          <w:lang w:val="fr-FR"/>
        </w:rPr>
        <w:t xml:space="preserve"> </w:t>
      </w:r>
      <w:bookmarkEnd w:id="0"/>
      <w:r w:rsidR="00146BDA" w:rsidRPr="00146BDA">
        <w:rPr>
          <w:lang w:val="fr-FR"/>
        </w:rPr>
        <w:t>: Renseignements d’ordre général sur la situation des droits de l’</w:t>
      </w:r>
      <w:r w:rsidR="0013795C">
        <w:rPr>
          <w:lang w:val="fr-FR"/>
        </w:rPr>
        <w:t>h</w:t>
      </w:r>
      <w:r w:rsidR="00146BDA" w:rsidRPr="00146BDA">
        <w:rPr>
          <w:lang w:val="fr-FR"/>
        </w:rPr>
        <w:t>omme dans le pays, y compris sur les nouvelles mesures et les faits nouveaux concernant la mise en œuvre de la Convention.</w:t>
      </w:r>
    </w:p>
    <w:p w14:paraId="75D5793A" w14:textId="644B4867" w:rsidR="00146BDA" w:rsidRPr="00146BDA" w:rsidRDefault="00794E0E" w:rsidP="007371F9">
      <w:pPr>
        <w:pStyle w:val="HChG"/>
      </w:pPr>
      <w:r>
        <w:rPr>
          <w:lang w:val="fr-FR"/>
        </w:rPr>
        <w:tab/>
      </w:r>
      <w:r>
        <w:rPr>
          <w:lang w:val="fr-FR"/>
        </w:rPr>
        <w:tab/>
      </w:r>
      <w:r w:rsidR="00146BDA" w:rsidRPr="00146BDA">
        <w:rPr>
          <w:lang w:val="fr-FR"/>
        </w:rPr>
        <w:t>Première partie</w:t>
      </w:r>
      <w:r w:rsidR="007371F9">
        <w:rPr>
          <w:lang w:val="fr-FR"/>
        </w:rPr>
        <w:br/>
      </w:r>
      <w:r>
        <w:tab/>
      </w:r>
      <w:r w:rsidR="00146BDA" w:rsidRPr="00146BDA">
        <w:t>Renseignements concernant spécifiquement la mise en œuvre des articles 1</w:t>
      </w:r>
      <w:r w:rsidR="00146BDA" w:rsidRPr="00146BDA">
        <w:rPr>
          <w:vertAlign w:val="superscript"/>
        </w:rPr>
        <w:t>er</w:t>
      </w:r>
      <w:r w:rsidR="00146BDA" w:rsidRPr="00146BDA">
        <w:t xml:space="preserve"> à 16 de la Convention, </w:t>
      </w:r>
      <w:r w:rsidR="00146BDA" w:rsidRPr="009F23C6">
        <w:t>notamment</w:t>
      </w:r>
      <w:r w:rsidR="00146BDA" w:rsidRPr="00146BDA">
        <w:t xml:space="preserve"> au regard des précédentes recommandations du Comité</w:t>
      </w:r>
    </w:p>
    <w:p w14:paraId="1998AF91" w14:textId="3CFAEF84" w:rsidR="00146BDA" w:rsidRPr="00146BDA" w:rsidRDefault="00794E0E" w:rsidP="009F23C6">
      <w:pPr>
        <w:pStyle w:val="H1G"/>
      </w:pPr>
      <w:r>
        <w:rPr>
          <w:lang w:val="fr-FR"/>
        </w:rPr>
        <w:tab/>
      </w:r>
      <w:r>
        <w:rPr>
          <w:lang w:val="fr-FR"/>
        </w:rPr>
        <w:tab/>
      </w:r>
      <w:r w:rsidR="00146BDA" w:rsidRPr="00146BDA">
        <w:rPr>
          <w:lang w:val="fr-FR"/>
        </w:rPr>
        <w:t xml:space="preserve">Renseignements sur la suite donnée à certaines des recommandations figurant dans </w:t>
      </w:r>
      <w:r w:rsidR="00146BDA" w:rsidRPr="009F23C6">
        <w:t>les</w:t>
      </w:r>
      <w:r w:rsidR="00146BDA" w:rsidRPr="00146BDA">
        <w:rPr>
          <w:lang w:val="fr-FR"/>
        </w:rPr>
        <w:t xml:space="preserve"> précédentes observations finales</w:t>
      </w:r>
    </w:p>
    <w:p w14:paraId="77C8F225" w14:textId="5DB08E2A" w:rsidR="00146BDA" w:rsidRPr="00146BDA" w:rsidRDefault="00B54287" w:rsidP="00B54287">
      <w:pPr>
        <w:pStyle w:val="H23G"/>
        <w:rPr>
          <w:rFonts w:eastAsia="Calibri"/>
          <w:sz w:val="24"/>
          <w:szCs w:val="24"/>
          <w:lang w:val="fr-FR"/>
        </w:rPr>
      </w:pPr>
      <w:r>
        <w:rPr>
          <w:rFonts w:eastAsia="Calibri"/>
          <w:sz w:val="24"/>
          <w:szCs w:val="24"/>
        </w:rPr>
        <w:tab/>
      </w:r>
      <w:r>
        <w:rPr>
          <w:rFonts w:eastAsia="Calibri"/>
          <w:sz w:val="24"/>
          <w:szCs w:val="24"/>
        </w:rPr>
        <w:tab/>
      </w:r>
      <w:r w:rsidR="000F7D10">
        <w:t xml:space="preserve">Réponse au paragraphe 1 a) de la liste de points </w:t>
      </w:r>
      <w:r w:rsidR="000F7D10" w:rsidRPr="000F7D10">
        <w:rPr>
          <w:lang w:val="fr-FR"/>
        </w:rPr>
        <w:t>(</w:t>
      </w:r>
      <w:r w:rsidRPr="00B54287">
        <w:rPr>
          <w:lang w:val="fr-FR"/>
        </w:rPr>
        <w:t>CAT/C/SEN/QPR/5</w:t>
      </w:r>
      <w:r w:rsidR="000F7D10" w:rsidRPr="000F7D10">
        <w:rPr>
          <w:lang w:val="fr-FR"/>
        </w:rPr>
        <w:t>)</w:t>
      </w:r>
    </w:p>
    <w:p w14:paraId="72FE6E00" w14:textId="7927BCDF" w:rsidR="00146BDA" w:rsidRPr="00146BDA" w:rsidRDefault="00146BDA" w:rsidP="005926AE">
      <w:pPr>
        <w:pStyle w:val="SingleTxtG"/>
        <w:rPr>
          <w:color w:val="000000"/>
          <w:lang w:val="fr-FR"/>
        </w:rPr>
      </w:pPr>
      <w:r w:rsidRPr="00146BDA">
        <w:t>5.</w:t>
      </w:r>
      <w:r w:rsidRPr="00146BDA">
        <w:tab/>
        <w:t xml:space="preserve">L’accessibilité de l’aide judiciaire aux plus démunis évoquée est le principal objectif visé par la mise en place de l’aide juridictionnelle en 2005. La gestion du fonds d’aide juridictionnelle est confiée au Bâtonnier de l’ordre des avocats sous le contrôle d’une commission ad hoc ainsi que le prévoit le protocole signé le 7 mars 2005, entre les Ministres en charge de la Justice et des Finances d’une part, et le Bâtonnier d’autre part. Cette solution est provisoire en attendant le vote d’une loi </w:t>
      </w:r>
      <w:r w:rsidRPr="00146BDA">
        <w:rPr>
          <w:color w:val="000000"/>
        </w:rPr>
        <w:t xml:space="preserve">relative à l’aide juridictionnelle comme le stipule le protocole. Un projet de loi a été </w:t>
      </w:r>
      <w:r w:rsidRPr="00146BDA">
        <w:t xml:space="preserve">validé au niveau du Ministère de la </w:t>
      </w:r>
      <w:r w:rsidR="00C9311F">
        <w:t>j</w:t>
      </w:r>
      <w:r w:rsidRPr="00146BDA">
        <w:t>ustice et déposé au Secrétariat Général du Gouvernement.</w:t>
      </w:r>
      <w:r w:rsidRPr="00146BDA">
        <w:rPr>
          <w:color w:val="000000"/>
          <w:lang w:val="fr-FR"/>
        </w:rPr>
        <w:t xml:space="preserve"> Il contient des dispositions garantissant à tous les justiciables l’accès à un défenseur avec une gestion plus transparente de l’aide et une possible diversification des sources de financement. En attendant son adoption, le Gouvernement n’a de cesse d’accroitre chaque année l’enveloppe budgétaire destinée à l’aide juridictionnelle. Elle est portée à huit </w:t>
      </w:r>
      <w:r w:rsidR="00B118A7" w:rsidRPr="00146BDA">
        <w:rPr>
          <w:color w:val="000000"/>
          <w:lang w:val="fr-FR"/>
        </w:rPr>
        <w:t>cents</w:t>
      </w:r>
      <w:r w:rsidRPr="00146BDA">
        <w:rPr>
          <w:color w:val="000000"/>
          <w:lang w:val="fr-FR"/>
        </w:rPr>
        <w:t xml:space="preserve"> millions de francs (800</w:t>
      </w:r>
      <w:r w:rsidR="003562DE">
        <w:rPr>
          <w:color w:val="000000"/>
          <w:lang w:val="fr-FR"/>
        </w:rPr>
        <w:t> </w:t>
      </w:r>
      <w:r w:rsidRPr="00146BDA">
        <w:rPr>
          <w:color w:val="000000"/>
          <w:lang w:val="fr-FR"/>
        </w:rPr>
        <w:t>000</w:t>
      </w:r>
      <w:r w:rsidR="003562DE">
        <w:rPr>
          <w:color w:val="000000"/>
          <w:lang w:val="fr-FR"/>
        </w:rPr>
        <w:t> </w:t>
      </w:r>
      <w:r w:rsidRPr="00146BDA">
        <w:rPr>
          <w:color w:val="000000"/>
          <w:lang w:val="fr-FR"/>
        </w:rPr>
        <w:t>000</w:t>
      </w:r>
      <w:r w:rsidR="003562DE">
        <w:rPr>
          <w:color w:val="000000"/>
          <w:lang w:val="fr-FR"/>
        </w:rPr>
        <w:t xml:space="preserve"> </w:t>
      </w:r>
      <w:r w:rsidRPr="00146BDA">
        <w:rPr>
          <w:color w:val="000000"/>
          <w:lang w:val="fr-FR"/>
        </w:rPr>
        <w:t>FCFA) en 2022.</w:t>
      </w:r>
    </w:p>
    <w:p w14:paraId="25CED9E2" w14:textId="627A5A6B" w:rsidR="00146BDA" w:rsidRPr="00146BDA" w:rsidRDefault="00B54287" w:rsidP="00B54287">
      <w:pPr>
        <w:pStyle w:val="H23G"/>
        <w:rPr>
          <w:rFonts w:eastAsia="Calibri"/>
          <w:sz w:val="24"/>
          <w:szCs w:val="24"/>
          <w:lang w:val="fr-FR"/>
        </w:rPr>
      </w:pPr>
      <w:r>
        <w:tab/>
      </w:r>
      <w:r>
        <w:tab/>
        <w:t>Réponse au paragraphe 1 b) de la liste de points</w:t>
      </w:r>
    </w:p>
    <w:p w14:paraId="0B896B87" w14:textId="57D344C3" w:rsidR="00146BDA" w:rsidRPr="00146BDA" w:rsidRDefault="00146BDA" w:rsidP="005926AE">
      <w:pPr>
        <w:pStyle w:val="SingleTxtG"/>
        <w:rPr>
          <w:lang w:val="fr-FR"/>
        </w:rPr>
      </w:pPr>
      <w:r w:rsidRPr="00146BDA">
        <w:rPr>
          <w:lang w:val="fr-FR"/>
        </w:rPr>
        <w:t>6.</w:t>
      </w:r>
      <w:r>
        <w:rPr>
          <w:lang w:val="fr-FR"/>
        </w:rPr>
        <w:t xml:space="preserve"> </w:t>
      </w:r>
      <w:r w:rsidR="00E466E2">
        <w:rPr>
          <w:lang w:val="fr-FR"/>
        </w:rPr>
        <w:tab/>
      </w:r>
      <w:r w:rsidRPr="00146BDA">
        <w:rPr>
          <w:lang w:val="fr-FR"/>
        </w:rPr>
        <w:t xml:space="preserve">Sur le plan textuel, l’Observateur national des </w:t>
      </w:r>
      <w:r w:rsidR="00AD6876">
        <w:rPr>
          <w:lang w:val="fr-FR"/>
        </w:rPr>
        <w:t>l</w:t>
      </w:r>
      <w:r w:rsidRPr="00146BDA">
        <w:rPr>
          <w:lang w:val="fr-FR"/>
        </w:rPr>
        <w:t xml:space="preserve">ieux de </w:t>
      </w:r>
      <w:r w:rsidR="00AD6876">
        <w:rPr>
          <w:lang w:val="fr-FR"/>
        </w:rPr>
        <w:t>p</w:t>
      </w:r>
      <w:r w:rsidRPr="00146BDA">
        <w:rPr>
          <w:lang w:val="fr-FR"/>
        </w:rPr>
        <w:t xml:space="preserve">rivation de </w:t>
      </w:r>
      <w:r w:rsidR="00AD6876">
        <w:rPr>
          <w:lang w:val="fr-FR"/>
        </w:rPr>
        <w:t>l</w:t>
      </w:r>
      <w:r w:rsidRPr="00146BDA">
        <w:rPr>
          <w:lang w:val="fr-FR"/>
        </w:rPr>
        <w:t xml:space="preserve">iberté est, en vertu de la loi </w:t>
      </w:r>
      <w:r w:rsidR="003562DE">
        <w:rPr>
          <w:lang w:val="fr-FR"/>
        </w:rPr>
        <w:t>n</w:t>
      </w:r>
      <w:r w:rsidR="003562DE" w:rsidRPr="006D217C">
        <w:rPr>
          <w:vertAlign w:val="superscript"/>
          <w:lang w:val="fr-FR"/>
        </w:rPr>
        <w:t>o</w:t>
      </w:r>
      <w:r w:rsidR="003562DE">
        <w:rPr>
          <w:lang w:val="fr-FR"/>
        </w:rPr>
        <w:t> </w:t>
      </w:r>
      <w:r w:rsidRPr="00146BDA">
        <w:rPr>
          <w:lang w:val="fr-FR"/>
        </w:rPr>
        <w:t>2009-13 du 2 mars 2009 l’instituant, une autorité administrative indépendante.</w:t>
      </w:r>
    </w:p>
    <w:p w14:paraId="31EEC4E7" w14:textId="7E7C8B72" w:rsidR="00146BDA" w:rsidRPr="00146BDA" w:rsidRDefault="00146BDA" w:rsidP="005926AE">
      <w:pPr>
        <w:pStyle w:val="SingleTxtG"/>
        <w:rPr>
          <w:lang w:val="fr-FR"/>
        </w:rPr>
      </w:pPr>
      <w:r w:rsidRPr="00146BDA">
        <w:rPr>
          <w:lang w:val="fr-FR"/>
        </w:rPr>
        <w:t>7.</w:t>
      </w:r>
      <w:r>
        <w:rPr>
          <w:lang w:val="fr-FR"/>
        </w:rPr>
        <w:t xml:space="preserve"> </w:t>
      </w:r>
      <w:r w:rsidR="00E466E2">
        <w:rPr>
          <w:lang w:val="fr-FR"/>
        </w:rPr>
        <w:tab/>
      </w:r>
      <w:r w:rsidRPr="00146BDA">
        <w:rPr>
          <w:lang w:val="fr-FR"/>
        </w:rPr>
        <w:t>Sur le plan des ressources, on note une hausse progressive du budget alloué à l’ONLPL qui est de 95 millions en 2022. Cependant, en dépit de cette hausse progressive du budget, l’ONLPL peine à faire le maillage du territoire national en ce qui concerne les visites inopinées dans les lieux de détention.</w:t>
      </w:r>
    </w:p>
    <w:p w14:paraId="58F43472" w14:textId="5CDF0B93" w:rsidR="00B54287" w:rsidRDefault="00B54287" w:rsidP="00B54287">
      <w:pPr>
        <w:pStyle w:val="H23G"/>
        <w:rPr>
          <w:lang w:val="fr-FR"/>
        </w:rPr>
      </w:pPr>
      <w:r>
        <w:lastRenderedPageBreak/>
        <w:tab/>
      </w:r>
      <w:r>
        <w:tab/>
        <w:t>Réponse au paragraphe 1 c) de la liste de points</w:t>
      </w:r>
      <w:r w:rsidRPr="00146BDA">
        <w:rPr>
          <w:lang w:val="fr-FR"/>
        </w:rPr>
        <w:t xml:space="preserve"> </w:t>
      </w:r>
    </w:p>
    <w:p w14:paraId="05BE1FE2" w14:textId="0BF1DE92" w:rsidR="00146BDA" w:rsidRPr="00146BDA" w:rsidRDefault="00146BDA" w:rsidP="005926AE">
      <w:pPr>
        <w:pStyle w:val="SingleTxtG"/>
        <w:rPr>
          <w:lang w:val="fr-FR"/>
        </w:rPr>
      </w:pPr>
      <w:r w:rsidRPr="00146BDA">
        <w:rPr>
          <w:lang w:val="fr-FR"/>
        </w:rPr>
        <w:t>8.</w:t>
      </w:r>
      <w:r w:rsidRPr="00146BDA">
        <w:rPr>
          <w:lang w:val="fr-FR"/>
        </w:rPr>
        <w:tab/>
        <w:t xml:space="preserve">Parmi les </w:t>
      </w:r>
      <w:r w:rsidRPr="005926AE">
        <w:t>initiatives prises par le Gouvernement pour prendre en charge les enfants talibés, afin de les protéger contre l’exploitation et les mauvais traitements, on peut citer entre autres</w:t>
      </w:r>
      <w:r w:rsidR="005926AE" w:rsidRPr="005926AE">
        <w:t xml:space="preserve">. </w:t>
      </w:r>
      <w:r w:rsidRPr="005926AE">
        <w:t>Au plan législatif et réglementaire :</w:t>
      </w:r>
    </w:p>
    <w:p w14:paraId="69D9DBD8" w14:textId="09163E9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L’adoption en conseil des ministres du projet de loi portant </w:t>
      </w:r>
      <w:r w:rsidR="00C9311F">
        <w:rPr>
          <w:lang w:val="fr-FR"/>
        </w:rPr>
        <w:t>s</w:t>
      </w:r>
      <w:r w:rsidR="00146BDA" w:rsidRPr="00146BDA">
        <w:rPr>
          <w:lang w:val="fr-FR"/>
        </w:rPr>
        <w:t xml:space="preserve">tatut des </w:t>
      </w:r>
      <w:r w:rsidR="00146BDA" w:rsidRPr="006D217C">
        <w:rPr>
          <w:i/>
          <w:iCs/>
          <w:lang w:val="fr-FR"/>
        </w:rPr>
        <w:t>daaras</w:t>
      </w:r>
      <w:r w:rsidR="00146BDA" w:rsidRPr="00146BDA">
        <w:rPr>
          <w:lang w:val="fr-FR"/>
        </w:rPr>
        <w:t xml:space="preserve"> le 6 juin 2018</w:t>
      </w:r>
      <w:r w:rsidR="00B118A7">
        <w:rPr>
          <w:lang w:val="fr-FR"/>
        </w:rPr>
        <w:t> ;</w:t>
      </w:r>
    </w:p>
    <w:p w14:paraId="65D3D6E4" w14:textId="3B641213" w:rsidR="00146BDA" w:rsidRPr="00146BDA" w:rsidRDefault="006D217C" w:rsidP="006D217C">
      <w:pPr>
        <w:pStyle w:val="Bullet1G"/>
        <w:numPr>
          <w:ilvl w:val="0"/>
          <w:numId w:val="0"/>
        </w:numPr>
        <w:tabs>
          <w:tab w:val="left" w:pos="1701"/>
        </w:tabs>
        <w:ind w:left="1701" w:hanging="170"/>
        <w:rPr>
          <w:color w:val="000000"/>
          <w:lang w:val="fr-FR"/>
        </w:rPr>
      </w:pPr>
      <w:r w:rsidRPr="00146BDA">
        <w:rPr>
          <w:color w:val="000000"/>
          <w:lang w:val="fr-FR"/>
        </w:rPr>
        <w:t>•</w:t>
      </w:r>
      <w:r w:rsidRPr="00146BDA">
        <w:rPr>
          <w:color w:val="000000"/>
          <w:lang w:val="fr-FR"/>
        </w:rPr>
        <w:tab/>
      </w:r>
      <w:r w:rsidR="00146BDA" w:rsidRPr="00146BDA">
        <w:rPr>
          <w:color w:val="000000"/>
          <w:lang w:val="fr-FR"/>
        </w:rPr>
        <w:t xml:space="preserve">La lettre circulaire datée de 2019 du Ministre de la </w:t>
      </w:r>
      <w:r w:rsidR="00B118A7">
        <w:rPr>
          <w:color w:val="000000"/>
          <w:lang w:val="fr-FR"/>
        </w:rPr>
        <w:t>j</w:t>
      </w:r>
      <w:r w:rsidR="00146BDA" w:rsidRPr="00146BDA">
        <w:rPr>
          <w:color w:val="000000"/>
          <w:lang w:val="fr-FR"/>
        </w:rPr>
        <w:t xml:space="preserve">ustice instruisant les </w:t>
      </w:r>
      <w:r w:rsidR="00B118A7">
        <w:rPr>
          <w:color w:val="000000"/>
          <w:lang w:val="fr-FR"/>
        </w:rPr>
        <w:t>p</w:t>
      </w:r>
      <w:r w:rsidR="00146BDA" w:rsidRPr="00146BDA">
        <w:rPr>
          <w:color w:val="000000"/>
          <w:lang w:val="fr-FR"/>
        </w:rPr>
        <w:t>rocureurs généraux près les Cours d</w:t>
      </w:r>
      <w:r w:rsidR="00546497">
        <w:rPr>
          <w:color w:val="000000"/>
          <w:lang w:val="fr-FR"/>
        </w:rPr>
        <w:t>’</w:t>
      </w:r>
      <w:r w:rsidR="00146BDA" w:rsidRPr="00146BDA">
        <w:rPr>
          <w:color w:val="000000"/>
          <w:lang w:val="fr-FR"/>
        </w:rPr>
        <w:t>appel d</w:t>
      </w:r>
      <w:r w:rsidR="00546497">
        <w:rPr>
          <w:color w:val="000000"/>
          <w:lang w:val="fr-FR"/>
        </w:rPr>
        <w:t>’</w:t>
      </w:r>
      <w:r w:rsidR="00146BDA" w:rsidRPr="00146BDA">
        <w:rPr>
          <w:color w:val="000000"/>
          <w:lang w:val="fr-FR"/>
        </w:rPr>
        <w:t>appliquer effectivement l</w:t>
      </w:r>
      <w:r w:rsidR="00546497">
        <w:rPr>
          <w:color w:val="000000"/>
          <w:lang w:val="fr-FR"/>
        </w:rPr>
        <w:t>’</w:t>
      </w:r>
      <w:r w:rsidR="00146BDA" w:rsidRPr="00146BDA">
        <w:rPr>
          <w:color w:val="000000"/>
          <w:lang w:val="fr-FR"/>
        </w:rPr>
        <w:t>incrimination de traite des personnes</w:t>
      </w:r>
      <w:r w:rsidR="005926AE">
        <w:rPr>
          <w:color w:val="000000"/>
          <w:lang w:val="fr-FR"/>
        </w:rPr>
        <w:t>.</w:t>
      </w:r>
    </w:p>
    <w:p w14:paraId="0AE7D87A" w14:textId="77777777" w:rsidR="00146BDA" w:rsidRPr="00146BDA" w:rsidRDefault="00146BDA" w:rsidP="005926AE">
      <w:pPr>
        <w:pStyle w:val="SingleTxtG"/>
        <w:rPr>
          <w:lang w:val="fr-FR"/>
        </w:rPr>
      </w:pPr>
      <w:r w:rsidRPr="00146BDA">
        <w:rPr>
          <w:lang w:val="fr-FR"/>
        </w:rPr>
        <w:t>9.</w:t>
      </w:r>
      <w:r w:rsidRPr="00146BDA">
        <w:rPr>
          <w:lang w:val="fr-FR"/>
        </w:rPr>
        <w:tab/>
        <w:t xml:space="preserve">En clair, toute exploitation des enfants (traite, travail forcé, exploitation sexuelle) est punie par la loi et les victimes ou leurs tuteurs peuvent saisir les autorités compétentes comme l’Inspection du travail et les Tribunaux pour faire cesser ces abus, punir les auteurs et réparer le préjudice de la victime. </w:t>
      </w:r>
    </w:p>
    <w:p w14:paraId="6F240251" w14:textId="5EDDA239" w:rsidR="00146BDA" w:rsidRPr="00146BDA" w:rsidRDefault="00146BDA" w:rsidP="005926AE">
      <w:pPr>
        <w:pStyle w:val="SingleTxtG"/>
        <w:rPr>
          <w:lang w:val="fr-FR"/>
        </w:rPr>
      </w:pPr>
      <w:r w:rsidRPr="00146BDA">
        <w:rPr>
          <w:lang w:val="fr-FR"/>
        </w:rPr>
        <w:t>10.</w:t>
      </w:r>
      <w:r w:rsidRPr="00146BDA">
        <w:rPr>
          <w:lang w:val="fr-FR"/>
        </w:rPr>
        <w:tab/>
        <w:t>Par ailleurs, d’autres initiatives sont prises parmi lesquelles :</w:t>
      </w:r>
      <w:r>
        <w:rPr>
          <w:lang w:val="fr-FR"/>
        </w:rPr>
        <w:t xml:space="preserve"> </w:t>
      </w:r>
    </w:p>
    <w:p w14:paraId="5379CBF2" w14:textId="07B4BA8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place d’Observatoires de la Vulnérabilité à la Déperdition scolaire (OVDS) et de Cellules d’Alerte et de Veille contre les Violences à l’École (CAVE) ;</w:t>
      </w:r>
    </w:p>
    <w:p w14:paraId="0291D9C3" w14:textId="7EA47F4D"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œuvre du projet « Renforcement de l’Appui à la Protection des Enfants dans l’Éducation au Sénégal (RAP) » dans 8 académies ;</w:t>
      </w:r>
    </w:p>
    <w:p w14:paraId="305BAEF6" w14:textId="289531C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développement du programme « Apprendre sans peur » en relation avec les partenaires de la société civile ;</w:t>
      </w:r>
    </w:p>
    <w:p w14:paraId="4853D1C9" w14:textId="587200C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L’élaboration et adoption d’un Référentiel national pour la détection et la gestion des situations de risques affectant un(e) élève dans le cadre du programme RAP.</w:t>
      </w:r>
    </w:p>
    <w:p w14:paraId="742C00CC" w14:textId="77777777" w:rsidR="00146BDA" w:rsidRPr="00146BDA" w:rsidRDefault="00146BDA" w:rsidP="005926AE">
      <w:pPr>
        <w:pStyle w:val="SingleTxtG"/>
        <w:rPr>
          <w:lang w:val="fr-FR"/>
        </w:rPr>
      </w:pPr>
      <w:r w:rsidRPr="00146BDA">
        <w:rPr>
          <w:lang w:val="fr-FR"/>
        </w:rPr>
        <w:t>11.</w:t>
      </w:r>
      <w:r w:rsidRPr="00146BDA">
        <w:rPr>
          <w:lang w:val="fr-FR"/>
        </w:rPr>
        <w:tab/>
        <w:t>Au plan institutionnel et programmatique :</w:t>
      </w:r>
    </w:p>
    <w:p w14:paraId="24F98F3E" w14:textId="7F5419E2"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création de la Cellule Nationale de Lutte contre la Traite des Personnes, en particulier des femmes et des enfants, par arrêté </w:t>
      </w:r>
      <w:proofErr w:type="spellStart"/>
      <w:r w:rsidR="00146BDA" w:rsidRPr="00146BDA">
        <w:rPr>
          <w:lang w:val="fr-FR"/>
        </w:rPr>
        <w:t>primatoral</w:t>
      </w:r>
      <w:proofErr w:type="spellEnd"/>
      <w:r w:rsidR="00146BDA" w:rsidRPr="00146BDA">
        <w:rPr>
          <w:lang w:val="fr-FR"/>
        </w:rPr>
        <w:t xml:space="preserve"> </w:t>
      </w:r>
      <w:r w:rsidR="00B118A7">
        <w:rPr>
          <w:lang w:val="fr-FR"/>
        </w:rPr>
        <w:t>n</w:t>
      </w:r>
      <w:r w:rsidR="00B118A7" w:rsidRPr="005A743A">
        <w:rPr>
          <w:vertAlign w:val="superscript"/>
          <w:lang w:val="fr-FR"/>
        </w:rPr>
        <w:t>o</w:t>
      </w:r>
      <w:r w:rsidR="00B118A7">
        <w:rPr>
          <w:lang w:val="fr-FR"/>
        </w:rPr>
        <w:t> </w:t>
      </w:r>
      <w:r w:rsidR="00146BDA" w:rsidRPr="00146BDA">
        <w:rPr>
          <w:lang w:val="fr-FR"/>
        </w:rPr>
        <w:t xml:space="preserve">09051 du 8 </w:t>
      </w:r>
      <w:r w:rsidR="00B118A7">
        <w:rPr>
          <w:lang w:val="fr-FR"/>
        </w:rPr>
        <w:t>a</w:t>
      </w:r>
      <w:r w:rsidR="00146BDA" w:rsidRPr="00146BDA">
        <w:rPr>
          <w:lang w:val="fr-FR"/>
        </w:rPr>
        <w:t>oût 2010 ;</w:t>
      </w:r>
    </w:p>
    <w:p w14:paraId="14F8F978" w14:textId="5B5FA54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création du Comité national de </w:t>
      </w:r>
      <w:r w:rsidR="00C9311F">
        <w:rPr>
          <w:lang w:val="fr-FR"/>
        </w:rPr>
        <w:t>l</w:t>
      </w:r>
      <w:r w:rsidR="00146BDA" w:rsidRPr="00146BDA">
        <w:rPr>
          <w:lang w:val="fr-FR"/>
        </w:rPr>
        <w:t xml:space="preserve">utte contre la </w:t>
      </w:r>
      <w:r w:rsidR="00C9311F">
        <w:rPr>
          <w:lang w:val="fr-FR"/>
        </w:rPr>
        <w:t>t</w:t>
      </w:r>
      <w:r w:rsidR="00146BDA" w:rsidRPr="00146BDA">
        <w:rPr>
          <w:lang w:val="fr-FR"/>
        </w:rPr>
        <w:t xml:space="preserve">raite des </w:t>
      </w:r>
      <w:r w:rsidR="00C9311F">
        <w:rPr>
          <w:lang w:val="fr-FR"/>
        </w:rPr>
        <w:t>p</w:t>
      </w:r>
      <w:r w:rsidR="00146BDA" w:rsidRPr="00146BDA">
        <w:rPr>
          <w:lang w:val="fr-FR"/>
        </w:rPr>
        <w:t xml:space="preserve">ersonnes et le </w:t>
      </w:r>
      <w:r w:rsidR="00C9311F">
        <w:rPr>
          <w:lang w:val="fr-FR"/>
        </w:rPr>
        <w:t>t</w:t>
      </w:r>
      <w:r w:rsidR="00146BDA" w:rsidRPr="00146BDA">
        <w:rPr>
          <w:lang w:val="fr-FR"/>
        </w:rPr>
        <w:t xml:space="preserve">rafic illicite de migrants, par décret </w:t>
      </w:r>
      <w:r w:rsidR="00B118A7">
        <w:rPr>
          <w:lang w:val="fr-FR"/>
        </w:rPr>
        <w:t>n</w:t>
      </w:r>
      <w:r w:rsidR="00B118A7" w:rsidRPr="005A743A">
        <w:rPr>
          <w:vertAlign w:val="superscript"/>
          <w:lang w:val="fr-FR"/>
        </w:rPr>
        <w:t>o</w:t>
      </w:r>
      <w:r w:rsidR="00B118A7">
        <w:rPr>
          <w:lang w:val="fr-FR"/>
        </w:rPr>
        <w:t> </w:t>
      </w:r>
      <w:r w:rsidR="00146BDA" w:rsidRPr="00146BDA">
        <w:rPr>
          <w:lang w:val="fr-FR"/>
        </w:rPr>
        <w:t>2020-2064 du 27 octobre 2020 ;</w:t>
      </w:r>
    </w:p>
    <w:p w14:paraId="2E87300F" w14:textId="44DC882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création de l</w:t>
      </w:r>
      <w:r w:rsidR="00546497">
        <w:rPr>
          <w:lang w:val="fr-FR"/>
        </w:rPr>
        <w:t>’</w:t>
      </w:r>
      <w:r w:rsidR="00146BDA" w:rsidRPr="00146BDA">
        <w:rPr>
          <w:lang w:val="fr-FR"/>
        </w:rPr>
        <w:t xml:space="preserve">Inspection des </w:t>
      </w:r>
      <w:r w:rsidR="00C9311F">
        <w:rPr>
          <w:i/>
          <w:iCs/>
          <w:lang w:val="fr-FR"/>
        </w:rPr>
        <w:t>d</w:t>
      </w:r>
      <w:r w:rsidR="00146BDA" w:rsidRPr="006D217C">
        <w:rPr>
          <w:i/>
          <w:iCs/>
          <w:lang w:val="fr-FR"/>
        </w:rPr>
        <w:t>aaras</w:t>
      </w:r>
      <w:r w:rsidR="00146BDA" w:rsidRPr="00146BDA">
        <w:rPr>
          <w:lang w:val="fr-FR"/>
        </w:rPr>
        <w:t xml:space="preserve">, chargée de définir et de mettre en œuvre la politique de modernisation des </w:t>
      </w:r>
      <w:r w:rsidR="00C9311F">
        <w:rPr>
          <w:i/>
          <w:iCs/>
          <w:lang w:val="fr-FR"/>
        </w:rPr>
        <w:t>d</w:t>
      </w:r>
      <w:r w:rsidR="00146BDA" w:rsidRPr="006D217C">
        <w:rPr>
          <w:i/>
          <w:iCs/>
          <w:lang w:val="fr-FR"/>
        </w:rPr>
        <w:t>aaras</w:t>
      </w:r>
      <w:r w:rsidR="00146BDA" w:rsidRPr="00146BDA">
        <w:rPr>
          <w:lang w:val="fr-FR"/>
        </w:rPr>
        <w:t xml:space="preserve"> ;</w:t>
      </w:r>
    </w:p>
    <w:p w14:paraId="134B8386" w14:textId="692829E8"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mise en place du Projet d’Appui à la Modernisation des </w:t>
      </w:r>
      <w:r w:rsidR="00C9311F">
        <w:rPr>
          <w:i/>
          <w:iCs/>
          <w:lang w:val="fr-FR"/>
        </w:rPr>
        <w:t>d</w:t>
      </w:r>
      <w:r w:rsidR="00146BDA" w:rsidRPr="006D217C">
        <w:rPr>
          <w:i/>
          <w:iCs/>
          <w:lang w:val="fr-FR"/>
        </w:rPr>
        <w:t>aaras</w:t>
      </w:r>
      <w:r w:rsidR="00146BDA" w:rsidRPr="00146BDA">
        <w:rPr>
          <w:lang w:val="fr-FR"/>
        </w:rPr>
        <w:t xml:space="preserve"> (PAMOD) ;</w:t>
      </w:r>
    </w:p>
    <w:p w14:paraId="53015783" w14:textId="6308F191"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L’État a intégré dans le Programme d’Amélioration de la Qualité, de l’Équité et de la Transparence dans le secteur de l’éducation et de la formation (PAQUET-EF) 2018-2030 la politique de modernisation des </w:t>
      </w:r>
      <w:r w:rsidR="00C9311F" w:rsidRPr="006D217C">
        <w:rPr>
          <w:i/>
          <w:iCs/>
          <w:lang w:val="fr-FR"/>
        </w:rPr>
        <w:t>d</w:t>
      </w:r>
      <w:r w:rsidR="00146BDA" w:rsidRPr="006D217C">
        <w:rPr>
          <w:i/>
          <w:iCs/>
          <w:lang w:val="fr-FR"/>
        </w:rPr>
        <w:t>aaras</w:t>
      </w:r>
      <w:r w:rsidR="00146BDA" w:rsidRPr="00146BDA">
        <w:rPr>
          <w:lang w:val="fr-FR"/>
        </w:rPr>
        <w:t xml:space="preserve"> pour en faire un instrument de diversification de l’offre d’éducation avec l’appui des partenaires, notamment la Banque Islamique de Développement (BID) ;</w:t>
      </w:r>
    </w:p>
    <w:p w14:paraId="75872064" w14:textId="086D4551"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L’élaboration d’un plan d’actions national sur la protection des enfants en ligne ;</w:t>
      </w:r>
    </w:p>
    <w:p w14:paraId="5BF29A6E" w14:textId="4B654DF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L’installation d’un portail de signalement d’images d’abus sexuels sur enfants en ligne au Sénégal en septembre 2019 par la MFFGPE à travers la CAPE ;</w:t>
      </w:r>
    </w:p>
    <w:p w14:paraId="051B62C7" w14:textId="0E075C1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Projet d’élaboration d’un guide de protection des enfants en ligne contre les violences sexuelles ;</w:t>
      </w:r>
    </w:p>
    <w:p w14:paraId="06A92697" w14:textId="13CBD717"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L’adoption de plan d</w:t>
      </w:r>
      <w:r w:rsidR="00546497">
        <w:rPr>
          <w:lang w:val="fr-FR"/>
        </w:rPr>
        <w:t>’</w:t>
      </w:r>
      <w:r w:rsidR="00146BDA" w:rsidRPr="00146BDA">
        <w:rPr>
          <w:lang w:val="fr-FR"/>
        </w:rPr>
        <w:t>actions national de lutte contre la traite des personnes ;</w:t>
      </w:r>
    </w:p>
    <w:p w14:paraId="223A2E79" w14:textId="6944E9D7"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L’intégration du RAO (Réseau Afrique de l</w:t>
      </w:r>
      <w:r w:rsidR="00546497">
        <w:rPr>
          <w:lang w:val="fr-FR"/>
        </w:rPr>
        <w:t>’</w:t>
      </w:r>
      <w:r w:rsidR="00146BDA" w:rsidRPr="00146BDA">
        <w:rPr>
          <w:lang w:val="fr-FR"/>
        </w:rPr>
        <w:t>Ouest pour la protection des enfants) qui constitue un cadre de coordination de la prise en charge des enfants en mobilité, notamment sur la base des Standards validés par tous les pays de la CEDEAO ;</w:t>
      </w:r>
    </w:p>
    <w:p w14:paraId="2D15939A" w14:textId="379BA63B"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L’adoption en 2013 d</w:t>
      </w:r>
      <w:r w:rsidR="00546497">
        <w:rPr>
          <w:lang w:val="fr-FR"/>
        </w:rPr>
        <w:t>’</w:t>
      </w:r>
      <w:r w:rsidR="00146BDA" w:rsidRPr="00146BDA">
        <w:rPr>
          <w:lang w:val="fr-FR"/>
        </w:rPr>
        <w:t>un référentiel national de protection de l</w:t>
      </w:r>
      <w:r w:rsidR="00546497">
        <w:rPr>
          <w:lang w:val="fr-FR"/>
        </w:rPr>
        <w:t>’</w:t>
      </w:r>
      <w:r w:rsidR="00146BDA" w:rsidRPr="00146BDA">
        <w:rPr>
          <w:lang w:val="fr-FR"/>
        </w:rPr>
        <w:t>enfant, la Stratégie Nationale de Protection de l</w:t>
      </w:r>
      <w:r w:rsidR="00546497">
        <w:rPr>
          <w:lang w:val="fr-FR"/>
        </w:rPr>
        <w:t>’</w:t>
      </w:r>
      <w:r w:rsidR="00146BDA" w:rsidRPr="00146BDA">
        <w:rPr>
          <w:lang w:val="fr-FR"/>
        </w:rPr>
        <w:t xml:space="preserve">Enfant </w:t>
      </w:r>
      <w:r w:rsidR="00146BDA" w:rsidRPr="006D217C">
        <w:rPr>
          <w:lang w:val="fr-FR"/>
        </w:rPr>
        <w:t>(SNPE évaluée en 2022</w:t>
      </w:r>
      <w:r w:rsidR="00146BDA" w:rsidRPr="00146BDA">
        <w:rPr>
          <w:lang w:val="fr-FR"/>
        </w:rPr>
        <w:t>), qui prédispose la création d</w:t>
      </w:r>
      <w:r w:rsidR="00546497">
        <w:rPr>
          <w:lang w:val="fr-FR"/>
        </w:rPr>
        <w:t>’</w:t>
      </w:r>
      <w:r w:rsidR="00146BDA" w:rsidRPr="00146BDA">
        <w:rPr>
          <w:lang w:val="fr-FR"/>
        </w:rPr>
        <w:t>un système national intégré de protection ;</w:t>
      </w:r>
    </w:p>
    <w:p w14:paraId="2FCC44E7" w14:textId="5B005A78" w:rsidR="00146BDA" w:rsidRPr="00146BDA" w:rsidRDefault="006D217C" w:rsidP="006D217C">
      <w:pPr>
        <w:pStyle w:val="Bullet1G"/>
        <w:numPr>
          <w:ilvl w:val="0"/>
          <w:numId w:val="0"/>
        </w:numPr>
        <w:tabs>
          <w:tab w:val="left" w:pos="1701"/>
        </w:tabs>
        <w:ind w:left="1701" w:hanging="170"/>
        <w:rPr>
          <w:lang w:val="fr-FR"/>
        </w:rPr>
      </w:pPr>
      <w:r w:rsidRPr="00146BDA">
        <w:rPr>
          <w:lang w:val="fr-FR"/>
        </w:rPr>
        <w:lastRenderedPageBreak/>
        <w:t>•</w:t>
      </w:r>
      <w:r w:rsidRPr="00146BDA">
        <w:rPr>
          <w:lang w:val="fr-FR"/>
        </w:rPr>
        <w:tab/>
      </w:r>
      <w:r w:rsidR="00146BDA" w:rsidRPr="00146BDA">
        <w:rPr>
          <w:lang w:val="fr-FR"/>
        </w:rPr>
        <w:t>La création d</w:t>
      </w:r>
      <w:r w:rsidR="00546497">
        <w:rPr>
          <w:lang w:val="fr-FR"/>
        </w:rPr>
        <w:t>’</w:t>
      </w:r>
      <w:r w:rsidR="00146BDA" w:rsidRPr="00146BDA">
        <w:rPr>
          <w:lang w:val="fr-FR"/>
        </w:rPr>
        <w:t>une base de données sur l</w:t>
      </w:r>
      <w:r w:rsidR="00546497">
        <w:rPr>
          <w:lang w:val="fr-FR"/>
        </w:rPr>
        <w:t>’</w:t>
      </w:r>
      <w:r w:rsidR="00146BDA" w:rsidRPr="00146BDA">
        <w:rPr>
          <w:lang w:val="fr-FR"/>
        </w:rPr>
        <w:t>évolution et les tendances dans le cadre des poursuites judiciaires en matière de traite des personnes.</w:t>
      </w:r>
    </w:p>
    <w:p w14:paraId="1482D2DF" w14:textId="2A595250" w:rsidR="00146BDA" w:rsidRPr="00146BDA" w:rsidRDefault="00146BDA" w:rsidP="005926AE">
      <w:pPr>
        <w:pStyle w:val="SingleTxtG"/>
        <w:rPr>
          <w:bCs/>
          <w:lang w:val="fr-FR"/>
        </w:rPr>
      </w:pPr>
      <w:r w:rsidRPr="00146BDA">
        <w:rPr>
          <w:lang w:val="fr-FR"/>
        </w:rPr>
        <w:t>12.</w:t>
      </w:r>
      <w:r w:rsidRPr="00146BDA">
        <w:rPr>
          <w:lang w:val="fr-FR"/>
        </w:rPr>
        <w:tab/>
      </w:r>
      <w:r w:rsidR="00B118A7">
        <w:rPr>
          <w:lang w:val="fr-FR"/>
        </w:rPr>
        <w:t>À</w:t>
      </w:r>
      <w:r w:rsidRPr="00146BDA">
        <w:rPr>
          <w:lang w:val="fr-FR"/>
        </w:rPr>
        <w:t xml:space="preserve"> cela s’ajoutent d’autres projets et programmes mis en œuvre en faveur des enfants tels que :</w:t>
      </w:r>
    </w:p>
    <w:p w14:paraId="79E08089" w14:textId="17C77C8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Projet</w:t>
      </w:r>
      <w:r w:rsidR="00B118A7">
        <w:rPr>
          <w:lang w:val="fr-FR"/>
        </w:rPr>
        <w:t xml:space="preserve"> </w:t>
      </w:r>
      <w:r w:rsidR="00146BDA" w:rsidRPr="00146BDA">
        <w:rPr>
          <w:lang w:val="fr-FR"/>
        </w:rPr>
        <w:t>Investir dans les Premières Années pour le Développement Humain au Sénégal (PIPADHS) du MFFGPE, pour offrir des services communautaires de santé et de nutrition de 930</w:t>
      </w:r>
      <w:r w:rsidR="00B118A7">
        <w:rPr>
          <w:lang w:val="fr-FR"/>
        </w:rPr>
        <w:t> </w:t>
      </w:r>
      <w:r w:rsidR="00146BDA" w:rsidRPr="00146BDA">
        <w:rPr>
          <w:lang w:val="fr-FR"/>
        </w:rPr>
        <w:t>000 enfants de 0-23 mois ;</w:t>
      </w:r>
    </w:p>
    <w:p w14:paraId="34B00B92" w14:textId="48C71041"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Plan Stratégique Multisectoriel de la Nutrition (PSMN) 2018-2022 du Conseil National de Développement de la Nutrition (CNDN), pour renforcer la responsabilisation des secteurs et autres parties prenantes de la nutrition pour l’atteinte de la vision 2025 du Sénégal en matière de nutrition</w:t>
      </w:r>
      <w:r w:rsidR="005926AE">
        <w:rPr>
          <w:lang w:val="fr-FR"/>
        </w:rPr>
        <w:t>.</w:t>
      </w:r>
    </w:p>
    <w:p w14:paraId="26EB5F01" w14:textId="77777777" w:rsidR="00146BDA" w:rsidRPr="00146BDA" w:rsidRDefault="00146BDA" w:rsidP="005926AE">
      <w:pPr>
        <w:pStyle w:val="SingleTxtG"/>
        <w:rPr>
          <w:lang w:val="fr-FR"/>
        </w:rPr>
      </w:pPr>
      <w:r w:rsidRPr="00146BDA">
        <w:rPr>
          <w:lang w:val="fr-FR"/>
        </w:rPr>
        <w:t>13.</w:t>
      </w:r>
      <w:r w:rsidRPr="00146BDA">
        <w:rPr>
          <w:lang w:val="fr-FR"/>
        </w:rPr>
        <w:tab/>
        <w:t>Concernant la lutte contre la mendicité forcée des enfants, le Gouvernement du Sénégal a développé une grande initiative de retrait des enfants de la rue, sur instruction du Président de la République, laquelle a été appuyée par un plan de communication pour le changement social positif en direction des communautés, des religieux, de la société civile et des partenaires techniques et financiers.</w:t>
      </w:r>
    </w:p>
    <w:p w14:paraId="2EA85F17" w14:textId="77777777" w:rsidR="00146BDA" w:rsidRPr="00146BDA" w:rsidRDefault="00146BDA" w:rsidP="005926AE">
      <w:pPr>
        <w:pStyle w:val="SingleTxtG"/>
        <w:rPr>
          <w:lang w:val="fr-FR"/>
        </w:rPr>
      </w:pPr>
      <w:r w:rsidRPr="00146BDA">
        <w:rPr>
          <w:lang w:val="fr-FR"/>
        </w:rPr>
        <w:t>14.</w:t>
      </w:r>
      <w:r w:rsidRPr="00146BDA">
        <w:rPr>
          <w:lang w:val="fr-FR"/>
        </w:rPr>
        <w:tab/>
        <w:t>Ceci a permis de mobiliser davantage les leaders communautaires, les organisations de femmes et les mouvements de jeunesse dans la lutte contre l’exploitation des enfants par la mendicité forcée. De même, des efforts importants ont été déployés dans la formation et le renforcement des capacités des acteurs de la chaine judiciaire pour assurer aux enfants victimes de traite et de maltraitance une protection plus efficace.</w:t>
      </w:r>
    </w:p>
    <w:p w14:paraId="0C54B1E7" w14:textId="27E8236A" w:rsidR="00146BDA" w:rsidRPr="00146BDA" w:rsidRDefault="00146BDA" w:rsidP="005926AE">
      <w:pPr>
        <w:pStyle w:val="SingleTxtG"/>
        <w:rPr>
          <w:lang w:val="fr-FR"/>
        </w:rPr>
      </w:pPr>
      <w:r w:rsidRPr="00146BDA">
        <w:rPr>
          <w:lang w:val="fr-FR"/>
        </w:rPr>
        <w:t>15.</w:t>
      </w:r>
      <w:r w:rsidRPr="00146BDA">
        <w:rPr>
          <w:lang w:val="fr-FR"/>
        </w:rPr>
        <w:tab/>
        <w:t xml:space="preserve">Dans le cadre de la lutte contre l’exploitation des enfants par la mendicité et à la faveur de la mise en œuvre du Projet de Protection d’urgence des enfants contre la </w:t>
      </w:r>
      <w:r w:rsidR="00B118A7" w:rsidRPr="00146BDA">
        <w:rPr>
          <w:lang w:val="fr-FR"/>
        </w:rPr>
        <w:t>Covid</w:t>
      </w:r>
      <w:r w:rsidRPr="00146BDA">
        <w:rPr>
          <w:lang w:val="fr-FR"/>
        </w:rPr>
        <w:t>-19, une cellule de coordination, de veille et de suivi a été mis en place et a permis de renforcer la collaboration entre les différentes parties prenantes pour une meilleure prise en charge des enfants en situation de rue. Pour preuve, durant le premier semestre 2020, plus de 5</w:t>
      </w:r>
      <w:r w:rsidR="00B118A7">
        <w:rPr>
          <w:lang w:val="fr-FR"/>
        </w:rPr>
        <w:t> </w:t>
      </w:r>
      <w:r w:rsidRPr="00146BDA">
        <w:rPr>
          <w:lang w:val="fr-FR"/>
        </w:rPr>
        <w:t>000 enfants ont été retirés de la rue, alors que la prévision pour l’année était de 1</w:t>
      </w:r>
      <w:r w:rsidR="00B118A7">
        <w:rPr>
          <w:lang w:val="fr-FR"/>
        </w:rPr>
        <w:t> </w:t>
      </w:r>
      <w:r w:rsidRPr="00146BDA">
        <w:rPr>
          <w:lang w:val="fr-FR"/>
        </w:rPr>
        <w:t>000 enfants.</w:t>
      </w:r>
    </w:p>
    <w:p w14:paraId="28399567" w14:textId="56282078" w:rsidR="00146BDA" w:rsidRPr="00146BDA" w:rsidRDefault="00146BDA" w:rsidP="005926AE">
      <w:pPr>
        <w:pStyle w:val="SingleTxtG"/>
        <w:rPr>
          <w:lang w:val="fr-FR"/>
        </w:rPr>
      </w:pPr>
      <w:r w:rsidRPr="00146BDA">
        <w:rPr>
          <w:lang w:val="fr-FR"/>
        </w:rPr>
        <w:t>16.</w:t>
      </w:r>
      <w:r w:rsidRPr="00146BDA">
        <w:rPr>
          <w:lang w:val="fr-FR"/>
        </w:rPr>
        <w:tab/>
        <w:t xml:space="preserve">S’agissant de la protection de l’enfant notamment contre la mendicité forcée, les actions menées ont essentiellement trait à la protection d’urgence des enfants contre la </w:t>
      </w:r>
      <w:r w:rsidR="00B118A7" w:rsidRPr="00146BDA">
        <w:rPr>
          <w:lang w:val="fr-FR"/>
        </w:rPr>
        <w:t>Covid</w:t>
      </w:r>
      <w:r w:rsidRPr="00146BDA">
        <w:rPr>
          <w:lang w:val="fr-FR"/>
        </w:rPr>
        <w:t xml:space="preserve">-19. Dans le cadre du renforcement de la mise en œuvre du Plan d’urgence, un Dispositif spécial de protection sociale des enfants en situation difficile (DSPSESD), instruit par le Président de la République, lors du Conseil des </w:t>
      </w:r>
      <w:r w:rsidR="00B118A7">
        <w:rPr>
          <w:lang w:val="fr-FR"/>
        </w:rPr>
        <w:t>m</w:t>
      </w:r>
      <w:r w:rsidRPr="00146BDA">
        <w:rPr>
          <w:lang w:val="fr-FR"/>
        </w:rPr>
        <w:t xml:space="preserve">inistres du 29 avril 2020, déployé sur l’ensemble du territoire national est mis œuvre par le Ministère en charge de la </w:t>
      </w:r>
      <w:r w:rsidR="00C9311F">
        <w:rPr>
          <w:lang w:val="fr-FR"/>
        </w:rPr>
        <w:t>p</w:t>
      </w:r>
      <w:r w:rsidRPr="00146BDA">
        <w:rPr>
          <w:lang w:val="fr-FR"/>
        </w:rPr>
        <w:t xml:space="preserve">rotection des </w:t>
      </w:r>
      <w:r w:rsidR="00C9311F">
        <w:rPr>
          <w:lang w:val="fr-FR"/>
        </w:rPr>
        <w:t>e</w:t>
      </w:r>
      <w:r w:rsidRPr="00146BDA">
        <w:rPr>
          <w:lang w:val="fr-FR"/>
        </w:rPr>
        <w:t>nfants.</w:t>
      </w:r>
    </w:p>
    <w:p w14:paraId="442569E2" w14:textId="30532AFA" w:rsidR="00146BDA" w:rsidRPr="00146BDA" w:rsidRDefault="00146BDA" w:rsidP="005926AE">
      <w:pPr>
        <w:pStyle w:val="SingleTxtG"/>
        <w:rPr>
          <w:lang w:val="fr-FR"/>
        </w:rPr>
      </w:pPr>
      <w:r w:rsidRPr="00146BDA">
        <w:rPr>
          <w:lang w:val="fr-FR"/>
        </w:rPr>
        <w:t>17.</w:t>
      </w:r>
      <w:r w:rsidRPr="00146BDA">
        <w:rPr>
          <w:lang w:val="fr-FR"/>
        </w:rPr>
        <w:tab/>
        <w:t xml:space="preserve">Le Projet de protection d’urgence des enfants en situation de rue « Zéro enfant dans la rue » qui s’inscrit dans le cadre du Plan de contingence nationale pour répondre aux besoins spécifiques de protection des enfants dans le contexte du </w:t>
      </w:r>
      <w:r w:rsidR="00B118A7" w:rsidRPr="00146BDA">
        <w:rPr>
          <w:lang w:val="fr-FR"/>
        </w:rPr>
        <w:t>Covid</w:t>
      </w:r>
      <w:r w:rsidRPr="00146BDA">
        <w:rPr>
          <w:lang w:val="fr-FR"/>
        </w:rPr>
        <w:t>-19, conformément aux principes fondamentaux des droits de l’enfant</w:t>
      </w:r>
      <w:r w:rsidR="00B118A7">
        <w:rPr>
          <w:lang w:val="fr-FR"/>
        </w:rPr>
        <w:t> </w:t>
      </w:r>
      <w:r w:rsidRPr="00146BDA">
        <w:rPr>
          <w:lang w:val="fr-FR"/>
        </w:rPr>
        <w:t xml:space="preserve">: non-discrimination, intérêt supérieur de l’enfant, vie, survie et développement, participation, appliqués au contexte du </w:t>
      </w:r>
      <w:r w:rsidR="00B118A7" w:rsidRPr="00146BDA">
        <w:rPr>
          <w:lang w:val="fr-FR"/>
        </w:rPr>
        <w:t>Covid</w:t>
      </w:r>
      <w:r w:rsidRPr="00146BDA">
        <w:rPr>
          <w:lang w:val="fr-FR"/>
        </w:rPr>
        <w:t xml:space="preserve">-19, qui exige une protection spécialisée. </w:t>
      </w:r>
    </w:p>
    <w:p w14:paraId="6085A33D" w14:textId="09ABD587" w:rsidR="00146BDA" w:rsidRPr="00146BDA" w:rsidRDefault="00146BDA" w:rsidP="005926AE">
      <w:pPr>
        <w:pStyle w:val="SingleTxtG"/>
        <w:rPr>
          <w:lang w:val="fr-FR"/>
        </w:rPr>
      </w:pPr>
      <w:r w:rsidRPr="00146BDA">
        <w:rPr>
          <w:lang w:val="fr-FR"/>
        </w:rPr>
        <w:t>18.</w:t>
      </w:r>
      <w:r w:rsidRPr="00146BDA">
        <w:rPr>
          <w:lang w:val="fr-FR"/>
        </w:rPr>
        <w:tab/>
        <w:t xml:space="preserve">Le Projet </w:t>
      </w:r>
      <w:r w:rsidRPr="00146BDA">
        <w:rPr>
          <w:i/>
          <w:lang w:val="fr-FR"/>
        </w:rPr>
        <w:t>Zéro enfant dans la rue</w:t>
      </w:r>
      <w:r w:rsidRPr="00146BDA">
        <w:rPr>
          <w:lang w:val="fr-FR"/>
        </w:rPr>
        <w:t xml:space="preserve"> a permis de retirer 5</w:t>
      </w:r>
      <w:r w:rsidR="00B118A7">
        <w:rPr>
          <w:lang w:val="fr-FR"/>
        </w:rPr>
        <w:t> </w:t>
      </w:r>
      <w:r w:rsidRPr="00146BDA">
        <w:rPr>
          <w:lang w:val="fr-FR"/>
        </w:rPr>
        <w:t>333 enfants de rue âgés de 4 à 17 ans et de les mettre à l’abri dans des structures d’accueil qui ont été appuyées en denrées alimentaires, produits d’hygiène et sanitaires et équipements divers pour contribuer à leur prise en charge adéquate. Sur ce nombre, plus de 90</w:t>
      </w:r>
      <w:r w:rsidR="00B118A7">
        <w:rPr>
          <w:lang w:val="fr-FR"/>
        </w:rPr>
        <w:t> </w:t>
      </w:r>
      <w:r w:rsidRPr="00146BDA">
        <w:rPr>
          <w:lang w:val="fr-FR"/>
        </w:rPr>
        <w:t xml:space="preserve">% ont pu être retournés en famille notamment dans les régions de Kaffrine, Diourbel, Matam, Kaolack, Tambacounda, Kolda, Ziguinchor, Sédhiou et Vélingara. </w:t>
      </w:r>
    </w:p>
    <w:p w14:paraId="01D44DE1" w14:textId="750A8EF4" w:rsidR="00146BDA" w:rsidRPr="00146BDA" w:rsidRDefault="00146BDA" w:rsidP="007F5E8F">
      <w:pPr>
        <w:pStyle w:val="H1G"/>
        <w:rPr>
          <w:lang w:val="fr-FR"/>
        </w:rPr>
      </w:pPr>
      <w:r w:rsidRPr="00146BDA">
        <w:rPr>
          <w:lang w:val="fr-FR"/>
        </w:rPr>
        <w:tab/>
      </w:r>
      <w:r w:rsidR="005926AE">
        <w:rPr>
          <w:lang w:val="fr-FR"/>
        </w:rPr>
        <w:tab/>
      </w:r>
      <w:r w:rsidR="005926AE">
        <w:rPr>
          <w:lang w:val="fr-FR"/>
        </w:rPr>
        <w:tab/>
      </w:r>
      <w:r w:rsidRPr="00146BDA">
        <w:rPr>
          <w:lang w:val="fr-FR"/>
        </w:rPr>
        <w:t>Articles 1</w:t>
      </w:r>
      <w:r w:rsidRPr="00146BDA">
        <w:rPr>
          <w:vertAlign w:val="superscript"/>
          <w:lang w:val="fr-FR"/>
        </w:rPr>
        <w:t>er</w:t>
      </w:r>
      <w:r w:rsidRPr="00146BDA">
        <w:rPr>
          <w:lang w:val="fr-FR"/>
        </w:rPr>
        <w:t xml:space="preserve"> et 4</w:t>
      </w:r>
    </w:p>
    <w:p w14:paraId="0F823BE5" w14:textId="3D977E49" w:rsidR="00B54287" w:rsidRDefault="00B54287" w:rsidP="00B54287">
      <w:pPr>
        <w:pStyle w:val="H23G"/>
      </w:pPr>
      <w:r>
        <w:tab/>
      </w:r>
      <w:r>
        <w:tab/>
        <w:t>Réponse au paragraphe 2 de la liste de points</w:t>
      </w:r>
      <w:r w:rsidRPr="00146BDA">
        <w:t xml:space="preserve"> </w:t>
      </w:r>
    </w:p>
    <w:p w14:paraId="7EE47D93" w14:textId="1E599493" w:rsidR="00146BDA" w:rsidRPr="00146BDA" w:rsidRDefault="00146BDA" w:rsidP="005926AE">
      <w:pPr>
        <w:pStyle w:val="SingleTxtG"/>
        <w:rPr>
          <w:bCs/>
          <w:iCs/>
          <w:lang w:val="fr-FR" w:eastAsia="es-ES"/>
        </w:rPr>
      </w:pPr>
      <w:r w:rsidRPr="00146BDA">
        <w:t>19.</w:t>
      </w:r>
      <w:r>
        <w:t xml:space="preserve"> </w:t>
      </w:r>
      <w:r w:rsidR="009F23C6">
        <w:tab/>
      </w:r>
      <w:r w:rsidR="008F2675">
        <w:t>À</w:t>
      </w:r>
      <w:r w:rsidRPr="00146BDA">
        <w:t xml:space="preserve"> l’heure actuelle, il n’y a pas encore de projet ou proposition de loi tendant à inclure dans l’article 295-1 du </w:t>
      </w:r>
      <w:r w:rsidR="00B118A7" w:rsidRPr="00146BDA">
        <w:t xml:space="preserve">Code </w:t>
      </w:r>
      <w:r w:rsidRPr="00146BDA">
        <w:t xml:space="preserve">pénal, les actes visant à obtenir des renseignements, à punir, à intimider ou à faire pression sur une tierce personne. Les actes de torture restent, cependant </w:t>
      </w:r>
      <w:r w:rsidRPr="00146BDA">
        <w:lastRenderedPageBreak/>
        <w:t xml:space="preserve">punis, en raison de leur gravité rappelée dans la Convention d’une peine d’emprisonnement allant de cinq (5) à dix (10) ans et d’une une amende de 100 000 à 500 000 francs. En outre, le législateur Sénégalais a exclu tout fait justificatif pouvant être invoqué par l’auteur de torture pour se soustraire de sa responsabilité pénale. </w:t>
      </w:r>
    </w:p>
    <w:p w14:paraId="1EB25EED" w14:textId="311B1F93" w:rsidR="00146BDA" w:rsidRPr="00146BDA" w:rsidRDefault="00146BDA" w:rsidP="007F5E8F">
      <w:pPr>
        <w:pStyle w:val="H1G"/>
        <w:rPr>
          <w:lang w:val="fr-FR"/>
        </w:rPr>
      </w:pPr>
      <w:r w:rsidRPr="00146BDA">
        <w:rPr>
          <w:lang w:val="fr-FR"/>
        </w:rPr>
        <w:tab/>
      </w:r>
      <w:r w:rsidR="005926AE">
        <w:rPr>
          <w:lang w:val="fr-FR"/>
        </w:rPr>
        <w:tab/>
      </w:r>
      <w:r w:rsidRPr="00146BDA">
        <w:rPr>
          <w:lang w:val="fr-FR"/>
        </w:rPr>
        <w:t>Article 2</w:t>
      </w:r>
    </w:p>
    <w:p w14:paraId="3BF05A94" w14:textId="73DE1AC1" w:rsidR="00146BDA" w:rsidRPr="00146BDA" w:rsidRDefault="00B54287" w:rsidP="00B54287">
      <w:pPr>
        <w:pStyle w:val="H23G"/>
        <w:rPr>
          <w:rFonts w:eastAsia="Calibri"/>
          <w:sz w:val="24"/>
          <w:szCs w:val="24"/>
        </w:rPr>
      </w:pPr>
      <w:r>
        <w:tab/>
      </w:r>
      <w:r>
        <w:tab/>
        <w:t>Réponse au paragraphe 3 de la liste de points</w:t>
      </w:r>
      <w:r w:rsidR="00146BDA" w:rsidRPr="00146BDA">
        <w:rPr>
          <w:rFonts w:eastAsia="Calibri"/>
          <w:sz w:val="24"/>
          <w:szCs w:val="24"/>
          <w:lang w:val="fr-FR"/>
        </w:rPr>
        <w:t xml:space="preserve"> </w:t>
      </w:r>
    </w:p>
    <w:p w14:paraId="0ECFA740" w14:textId="6DA58446" w:rsidR="00146BDA" w:rsidRPr="006D217C" w:rsidRDefault="00146BDA" w:rsidP="005926AE">
      <w:pPr>
        <w:pStyle w:val="SingleTxtG"/>
        <w:rPr>
          <w:bCs/>
          <w:iCs/>
          <w:color w:val="000000" w:themeColor="text1"/>
          <w:lang w:val="fr-FR"/>
        </w:rPr>
      </w:pPr>
      <w:bookmarkStart w:id="1" w:name="_Hlk99527983"/>
      <w:r w:rsidRPr="00146BDA">
        <w:rPr>
          <w:lang w:val="fr-FR"/>
        </w:rPr>
        <w:t>20.</w:t>
      </w:r>
      <w:r w:rsidRPr="00146BDA">
        <w:rPr>
          <w:lang w:val="fr-FR"/>
        </w:rPr>
        <w:tab/>
        <w:t xml:space="preserve">Sur cette question, le Sénégal, en accord avec l’ordre des avocats, a décidé d’instaurer désormais l’annualisation du recrutement d’un nombre significatif de jeunes dans la profession d’avocat et l’accompagnement de leur installation, à l’intérieur du pays avec les fonds dédiés à l’aide juridictionnelle. </w:t>
      </w:r>
      <w:r w:rsidR="00B118A7">
        <w:rPr>
          <w:lang w:val="fr-FR"/>
        </w:rPr>
        <w:t>À</w:t>
      </w:r>
      <w:r w:rsidRPr="00146BDA">
        <w:rPr>
          <w:lang w:val="fr-FR"/>
        </w:rPr>
        <w:t xml:space="preserve"> cet effet, le nombre total de personnes admises aux examens d’aptitude au stage du Barreau organisés depuis 2018 est de 68. Les recrues de 2020 d’un nombre total de 36 viennent de débuter leur stage qui dure 3 ans</w:t>
      </w:r>
      <w:r w:rsidRPr="006D217C">
        <w:rPr>
          <w:color w:val="000000" w:themeColor="text1"/>
          <w:lang w:val="fr-FR"/>
        </w:rPr>
        <w:t>.</w:t>
      </w:r>
      <w:r w:rsidRPr="006D217C">
        <w:rPr>
          <w:b/>
          <w:i/>
          <w:color w:val="000000" w:themeColor="text1"/>
          <w:lang w:val="fr-FR"/>
        </w:rPr>
        <w:t xml:space="preserve"> </w:t>
      </w:r>
      <w:bookmarkEnd w:id="1"/>
    </w:p>
    <w:p w14:paraId="4F5000AA" w14:textId="6DBF6107" w:rsidR="00146BDA" w:rsidRPr="00146BDA" w:rsidRDefault="00146BDA" w:rsidP="005926AE">
      <w:pPr>
        <w:pStyle w:val="SingleTxtG"/>
        <w:rPr>
          <w:lang w:val="fr-FR"/>
        </w:rPr>
      </w:pPr>
      <w:bookmarkStart w:id="2" w:name="_Hlk99528019"/>
      <w:r w:rsidRPr="00146BDA">
        <w:rPr>
          <w:lang w:val="fr-FR"/>
        </w:rPr>
        <w:t>21.</w:t>
      </w:r>
      <w:r w:rsidRPr="00146BDA">
        <w:rPr>
          <w:lang w:val="fr-FR"/>
        </w:rPr>
        <w:tab/>
        <w:t>La dotation du fonds d’assistance judiciaire a connu de façon constante une augmentation au cours de ces dernières années, passant d’une dotation initiale de 200</w:t>
      </w:r>
      <w:r w:rsidR="00B118A7">
        <w:rPr>
          <w:lang w:val="fr-FR"/>
        </w:rPr>
        <w:t> </w:t>
      </w:r>
      <w:r w:rsidRPr="00146BDA">
        <w:rPr>
          <w:lang w:val="fr-FR"/>
        </w:rPr>
        <w:t>000</w:t>
      </w:r>
      <w:r w:rsidR="00B118A7">
        <w:rPr>
          <w:lang w:val="fr-FR"/>
        </w:rPr>
        <w:t> </w:t>
      </w:r>
      <w:r w:rsidRPr="00146BDA">
        <w:rPr>
          <w:lang w:val="fr-FR"/>
        </w:rPr>
        <w:t>000 de francs à sa création en 2006 à 800</w:t>
      </w:r>
      <w:r w:rsidR="00B118A7">
        <w:rPr>
          <w:lang w:val="fr-FR"/>
        </w:rPr>
        <w:t> </w:t>
      </w:r>
      <w:r w:rsidRPr="00146BDA">
        <w:rPr>
          <w:lang w:val="fr-FR"/>
        </w:rPr>
        <w:t>000</w:t>
      </w:r>
      <w:r w:rsidR="00B118A7">
        <w:rPr>
          <w:lang w:val="fr-FR"/>
        </w:rPr>
        <w:t> </w:t>
      </w:r>
      <w:r w:rsidRPr="00146BDA">
        <w:rPr>
          <w:lang w:val="fr-FR"/>
        </w:rPr>
        <w:t xml:space="preserve">000 de francs en 2022. Cependant, ce fonds ne suffit pas pour prendre en charge toutes les personnes éligibles. Il est aujourd’hui presque exclusivement consacré à l’assistance des personnes attraites en justice pour des infractions pénales. Actuellement le bénéfice à l’assistance judiciaire se limite à la commission d’un avocat pour défendre le prévenu renvoyé devant un tribunal statuant en matière criminelle ou délictuelle. </w:t>
      </w:r>
      <w:bookmarkEnd w:id="2"/>
    </w:p>
    <w:p w14:paraId="7FF531F2" w14:textId="5AF15CC5" w:rsidR="00146BDA" w:rsidRPr="00146BDA" w:rsidRDefault="00B54287" w:rsidP="00B54287">
      <w:pPr>
        <w:pStyle w:val="H23G"/>
        <w:rPr>
          <w:rFonts w:eastAsia="Calibri"/>
          <w:sz w:val="24"/>
          <w:szCs w:val="24"/>
        </w:rPr>
      </w:pPr>
      <w:r>
        <w:tab/>
      </w:r>
      <w:r>
        <w:tab/>
        <w:t>Réponse au paragraphe 4 a) de la liste de points</w:t>
      </w:r>
    </w:p>
    <w:p w14:paraId="0394A162" w14:textId="77777777" w:rsidR="00794E0E" w:rsidRDefault="00146BDA" w:rsidP="005926AE">
      <w:pPr>
        <w:pStyle w:val="SingleTxtG"/>
        <w:rPr>
          <w:lang w:val="fr-FR"/>
        </w:rPr>
      </w:pPr>
      <w:r w:rsidRPr="00146BDA">
        <w:t>22.</w:t>
      </w:r>
      <w:r w:rsidRPr="00146BDA">
        <w:tab/>
        <w:t>La garde-à-vue n’est pas un régime obligatoire. Bien des enquêtes se déroulent jusqu’à leur terme et le suspect présenté au Procureur de la République ou à un juge d’instruction sans qu’une mesure de garde-à-vue ait été prise.</w:t>
      </w:r>
      <w:r>
        <w:rPr>
          <w:lang w:val="fr-FR"/>
        </w:rPr>
        <w:t xml:space="preserve"> </w:t>
      </w:r>
      <w:r w:rsidRPr="00146BDA">
        <w:t>Lorsqu’elle est prise pour nécessité d’enquête ou pour indices graves et concordants de nature à justifier l’arrestation du suspect, elle est strictement encadrée par la loi et contrôlée par les autorités judiciaires compétentes. Sa durée maximale est de 48 heures, renouvelables une fois sur autorisation des autorités judiciaires précitées et pour des motifs dument justifiés, sauf pour certaines infractions présentant une certaine particularité (terrorisme par exemple).</w:t>
      </w:r>
    </w:p>
    <w:p w14:paraId="2DF0D4B0" w14:textId="77777777" w:rsidR="00794E0E" w:rsidRDefault="00146BDA" w:rsidP="005926AE">
      <w:pPr>
        <w:pStyle w:val="SingleTxtG"/>
      </w:pPr>
      <w:r w:rsidRPr="00146BDA">
        <w:t>23.</w:t>
      </w:r>
      <w:r w:rsidRPr="00146BDA">
        <w:tab/>
        <w:t>Ledit contrôle est assuré par les magistrats du parquet du ressort qui effectuent régulièrement des visites inopinées au niveau des commissariats et des brigades de gendarmerie pour vérifier les registres de garde à vue en s’assurant notamment que toutes les personnes gardées à vue y sont enregistrées ou encore que les délais légaux sont bien respectés.</w:t>
      </w:r>
    </w:p>
    <w:p w14:paraId="6CCE2DF5" w14:textId="5C5C38AC" w:rsidR="00B54287" w:rsidRDefault="00B54287" w:rsidP="00B54287">
      <w:pPr>
        <w:pStyle w:val="H23G"/>
      </w:pPr>
      <w:bookmarkStart w:id="3" w:name="_Hlk102864411"/>
      <w:r>
        <w:tab/>
      </w:r>
      <w:r>
        <w:tab/>
        <w:t>Réponse au paragraphe 4 b) et c) de la liste de points</w:t>
      </w:r>
      <w:r w:rsidRPr="00146BDA">
        <w:t xml:space="preserve"> </w:t>
      </w:r>
    </w:p>
    <w:p w14:paraId="46B2BA69" w14:textId="42CBE264" w:rsidR="00794E0E" w:rsidRDefault="00146BDA" w:rsidP="005926AE">
      <w:pPr>
        <w:pStyle w:val="SingleTxtG"/>
        <w:rPr>
          <w:lang w:val="fr-FR"/>
        </w:rPr>
      </w:pPr>
      <w:r w:rsidRPr="00146BDA">
        <w:t>24.</w:t>
      </w:r>
      <w:r w:rsidRPr="00146BDA">
        <w:tab/>
        <w:t>Dès son premier contact avec l’officier de police judiciaire habilité à recourir à cette mesure, la personne interpelée est informée de son droit de se faire assister par un avocat de son choix à peine de nullité de la procédure (art</w:t>
      </w:r>
      <w:r w:rsidR="00B118A7">
        <w:t>. </w:t>
      </w:r>
      <w:r w:rsidRPr="00146BDA">
        <w:t>55 du CPP).</w:t>
      </w:r>
      <w:bookmarkEnd w:id="3"/>
      <w:r w:rsidRPr="00146BDA">
        <w:t xml:space="preserve"> La personne a alors la faculté de contacter directement son avocat ou d’inviter ses parents à le faire. </w:t>
      </w:r>
      <w:r w:rsidR="008F2675">
        <w:t>À</w:t>
      </w:r>
      <w:r w:rsidRPr="00146BDA">
        <w:t xml:space="preserve"> défaut, l’officier de police judiciaire a l’obligation de contacter l’avocat choisi, lequel peut assister à l’interrogatoire, s’entretenir librement avec son client et faire des observations écrites qui seront annexées au dossier.</w:t>
      </w:r>
    </w:p>
    <w:p w14:paraId="6ED73A87" w14:textId="22B8E9BA" w:rsidR="00794E0E" w:rsidRDefault="00146BDA" w:rsidP="005926AE">
      <w:pPr>
        <w:pStyle w:val="SingleTxtG"/>
      </w:pPr>
      <w:r w:rsidRPr="00146BDA">
        <w:t>25.</w:t>
      </w:r>
      <w:r w:rsidRPr="00146BDA">
        <w:tab/>
        <w:t>Il faut relever, cependant, que sauf en matière criminelle et lorsque la personne est atteinte d’une infirmité de nature à compromettre sa défense, l’assistance d’un avocat reste facultative et dans les cas où elle est obligatoire, c’est l’</w:t>
      </w:r>
      <w:r w:rsidR="009F3C58">
        <w:t>É</w:t>
      </w:r>
      <w:r w:rsidRPr="00146BDA">
        <w:t>tat qui prend, grâce aux frais de justice criminelle, en charge les indemnités de l’avocat commis d’office pour assister la personne poursuivie.</w:t>
      </w:r>
    </w:p>
    <w:p w14:paraId="210B3047" w14:textId="28D166DC" w:rsidR="00146BDA" w:rsidRPr="006D217C" w:rsidRDefault="00146BDA" w:rsidP="005926AE">
      <w:pPr>
        <w:pStyle w:val="SingleTxtG"/>
        <w:rPr>
          <w:bCs/>
          <w:iCs/>
          <w:color w:val="000000" w:themeColor="text1"/>
          <w:lang w:val="fr-FR" w:eastAsia="es-ES"/>
        </w:rPr>
      </w:pPr>
      <w:r w:rsidRPr="00146BDA">
        <w:rPr>
          <w:lang w:val="fr-FR"/>
        </w:rPr>
        <w:t>26.</w:t>
      </w:r>
      <w:r w:rsidR="003562DE">
        <w:rPr>
          <w:lang w:val="fr-FR"/>
        </w:rPr>
        <w:tab/>
      </w:r>
      <w:r w:rsidRPr="00146BDA">
        <w:rPr>
          <w:lang w:val="fr-FR"/>
        </w:rPr>
        <w:t xml:space="preserve">S’agissant des mesures de contrôle, l’article 295-1 du Code pénal sénégalais incrimine la torture, contre tout agent de la fonction publique ayant un comportement de nature à porter atteinte à la vie ou à l’intégrité physique ou mentale de la personne arrêtée. Les auteurs de </w:t>
      </w:r>
      <w:r w:rsidRPr="00146BDA">
        <w:rPr>
          <w:lang w:val="fr-FR"/>
        </w:rPr>
        <w:lastRenderedPageBreak/>
        <w:t>ces faits sont traduits en justice (art</w:t>
      </w:r>
      <w:r w:rsidR="00B118A7">
        <w:rPr>
          <w:lang w:val="fr-FR"/>
        </w:rPr>
        <w:t>. </w:t>
      </w:r>
      <w:r w:rsidRPr="00146BDA">
        <w:rPr>
          <w:lang w:val="fr-FR"/>
        </w:rPr>
        <w:t xml:space="preserve">661 à 663 du CPP et 27 du Code de </w:t>
      </w:r>
      <w:r w:rsidR="00B118A7">
        <w:rPr>
          <w:lang w:val="fr-FR"/>
        </w:rPr>
        <w:t>j</w:t>
      </w:r>
      <w:r w:rsidRPr="00146BDA">
        <w:rPr>
          <w:lang w:val="fr-FR"/>
        </w:rPr>
        <w:t xml:space="preserve">ustice militaire) sans aucun privilège prévu par le Code de </w:t>
      </w:r>
      <w:r w:rsidR="00B118A7">
        <w:rPr>
          <w:lang w:val="fr-FR"/>
        </w:rPr>
        <w:t>j</w:t>
      </w:r>
      <w:r w:rsidRPr="00146BDA">
        <w:rPr>
          <w:lang w:val="fr-FR"/>
        </w:rPr>
        <w:t>ustice militaire</w:t>
      </w:r>
      <w:r w:rsidRPr="006D217C">
        <w:rPr>
          <w:color w:val="000000" w:themeColor="text1"/>
          <w:lang w:val="fr-FR"/>
        </w:rPr>
        <w:t>.</w:t>
      </w:r>
    </w:p>
    <w:p w14:paraId="137AAC86" w14:textId="0463DF2A" w:rsidR="00794E0E" w:rsidRDefault="00146BDA" w:rsidP="005926AE">
      <w:pPr>
        <w:pStyle w:val="SingleTxtG"/>
        <w:rPr>
          <w:lang w:val="fr-FR"/>
        </w:rPr>
      </w:pPr>
      <w:r w:rsidRPr="00146BDA">
        <w:rPr>
          <w:lang w:val="fr-FR"/>
        </w:rPr>
        <w:t>27.</w:t>
      </w:r>
      <w:r w:rsidRPr="00146BDA">
        <w:rPr>
          <w:lang w:val="fr-FR"/>
        </w:rPr>
        <w:tab/>
        <w:t>Les conditions des gardés à vue ont toujours été une grande préoccupation de l’</w:t>
      </w:r>
      <w:r w:rsidR="009F3C58">
        <w:rPr>
          <w:lang w:val="fr-FR"/>
        </w:rPr>
        <w:t>État</w:t>
      </w:r>
      <w:r w:rsidRPr="00146BDA">
        <w:rPr>
          <w:lang w:val="fr-FR"/>
        </w:rPr>
        <w:t xml:space="preserve"> du Sénégal, au nom du respect de la dignité humaine. Depuis 2018, les nouveaux commissariats de police qui ont été construits prennent en compte les recommandations du Sous-comité contre la torture notamment pour les locaux de garde à vue.</w:t>
      </w:r>
    </w:p>
    <w:p w14:paraId="02ADF314" w14:textId="77777777" w:rsidR="00794E0E" w:rsidRDefault="00146BDA" w:rsidP="005926AE">
      <w:pPr>
        <w:pStyle w:val="SingleTxtG"/>
        <w:rPr>
          <w:lang w:val="fr-FR"/>
        </w:rPr>
      </w:pPr>
      <w:r w:rsidRPr="00146BDA">
        <w:rPr>
          <w:lang w:val="fr-FR"/>
        </w:rPr>
        <w:t>28.</w:t>
      </w:r>
      <w:r w:rsidRPr="00146BDA">
        <w:rPr>
          <w:lang w:val="fr-FR"/>
        </w:rPr>
        <w:tab/>
        <w:t>Ils disposent de trois locaux de garde à vue (hommes, femmes et mineurs), d’une superficie de 12m</w:t>
      </w:r>
      <w:r w:rsidRPr="00146BDA">
        <w:rPr>
          <w:vertAlign w:val="superscript"/>
          <w:lang w:val="fr-FR"/>
        </w:rPr>
        <w:t>2</w:t>
      </w:r>
      <w:r w:rsidRPr="00146BDA">
        <w:rPr>
          <w:lang w:val="fr-FR"/>
        </w:rPr>
        <w:t xml:space="preserve"> chacun, avec toilette incorporée, suffisamment aérés et recevant de la lumière le jour. Ces locaux sont hors la vue des usagers du service pour garantir le respect de la dignité humaine.</w:t>
      </w:r>
      <w:r w:rsidR="005926AE">
        <w:rPr>
          <w:lang w:val="fr-FR"/>
        </w:rPr>
        <w:t xml:space="preserve"> </w:t>
      </w:r>
      <w:r w:rsidRPr="00146BDA">
        <w:rPr>
          <w:lang w:val="fr-FR"/>
        </w:rPr>
        <w:t xml:space="preserve">Les anciennes constructions qui n’avaient pas respecté ces normes ont été modifiées. </w:t>
      </w:r>
    </w:p>
    <w:p w14:paraId="1A3AC911" w14:textId="77777777" w:rsidR="00794E0E" w:rsidRDefault="00146BDA" w:rsidP="005926AE">
      <w:pPr>
        <w:pStyle w:val="SingleTxtG"/>
        <w:rPr>
          <w:lang w:val="fr-FR"/>
        </w:rPr>
      </w:pPr>
      <w:r w:rsidRPr="00146BDA">
        <w:rPr>
          <w:lang w:val="fr-FR"/>
        </w:rPr>
        <w:t>29.</w:t>
      </w:r>
      <w:r w:rsidRPr="00146BDA">
        <w:rPr>
          <w:lang w:val="fr-FR"/>
        </w:rPr>
        <w:tab/>
        <w:t>L’accès aux locaux des services de police a pris en compte les personnes à mobilité réduite et les salles d’audition sont devenues plus confortables permettant aux avocats d’assister leurs clients dans les meilleures conditions. Ces efforts ont été reconnus et salués par l’Observateur national des lieux de privation de liberté dans ses missions d’inspection.</w:t>
      </w:r>
    </w:p>
    <w:p w14:paraId="16B63A2F" w14:textId="51BEB6F2" w:rsidR="00146BDA" w:rsidRPr="00146BDA" w:rsidRDefault="00146BDA" w:rsidP="005926AE">
      <w:pPr>
        <w:pStyle w:val="SingleTxtG"/>
        <w:rPr>
          <w:lang w:val="fr-FR"/>
        </w:rPr>
      </w:pPr>
      <w:r w:rsidRPr="00146BDA">
        <w:t>30.</w:t>
      </w:r>
      <w:r w:rsidRPr="00146BDA">
        <w:tab/>
        <w:t xml:space="preserve">La pratique dite du retour de parquet ou ordre de mise à disposition ne constitue en réalité ni une mesure de garde-à-vue ni un acte de prolongation de la garde-à-vue. </w:t>
      </w:r>
      <w:r w:rsidR="008F2675">
        <w:t>À</w:t>
      </w:r>
      <w:r w:rsidRPr="00146BDA">
        <w:t xml:space="preserve"> ce stade, la garde-à-vue est déjà clôturée et la personne suspectée présentée aux autorités judiciaires qui, soit pour respecter un autre impératif légal (solliciter par exemple l’avis du président du tribunal pour le choix d’un juge d’instruction conformément à l’article</w:t>
      </w:r>
      <w:r w:rsidR="00B118A7">
        <w:t> </w:t>
      </w:r>
      <w:r w:rsidRPr="00146BDA">
        <w:t xml:space="preserve">74 du Code de </w:t>
      </w:r>
      <w:r w:rsidR="00B118A7">
        <w:t>p</w:t>
      </w:r>
      <w:r w:rsidRPr="00146BDA">
        <w:t>rocédure pénale ou encore pour permettre à l’avocat de l’inculpé de venir assister son client comme prévu à l’article</w:t>
      </w:r>
      <w:r w:rsidR="00B118A7">
        <w:t> </w:t>
      </w:r>
      <w:r w:rsidRPr="00146BDA">
        <w:t>101 du CPP) ou pour prendre connaissance du dossier avant de procéder à des inculpations, peuvent être amenées à confier les personnes présentées</w:t>
      </w:r>
      <w:r>
        <w:t xml:space="preserve"> </w:t>
      </w:r>
      <w:r w:rsidRPr="00146BDA">
        <w:t>à une unité proche en attendant l’accomplissement de ces formalités dans un laps de temps relativement court. Elle fait toutefois l’objet d’une étude depuis quelque temps par les services judiciaires compétents, et pourrait être très prochainement organisée et encadrée.</w:t>
      </w:r>
    </w:p>
    <w:p w14:paraId="67E2C9F4" w14:textId="57BAEC04" w:rsidR="00146BDA" w:rsidRPr="00146BDA" w:rsidRDefault="00B54287" w:rsidP="00B54287">
      <w:pPr>
        <w:pStyle w:val="H23G"/>
        <w:rPr>
          <w:rFonts w:eastAsia="Calibri"/>
          <w:sz w:val="24"/>
          <w:szCs w:val="24"/>
          <w:lang w:val="fr-FR"/>
        </w:rPr>
      </w:pPr>
      <w:bookmarkStart w:id="4" w:name="_Hlk102864577"/>
      <w:r>
        <w:tab/>
      </w:r>
      <w:r>
        <w:tab/>
        <w:t>Réponse au paragraphe 5 de la liste de points</w:t>
      </w:r>
      <w:r w:rsidR="00146BDA" w:rsidRPr="00146BDA">
        <w:rPr>
          <w:rFonts w:eastAsia="Calibri"/>
          <w:sz w:val="24"/>
          <w:szCs w:val="24"/>
          <w:lang w:val="fr-FR"/>
        </w:rPr>
        <w:t xml:space="preserve"> </w:t>
      </w:r>
    </w:p>
    <w:p w14:paraId="2D1FD818" w14:textId="1A8AD7AE" w:rsidR="00794E0E" w:rsidRDefault="00146BDA" w:rsidP="005926AE">
      <w:pPr>
        <w:pStyle w:val="SingleTxtG"/>
        <w:rPr>
          <w:b/>
          <w:lang w:val="fr-FR"/>
        </w:rPr>
      </w:pPr>
      <w:r w:rsidRPr="00146BDA">
        <w:rPr>
          <w:lang w:val="fr-FR"/>
        </w:rPr>
        <w:t>31.</w:t>
      </w:r>
      <w:r>
        <w:rPr>
          <w:lang w:val="fr-FR"/>
        </w:rPr>
        <w:t xml:space="preserve"> </w:t>
      </w:r>
      <w:r w:rsidR="00B54287">
        <w:rPr>
          <w:lang w:val="fr-FR"/>
        </w:rPr>
        <w:tab/>
      </w:r>
      <w:r w:rsidR="008F2675">
        <w:rPr>
          <w:lang w:val="fr-FR"/>
        </w:rPr>
        <w:t>À</w:t>
      </w:r>
      <w:r w:rsidRPr="00146BDA">
        <w:rPr>
          <w:lang w:val="fr-FR"/>
        </w:rPr>
        <w:t xml:space="preserve"> son arrivée à l’établissement pénitentiaire, le détenu est soumis à un examen médical destiné à déceler toute infection de nature contagieuse ou évolutive. C’est ce que prévoit l’article 219 du décret </w:t>
      </w:r>
      <w:r w:rsidR="00B118A7">
        <w:rPr>
          <w:lang w:val="fr-FR"/>
        </w:rPr>
        <w:t>n</w:t>
      </w:r>
      <w:r w:rsidR="00B118A7" w:rsidRPr="006D217C">
        <w:rPr>
          <w:vertAlign w:val="superscript"/>
          <w:lang w:val="fr-FR"/>
        </w:rPr>
        <w:t>o</w:t>
      </w:r>
      <w:r w:rsidR="00B118A7">
        <w:rPr>
          <w:lang w:val="fr-FR"/>
        </w:rPr>
        <w:t> </w:t>
      </w:r>
      <w:r w:rsidRPr="00146BDA">
        <w:rPr>
          <w:lang w:val="fr-FR"/>
        </w:rPr>
        <w:t>2001-362 du 4 mai 2001, sur les procédures d’exécution et d’aménagement des sanctions pénales. Pour le respect de cette obligation, des infirmeries sont installées au sein des établissements pénitentiaires avec des infirmiers placés sous l’autorité du Directeur d’établissement pénitentiaire et du Médecin-chef de l’Administration pénitentiaire. Cet examen permet également de vérifier si le détenu n’a pas fait l’objet de sévices corporels au moment de son interpellation. Si des sévices corporels sont constatés sur un détenu après son examen médical, mention en est faite sur le registre de l’établissement pénitentiaire. Une réquisition est faite au médecin-chef de région. Un compte rendu est fait au procureur de la République qui peut ordonner une enquête sur les causes et poursuivre les auteurs. Également, un compte rendu est adressé au Directeur de l’</w:t>
      </w:r>
      <w:r w:rsidR="00C9311F">
        <w:rPr>
          <w:lang w:val="fr-FR"/>
        </w:rPr>
        <w:t>a</w:t>
      </w:r>
      <w:r w:rsidRPr="00146BDA">
        <w:rPr>
          <w:lang w:val="fr-FR"/>
        </w:rPr>
        <w:t>dministration pénitentiaire.</w:t>
      </w:r>
      <w:bookmarkEnd w:id="4"/>
    </w:p>
    <w:p w14:paraId="6E84E483" w14:textId="2E32E8FF" w:rsidR="00146BDA" w:rsidRPr="00146BDA" w:rsidRDefault="00146BDA" w:rsidP="005926AE">
      <w:pPr>
        <w:pStyle w:val="SingleTxtG"/>
        <w:rPr>
          <w:lang w:val="fr-FR"/>
        </w:rPr>
      </w:pPr>
      <w:r w:rsidRPr="00146BDA">
        <w:rPr>
          <w:lang w:val="fr-FR"/>
        </w:rPr>
        <w:t>32.</w:t>
      </w:r>
      <w:r w:rsidRPr="00146BDA">
        <w:rPr>
          <w:lang w:val="fr-FR"/>
        </w:rPr>
        <w:tab/>
        <w:t xml:space="preserve">En ce qui concerne la prévention de la </w:t>
      </w:r>
      <w:r w:rsidR="008F2675" w:rsidRPr="00146BDA">
        <w:rPr>
          <w:lang w:val="fr-FR"/>
        </w:rPr>
        <w:t>Covid</w:t>
      </w:r>
      <w:r w:rsidRPr="00146BDA">
        <w:rPr>
          <w:lang w:val="fr-FR"/>
        </w:rPr>
        <w:t xml:space="preserve">-19 en milieu carcéral, un protocole de sécurité sanitaire a été élaboré avec les services du Ministère de la </w:t>
      </w:r>
      <w:r w:rsidR="00C9311F">
        <w:rPr>
          <w:lang w:val="fr-FR"/>
        </w:rPr>
        <w:t>s</w:t>
      </w:r>
      <w:r w:rsidRPr="00146BDA">
        <w:rPr>
          <w:lang w:val="fr-FR"/>
        </w:rPr>
        <w:t>anté et de l’</w:t>
      </w:r>
      <w:r w:rsidR="00C9311F">
        <w:rPr>
          <w:lang w:val="fr-FR"/>
        </w:rPr>
        <w:t>a</w:t>
      </w:r>
      <w:r w:rsidRPr="00146BDA">
        <w:rPr>
          <w:lang w:val="fr-FR"/>
        </w:rPr>
        <w:t>ction sociale. Ce protocole prévoit une prise de température du détenu à son entrée dans l’établissement pénitentiaire, un interrogatoire pour s’assurer qu’il n’a pas manifesté de signes de la maladie et un isolement du détenu pendant sa période de quarantaine, qui est passée de 14 jours à 7</w:t>
      </w:r>
      <w:r w:rsidR="00C9311F">
        <w:rPr>
          <w:lang w:val="fr-FR"/>
        </w:rPr>
        <w:t> </w:t>
      </w:r>
      <w:r w:rsidRPr="00146BDA">
        <w:rPr>
          <w:lang w:val="fr-FR"/>
        </w:rPr>
        <w:t>jours. Si à l’issue de la quarantaine, le détenu ne manifeste pas de signes de la maladie à coronavirus, il est réintégré dans la détention et dans le cas contraire, le médecin-chef de région ou district est alerté pour la prise en charge du cas suspecté.</w:t>
      </w:r>
    </w:p>
    <w:p w14:paraId="7B3F5B57" w14:textId="28935709" w:rsidR="00146BDA" w:rsidRPr="00146BDA" w:rsidRDefault="00B54287" w:rsidP="00B54287">
      <w:pPr>
        <w:pStyle w:val="H23G"/>
        <w:rPr>
          <w:rFonts w:eastAsia="Calibri"/>
          <w:sz w:val="24"/>
          <w:szCs w:val="24"/>
          <w:lang w:val="fr-FR"/>
        </w:rPr>
      </w:pPr>
      <w:r>
        <w:rPr>
          <w:rFonts w:eastAsia="Calibri"/>
          <w:sz w:val="24"/>
          <w:szCs w:val="24"/>
          <w:lang w:val="fr-FR"/>
        </w:rPr>
        <w:tab/>
      </w:r>
      <w:r>
        <w:rPr>
          <w:rFonts w:eastAsia="Calibri"/>
          <w:sz w:val="24"/>
          <w:szCs w:val="24"/>
          <w:lang w:val="fr-FR"/>
        </w:rPr>
        <w:tab/>
      </w:r>
      <w:r>
        <w:t>Réponse au paragraphe 6 de la liste de points</w:t>
      </w:r>
    </w:p>
    <w:p w14:paraId="48A00C38" w14:textId="485221FB" w:rsidR="00146BDA" w:rsidRPr="00146BDA" w:rsidRDefault="00146BDA" w:rsidP="005926AE">
      <w:pPr>
        <w:pStyle w:val="SingleTxtG"/>
        <w:rPr>
          <w:lang w:val="fr-FR"/>
        </w:rPr>
      </w:pPr>
      <w:r w:rsidRPr="00146BDA">
        <w:rPr>
          <w:lang w:val="fr-FR"/>
        </w:rPr>
        <w:t>33.</w:t>
      </w:r>
      <w:r>
        <w:rPr>
          <w:lang w:val="fr-FR"/>
        </w:rPr>
        <w:t xml:space="preserve"> </w:t>
      </w:r>
      <w:r w:rsidR="00B54287">
        <w:rPr>
          <w:lang w:val="fr-FR"/>
        </w:rPr>
        <w:tab/>
      </w:r>
      <w:r w:rsidRPr="00146BDA">
        <w:rPr>
          <w:lang w:val="fr-FR"/>
        </w:rPr>
        <w:t xml:space="preserve">Le non-rattachement administratif et budgétaire de l’Observateur national des </w:t>
      </w:r>
      <w:r w:rsidR="00B118A7">
        <w:rPr>
          <w:lang w:val="fr-FR"/>
        </w:rPr>
        <w:t>l</w:t>
      </w:r>
      <w:r w:rsidRPr="00146BDA">
        <w:rPr>
          <w:lang w:val="fr-FR"/>
        </w:rPr>
        <w:t xml:space="preserve">ieux de </w:t>
      </w:r>
      <w:r w:rsidR="00B118A7">
        <w:rPr>
          <w:lang w:val="fr-FR"/>
        </w:rPr>
        <w:t>p</w:t>
      </w:r>
      <w:r w:rsidRPr="00146BDA">
        <w:rPr>
          <w:lang w:val="fr-FR"/>
        </w:rPr>
        <w:t xml:space="preserve">rivation de </w:t>
      </w:r>
      <w:r w:rsidR="00B118A7">
        <w:rPr>
          <w:lang w:val="fr-FR"/>
        </w:rPr>
        <w:t>l</w:t>
      </w:r>
      <w:r w:rsidRPr="00146BDA">
        <w:rPr>
          <w:lang w:val="fr-FR"/>
        </w:rPr>
        <w:t xml:space="preserve">iberté au Ministère de la </w:t>
      </w:r>
      <w:r w:rsidR="00B118A7">
        <w:rPr>
          <w:lang w:val="fr-FR"/>
        </w:rPr>
        <w:t>j</w:t>
      </w:r>
      <w:r w:rsidRPr="00146BDA">
        <w:rPr>
          <w:lang w:val="fr-FR"/>
        </w:rPr>
        <w:t xml:space="preserve">ustice n’est pas encore effectif au vu du décret portant organisation du Ministère de la </w:t>
      </w:r>
      <w:r w:rsidR="00B118A7">
        <w:rPr>
          <w:lang w:val="fr-FR"/>
        </w:rPr>
        <w:t>j</w:t>
      </w:r>
      <w:r w:rsidRPr="00146BDA">
        <w:rPr>
          <w:lang w:val="fr-FR"/>
        </w:rPr>
        <w:t xml:space="preserve">ustice qui le place dans « autres administrations ». Ainsi, son budget reste dépendant de celui du Ministère de la </w:t>
      </w:r>
      <w:r w:rsidR="00C9311F">
        <w:rPr>
          <w:lang w:val="fr-FR"/>
        </w:rPr>
        <w:t>j</w:t>
      </w:r>
      <w:r w:rsidRPr="00146BDA">
        <w:rPr>
          <w:lang w:val="fr-FR"/>
        </w:rPr>
        <w:t>ustice.</w:t>
      </w:r>
    </w:p>
    <w:p w14:paraId="3F01A4AC" w14:textId="2D3B83FF" w:rsidR="00146BDA" w:rsidRPr="006D217C" w:rsidRDefault="00146BDA" w:rsidP="005926AE">
      <w:pPr>
        <w:pStyle w:val="SingleTxtG"/>
        <w:rPr>
          <w:color w:val="000000" w:themeColor="text1"/>
        </w:rPr>
      </w:pPr>
      <w:bookmarkStart w:id="5" w:name="_Hlk99530636"/>
      <w:r w:rsidRPr="00146BDA">
        <w:rPr>
          <w:lang w:val="fr-FR"/>
        </w:rPr>
        <w:lastRenderedPageBreak/>
        <w:t>34.</w:t>
      </w:r>
      <w:r>
        <w:rPr>
          <w:lang w:val="fr-FR"/>
        </w:rPr>
        <w:t xml:space="preserve"> </w:t>
      </w:r>
      <w:r w:rsidR="00B54287">
        <w:rPr>
          <w:lang w:val="fr-FR"/>
        </w:rPr>
        <w:tab/>
      </w:r>
      <w:r w:rsidRPr="00146BDA">
        <w:rPr>
          <w:lang w:val="fr-FR"/>
        </w:rPr>
        <w:t xml:space="preserve">Toutefois, sur le plan textuel, l’Observateur national des </w:t>
      </w:r>
      <w:r w:rsidR="00B118A7">
        <w:rPr>
          <w:lang w:val="fr-FR"/>
        </w:rPr>
        <w:t>l</w:t>
      </w:r>
      <w:r w:rsidRPr="00146BDA">
        <w:rPr>
          <w:lang w:val="fr-FR"/>
        </w:rPr>
        <w:t xml:space="preserve">ieux de </w:t>
      </w:r>
      <w:r w:rsidR="00B118A7">
        <w:rPr>
          <w:lang w:val="fr-FR"/>
        </w:rPr>
        <w:t>p</w:t>
      </w:r>
      <w:r w:rsidRPr="00146BDA">
        <w:rPr>
          <w:lang w:val="fr-FR"/>
        </w:rPr>
        <w:t xml:space="preserve">rivation de </w:t>
      </w:r>
      <w:r w:rsidR="00B118A7">
        <w:rPr>
          <w:lang w:val="fr-FR"/>
        </w:rPr>
        <w:t>l</w:t>
      </w:r>
      <w:r w:rsidRPr="00146BDA">
        <w:rPr>
          <w:lang w:val="fr-FR"/>
        </w:rPr>
        <w:t xml:space="preserve">iberté est, en vertu de la loi </w:t>
      </w:r>
      <w:r w:rsidR="00B118A7" w:rsidRPr="00146BDA">
        <w:rPr>
          <w:lang w:val="fr-FR"/>
        </w:rPr>
        <w:t>n</w:t>
      </w:r>
      <w:r w:rsidR="00B118A7" w:rsidRPr="005A743A">
        <w:rPr>
          <w:vertAlign w:val="superscript"/>
          <w:lang w:val="fr-FR"/>
        </w:rPr>
        <w:t>o</w:t>
      </w:r>
      <w:r w:rsidR="00B118A7">
        <w:rPr>
          <w:lang w:val="fr-FR"/>
        </w:rPr>
        <w:t> </w:t>
      </w:r>
      <w:r w:rsidRPr="00146BDA">
        <w:rPr>
          <w:lang w:val="fr-FR"/>
        </w:rPr>
        <w:t xml:space="preserve">2009-13 du 2 mars 2009 l’instituant, une autorité administrative </w:t>
      </w:r>
      <w:r w:rsidRPr="006D217C">
        <w:rPr>
          <w:color w:val="000000" w:themeColor="text1"/>
          <w:lang w:val="fr-FR"/>
        </w:rPr>
        <w:t>indépendante.</w:t>
      </w:r>
    </w:p>
    <w:p w14:paraId="3D173CA4" w14:textId="4D9A4C47" w:rsidR="00146BDA" w:rsidRPr="00146BDA" w:rsidRDefault="00146BDA" w:rsidP="005926AE">
      <w:pPr>
        <w:pStyle w:val="SingleTxtG"/>
        <w:rPr>
          <w:lang w:val="fr-FR"/>
        </w:rPr>
      </w:pPr>
      <w:r w:rsidRPr="00146BDA">
        <w:rPr>
          <w:lang w:val="fr-FR"/>
        </w:rPr>
        <w:t>35.</w:t>
      </w:r>
      <w:r w:rsidRPr="00146BDA">
        <w:rPr>
          <w:lang w:val="fr-FR"/>
        </w:rPr>
        <w:tab/>
        <w:t>L’</w:t>
      </w:r>
      <w:r w:rsidR="009F3C58">
        <w:rPr>
          <w:lang w:val="fr-FR"/>
        </w:rPr>
        <w:t>État</w:t>
      </w:r>
      <w:r w:rsidRPr="00146BDA">
        <w:rPr>
          <w:lang w:val="fr-FR"/>
        </w:rPr>
        <w:t xml:space="preserve"> du Sénégal considère que le rattachement de 1’ONLPL à une structure </w:t>
      </w:r>
      <w:r w:rsidRPr="00146BDA">
        <w:t>gouvernementale</w:t>
      </w:r>
      <w:r w:rsidRPr="00146BDA">
        <w:rPr>
          <w:lang w:val="fr-FR"/>
        </w:rPr>
        <w:t xml:space="preserve">, comme en l’espèce, le Ministère de la </w:t>
      </w:r>
      <w:r w:rsidR="00C9311F">
        <w:rPr>
          <w:lang w:val="fr-FR"/>
        </w:rPr>
        <w:t>j</w:t>
      </w:r>
      <w:r w:rsidRPr="00146BDA">
        <w:rPr>
          <w:lang w:val="fr-FR"/>
        </w:rPr>
        <w:t xml:space="preserve">ustice, n’affecte aucunement son indépendance fonctionnelle. Cependant, il est d’avis que pour parachever le processus, le </w:t>
      </w:r>
      <w:r w:rsidR="00B118A7" w:rsidRPr="00146BDA">
        <w:rPr>
          <w:lang w:val="fr-FR"/>
        </w:rPr>
        <w:t>non-rattachement</w:t>
      </w:r>
      <w:r w:rsidRPr="00146BDA">
        <w:rPr>
          <w:lang w:val="fr-FR"/>
        </w:rPr>
        <w:t xml:space="preserve"> de l’Observatoire à l’exécutif peut être envisagé. </w:t>
      </w:r>
    </w:p>
    <w:p w14:paraId="3F7E3778" w14:textId="7528C8A2" w:rsidR="00146BDA" w:rsidRPr="00146BDA" w:rsidRDefault="00146BDA" w:rsidP="005926AE">
      <w:pPr>
        <w:pStyle w:val="SingleTxtG"/>
        <w:rPr>
          <w:lang w:val="fr-FR"/>
        </w:rPr>
      </w:pPr>
      <w:bookmarkStart w:id="6" w:name="_Hlk99530688"/>
      <w:bookmarkEnd w:id="5"/>
      <w:r w:rsidRPr="00146BDA">
        <w:rPr>
          <w:lang w:val="fr-FR"/>
        </w:rPr>
        <w:t>36.</w:t>
      </w:r>
      <w:r w:rsidRPr="00146BDA">
        <w:rPr>
          <w:lang w:val="fr-FR"/>
        </w:rPr>
        <w:tab/>
        <w:t xml:space="preserve">Concernant les mesures législatives, notamment la réforme des textes sur l’Observateur, des démarches ont été menées par l’Observateur national des </w:t>
      </w:r>
      <w:r w:rsidR="00AD6876">
        <w:rPr>
          <w:lang w:val="fr-FR"/>
        </w:rPr>
        <w:t>l</w:t>
      </w:r>
      <w:r w:rsidRPr="00146BDA">
        <w:rPr>
          <w:lang w:val="fr-FR"/>
        </w:rPr>
        <w:t xml:space="preserve">ieux de </w:t>
      </w:r>
      <w:r w:rsidR="00AD6876">
        <w:rPr>
          <w:lang w:val="fr-FR"/>
        </w:rPr>
        <w:t>p</w:t>
      </w:r>
      <w:r w:rsidRPr="00146BDA">
        <w:rPr>
          <w:lang w:val="fr-FR"/>
        </w:rPr>
        <w:t xml:space="preserve">rivation de liberté auprès des autorités compétentes. </w:t>
      </w:r>
      <w:r w:rsidR="00B118A7">
        <w:rPr>
          <w:lang w:val="fr-FR"/>
        </w:rPr>
        <w:t>À</w:t>
      </w:r>
      <w:r w:rsidRPr="00146BDA">
        <w:rPr>
          <w:lang w:val="fr-FR"/>
        </w:rPr>
        <w:t xml:space="preserve"> ce propos, suite à une audience accordée à l’ONLPL le 6 juin 2021, le Garde des Sceaux, Ministre de la </w:t>
      </w:r>
      <w:r w:rsidR="00B118A7">
        <w:rPr>
          <w:lang w:val="fr-FR"/>
        </w:rPr>
        <w:t>j</w:t>
      </w:r>
      <w:r w:rsidRPr="00146BDA">
        <w:rPr>
          <w:lang w:val="fr-FR"/>
        </w:rPr>
        <w:t xml:space="preserve">ustice a, par lettre </w:t>
      </w:r>
      <w:r w:rsidR="00B118A7" w:rsidRPr="00146BDA">
        <w:rPr>
          <w:lang w:val="fr-FR"/>
        </w:rPr>
        <w:t>n</w:t>
      </w:r>
      <w:r w:rsidR="00B118A7" w:rsidRPr="005A743A">
        <w:rPr>
          <w:vertAlign w:val="superscript"/>
          <w:lang w:val="fr-FR"/>
        </w:rPr>
        <w:t>o</w:t>
      </w:r>
      <w:r w:rsidR="00B118A7">
        <w:rPr>
          <w:lang w:val="fr-FR"/>
        </w:rPr>
        <w:t> </w:t>
      </w:r>
      <w:r w:rsidRPr="00146BDA">
        <w:rPr>
          <w:lang w:val="fr-FR"/>
        </w:rPr>
        <w:t>06581/MJ/</w:t>
      </w:r>
      <w:proofErr w:type="spellStart"/>
      <w:r w:rsidRPr="00146BDA">
        <w:rPr>
          <w:lang w:val="fr-FR"/>
        </w:rPr>
        <w:t>Dacg</w:t>
      </w:r>
      <w:proofErr w:type="spellEnd"/>
      <w:r w:rsidRPr="00146BDA">
        <w:rPr>
          <w:lang w:val="fr-FR"/>
        </w:rPr>
        <w:t>/</w:t>
      </w:r>
      <w:proofErr w:type="spellStart"/>
      <w:r w:rsidRPr="00146BDA">
        <w:rPr>
          <w:lang w:val="fr-FR"/>
        </w:rPr>
        <w:t>ss</w:t>
      </w:r>
      <w:proofErr w:type="spellEnd"/>
      <w:r w:rsidRPr="00146BDA">
        <w:rPr>
          <w:lang w:val="fr-FR"/>
        </w:rPr>
        <w:t xml:space="preserve"> du 18</w:t>
      </w:r>
      <w:r w:rsidR="00B118A7">
        <w:rPr>
          <w:lang w:val="fr-FR"/>
        </w:rPr>
        <w:t> </w:t>
      </w:r>
      <w:r w:rsidRPr="00146BDA">
        <w:rPr>
          <w:lang w:val="fr-FR"/>
        </w:rPr>
        <w:t>ao</w:t>
      </w:r>
      <w:r w:rsidR="00B118A7">
        <w:rPr>
          <w:lang w:val="fr-FR"/>
        </w:rPr>
        <w:t>û</w:t>
      </w:r>
      <w:r w:rsidRPr="00146BDA">
        <w:rPr>
          <w:lang w:val="fr-FR"/>
        </w:rPr>
        <w:t xml:space="preserve">t 2021, indiqué que </w:t>
      </w:r>
      <w:r w:rsidRPr="006D217C">
        <w:rPr>
          <w:lang w:val="fr-FR"/>
        </w:rPr>
        <w:t xml:space="preserve">« la réforme de la loi instituant l’Observateur national des </w:t>
      </w:r>
      <w:r w:rsidR="00AD6876">
        <w:rPr>
          <w:lang w:val="fr-FR"/>
        </w:rPr>
        <w:t>l</w:t>
      </w:r>
      <w:r w:rsidRPr="006D217C">
        <w:rPr>
          <w:lang w:val="fr-FR"/>
        </w:rPr>
        <w:t xml:space="preserve">ieux de </w:t>
      </w:r>
      <w:r w:rsidR="00AD6876">
        <w:rPr>
          <w:lang w:val="fr-FR"/>
        </w:rPr>
        <w:t>p</w:t>
      </w:r>
      <w:r w:rsidRPr="006D217C">
        <w:rPr>
          <w:lang w:val="fr-FR"/>
        </w:rPr>
        <w:t xml:space="preserve">rivation de </w:t>
      </w:r>
      <w:r w:rsidR="00AD6876">
        <w:rPr>
          <w:lang w:val="fr-FR"/>
        </w:rPr>
        <w:t>l</w:t>
      </w:r>
      <w:r w:rsidRPr="006D217C">
        <w:rPr>
          <w:lang w:val="fr-FR"/>
        </w:rPr>
        <w:t>iberté sera, dans la mesure du possible, envisagée dans les meilleurs délais ». Il avait ajouté qu’au</w:t>
      </w:r>
      <w:r w:rsidRPr="00146BDA">
        <w:rPr>
          <w:lang w:val="fr-FR"/>
        </w:rPr>
        <w:t xml:space="preserve"> moment venu, il ne manquerait pas avec ses services compétents, l’opportunité de prêter une attention particulière à la demande de l’ONLPL de reconsidérer son statut au rang d’autorité administrative indépendante, conformément aux textes en vigueur. </w:t>
      </w:r>
      <w:bookmarkEnd w:id="6"/>
    </w:p>
    <w:p w14:paraId="6822D2E7" w14:textId="77777777" w:rsidR="00146BDA" w:rsidRPr="00146BDA" w:rsidRDefault="00146BDA" w:rsidP="005926AE">
      <w:pPr>
        <w:pStyle w:val="SingleTxtG"/>
        <w:rPr>
          <w:lang w:val="fr-FR"/>
        </w:rPr>
      </w:pPr>
      <w:r w:rsidRPr="00146BDA">
        <w:rPr>
          <w:lang w:val="fr-FR"/>
        </w:rPr>
        <w:t>37.</w:t>
      </w:r>
      <w:r w:rsidRPr="00146BDA">
        <w:rPr>
          <w:lang w:val="fr-FR"/>
        </w:rPr>
        <w:tab/>
        <w:t>Même s’il a connu une évolution ces dernières années, il reste que le budget de l’ONLPL ne permet plus de faire face à l’importance de ses missions qui se sont considérablement accrues grâce à la visibilité de plus en plus grande du mécanisme. Mais la réflexion est en cours pour permettre à l’ONLPL de disposer d’un budget adéquat.</w:t>
      </w:r>
    </w:p>
    <w:p w14:paraId="1B01DFBB" w14:textId="77777777" w:rsidR="00146BDA" w:rsidRPr="00146BDA" w:rsidRDefault="00146BDA" w:rsidP="005926AE">
      <w:pPr>
        <w:pStyle w:val="SingleTxtG"/>
        <w:rPr>
          <w:lang w:val="fr-FR"/>
        </w:rPr>
      </w:pPr>
      <w:r w:rsidRPr="00146BDA">
        <w:rPr>
          <w:lang w:val="fr-FR"/>
        </w:rPr>
        <w:t>38.</w:t>
      </w:r>
      <w:r w:rsidRPr="00146BDA">
        <w:rPr>
          <w:lang w:val="fr-FR"/>
        </w:rPr>
        <w:tab/>
        <w:t xml:space="preserve">Concernant le nombre de visites annuelles menées par l’ONLPL depuis 2018, elles sont réparties ainsi qu’il suit : </w:t>
      </w:r>
    </w:p>
    <w:p w14:paraId="31F0CD6B" w14:textId="473EA18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2018 : 48 visites</w:t>
      </w:r>
    </w:p>
    <w:p w14:paraId="7E055C75" w14:textId="2E247238"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2019 : 46 visites</w:t>
      </w:r>
    </w:p>
    <w:p w14:paraId="2EB8E57F" w14:textId="43A86481"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2020 : 58 visites</w:t>
      </w:r>
    </w:p>
    <w:p w14:paraId="3BEB582F" w14:textId="61CAFF1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2021 : 26 visites</w:t>
      </w:r>
    </w:p>
    <w:p w14:paraId="4EA2D1F9" w14:textId="77777777" w:rsidR="00146BDA" w:rsidRPr="00146BDA" w:rsidRDefault="00146BDA" w:rsidP="005926AE">
      <w:pPr>
        <w:pStyle w:val="SingleTxtG"/>
        <w:rPr>
          <w:lang w:val="fr-FR"/>
        </w:rPr>
      </w:pPr>
      <w:bookmarkStart w:id="7" w:name="_Hlk99530823"/>
      <w:r w:rsidRPr="00146BDA">
        <w:rPr>
          <w:lang w:val="fr-FR"/>
        </w:rPr>
        <w:t>39.</w:t>
      </w:r>
      <w:r w:rsidRPr="00146BDA">
        <w:rPr>
          <w:lang w:val="fr-FR"/>
        </w:rPr>
        <w:tab/>
        <w:t xml:space="preserve">L’ONLPL peut effectivement mener des visites inopinées dans les postes et commissariats de police et dans les brigades et postes de gendarmerie comme cela est illustré dans le tableau ci-dessous.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43"/>
        <w:gridCol w:w="750"/>
        <w:gridCol w:w="759"/>
        <w:gridCol w:w="776"/>
        <w:gridCol w:w="942"/>
      </w:tblGrid>
      <w:tr w:rsidR="008A5262" w:rsidRPr="006D217C" w14:paraId="513A5E90" w14:textId="77777777" w:rsidTr="006D217C">
        <w:trPr>
          <w:tblHeader/>
        </w:trPr>
        <w:tc>
          <w:tcPr>
            <w:tcW w:w="7370" w:type="dxa"/>
            <w:gridSpan w:val="5"/>
            <w:tcBorders>
              <w:top w:val="single" w:sz="4" w:space="0" w:color="auto"/>
              <w:bottom w:val="single" w:sz="12" w:space="0" w:color="auto"/>
            </w:tcBorders>
            <w:shd w:val="clear" w:color="auto" w:fill="auto"/>
            <w:vAlign w:val="bottom"/>
          </w:tcPr>
          <w:p w14:paraId="575E218F" w14:textId="7AE41EE4" w:rsidR="00146BDA" w:rsidRPr="006D217C" w:rsidRDefault="00B118A7" w:rsidP="006D217C">
            <w:pPr>
              <w:suppressAutoHyphens w:val="0"/>
              <w:spacing w:before="80" w:after="80" w:line="200" w:lineRule="exact"/>
              <w:jc w:val="center"/>
              <w:rPr>
                <w:i/>
                <w:sz w:val="16"/>
              </w:rPr>
            </w:pPr>
            <w:bookmarkStart w:id="8" w:name="_Hlk99530841"/>
            <w:bookmarkEnd w:id="7"/>
            <w:r w:rsidRPr="006D217C">
              <w:rPr>
                <w:i/>
                <w:sz w:val="16"/>
              </w:rPr>
              <w:t>Récapitulatif</w:t>
            </w:r>
            <w:r w:rsidR="008A5262" w:rsidRPr="006D217C">
              <w:rPr>
                <w:i/>
                <w:sz w:val="16"/>
              </w:rPr>
              <w:t xml:space="preserve"> des visites inopinées de 2019 </w:t>
            </w:r>
            <w:r w:rsidR="008A5262">
              <w:rPr>
                <w:i/>
                <w:sz w:val="16"/>
              </w:rPr>
              <w:t>à</w:t>
            </w:r>
            <w:r w:rsidR="008A5262" w:rsidRPr="006D217C">
              <w:rPr>
                <w:i/>
                <w:sz w:val="16"/>
              </w:rPr>
              <w:t xml:space="preserve"> 2021</w:t>
            </w:r>
          </w:p>
        </w:tc>
      </w:tr>
      <w:tr w:rsidR="008A5262" w:rsidRPr="006D217C" w14:paraId="4AC941EB" w14:textId="77777777" w:rsidTr="006D217C">
        <w:tc>
          <w:tcPr>
            <w:tcW w:w="4143" w:type="dxa"/>
            <w:vMerge w:val="restart"/>
            <w:tcBorders>
              <w:top w:val="single" w:sz="4" w:space="0" w:color="auto"/>
            </w:tcBorders>
            <w:shd w:val="clear" w:color="auto" w:fill="auto"/>
          </w:tcPr>
          <w:p w14:paraId="14B1FBDE" w14:textId="1C820AF7" w:rsidR="00146BDA" w:rsidRPr="006D217C" w:rsidRDefault="008A5262" w:rsidP="006D217C">
            <w:pPr>
              <w:suppressAutoHyphens w:val="0"/>
              <w:spacing w:before="80" w:after="80" w:line="200" w:lineRule="exact"/>
              <w:rPr>
                <w:i/>
                <w:spacing w:val="4"/>
                <w:w w:val="103"/>
                <w:kern w:val="14"/>
                <w:sz w:val="16"/>
              </w:rPr>
            </w:pPr>
            <w:r w:rsidRPr="006D217C">
              <w:rPr>
                <w:i/>
                <w:spacing w:val="4"/>
                <w:w w:val="103"/>
                <w:kern w:val="14"/>
                <w:sz w:val="16"/>
              </w:rPr>
              <w:t xml:space="preserve">Désignation </w:t>
            </w:r>
          </w:p>
        </w:tc>
        <w:tc>
          <w:tcPr>
            <w:tcW w:w="750" w:type="dxa"/>
            <w:tcBorders>
              <w:top w:val="single" w:sz="4" w:space="0" w:color="auto"/>
            </w:tcBorders>
            <w:shd w:val="clear" w:color="auto" w:fill="auto"/>
          </w:tcPr>
          <w:p w14:paraId="0B18294D" w14:textId="77777777" w:rsidR="00146BDA" w:rsidRPr="006D217C" w:rsidRDefault="00146BDA" w:rsidP="006D217C">
            <w:pPr>
              <w:suppressAutoHyphens w:val="0"/>
              <w:spacing w:before="80" w:after="80" w:line="200" w:lineRule="exact"/>
              <w:jc w:val="right"/>
              <w:rPr>
                <w:i/>
                <w:spacing w:val="4"/>
                <w:w w:val="103"/>
                <w:kern w:val="14"/>
                <w:sz w:val="16"/>
              </w:rPr>
            </w:pPr>
            <w:r w:rsidRPr="006D217C">
              <w:rPr>
                <w:i/>
                <w:spacing w:val="4"/>
                <w:w w:val="103"/>
                <w:kern w:val="14"/>
                <w:sz w:val="16"/>
              </w:rPr>
              <w:t>2019</w:t>
            </w:r>
          </w:p>
        </w:tc>
        <w:tc>
          <w:tcPr>
            <w:tcW w:w="759" w:type="dxa"/>
            <w:tcBorders>
              <w:top w:val="single" w:sz="4" w:space="0" w:color="auto"/>
            </w:tcBorders>
            <w:shd w:val="clear" w:color="auto" w:fill="auto"/>
          </w:tcPr>
          <w:p w14:paraId="38F5248C" w14:textId="77777777" w:rsidR="00146BDA" w:rsidRPr="006D217C" w:rsidRDefault="00146BDA" w:rsidP="006D217C">
            <w:pPr>
              <w:suppressAutoHyphens w:val="0"/>
              <w:spacing w:before="80" w:after="80" w:line="200" w:lineRule="exact"/>
              <w:jc w:val="right"/>
              <w:rPr>
                <w:i/>
                <w:spacing w:val="4"/>
                <w:w w:val="103"/>
                <w:kern w:val="14"/>
                <w:sz w:val="16"/>
              </w:rPr>
            </w:pPr>
            <w:r w:rsidRPr="006D217C">
              <w:rPr>
                <w:i/>
                <w:spacing w:val="4"/>
                <w:w w:val="103"/>
                <w:kern w:val="14"/>
                <w:sz w:val="16"/>
              </w:rPr>
              <w:t>2020</w:t>
            </w:r>
          </w:p>
        </w:tc>
        <w:tc>
          <w:tcPr>
            <w:tcW w:w="776" w:type="dxa"/>
            <w:tcBorders>
              <w:top w:val="single" w:sz="4" w:space="0" w:color="auto"/>
            </w:tcBorders>
            <w:shd w:val="clear" w:color="auto" w:fill="auto"/>
          </w:tcPr>
          <w:p w14:paraId="2F87E3D4" w14:textId="77777777" w:rsidR="00146BDA" w:rsidRPr="006D217C" w:rsidRDefault="00146BDA" w:rsidP="006D217C">
            <w:pPr>
              <w:suppressAutoHyphens w:val="0"/>
              <w:spacing w:before="80" w:after="80" w:line="200" w:lineRule="exact"/>
              <w:jc w:val="right"/>
              <w:rPr>
                <w:i/>
                <w:spacing w:val="4"/>
                <w:w w:val="103"/>
                <w:kern w:val="14"/>
                <w:sz w:val="16"/>
              </w:rPr>
            </w:pPr>
            <w:r w:rsidRPr="006D217C">
              <w:rPr>
                <w:i/>
                <w:spacing w:val="4"/>
                <w:w w:val="103"/>
                <w:kern w:val="14"/>
                <w:sz w:val="16"/>
              </w:rPr>
              <w:t>2021</w:t>
            </w:r>
          </w:p>
        </w:tc>
        <w:tc>
          <w:tcPr>
            <w:tcW w:w="942" w:type="dxa"/>
            <w:vMerge w:val="restart"/>
            <w:tcBorders>
              <w:top w:val="single" w:sz="4" w:space="0" w:color="auto"/>
            </w:tcBorders>
            <w:shd w:val="clear" w:color="auto" w:fill="auto"/>
          </w:tcPr>
          <w:p w14:paraId="1B028587" w14:textId="0D34B30B" w:rsidR="00146BDA" w:rsidRPr="006D217C" w:rsidRDefault="008A5262" w:rsidP="006D217C">
            <w:pPr>
              <w:suppressAutoHyphens w:val="0"/>
              <w:spacing w:before="80" w:after="80" w:line="200" w:lineRule="exact"/>
              <w:jc w:val="right"/>
              <w:rPr>
                <w:b/>
                <w:bCs/>
                <w:i/>
                <w:spacing w:val="4"/>
                <w:w w:val="103"/>
                <w:kern w:val="14"/>
                <w:sz w:val="16"/>
              </w:rPr>
            </w:pPr>
            <w:r w:rsidRPr="006D217C">
              <w:rPr>
                <w:b/>
                <w:bCs/>
                <w:i/>
                <w:spacing w:val="4"/>
                <w:w w:val="103"/>
                <w:kern w:val="14"/>
                <w:sz w:val="16"/>
              </w:rPr>
              <w:t>Total</w:t>
            </w:r>
          </w:p>
        </w:tc>
      </w:tr>
      <w:tr w:rsidR="008A5262" w:rsidRPr="006D217C" w14:paraId="5BC7512D" w14:textId="77777777" w:rsidTr="006D217C">
        <w:tc>
          <w:tcPr>
            <w:tcW w:w="4143" w:type="dxa"/>
            <w:vMerge/>
            <w:tcBorders>
              <w:bottom w:val="single" w:sz="12" w:space="0" w:color="auto"/>
            </w:tcBorders>
            <w:shd w:val="clear" w:color="auto" w:fill="auto"/>
          </w:tcPr>
          <w:p w14:paraId="25F29EDA" w14:textId="77777777" w:rsidR="00146BDA" w:rsidRPr="006D217C" w:rsidRDefault="00146BDA" w:rsidP="006D217C">
            <w:pPr>
              <w:suppressAutoHyphens w:val="0"/>
              <w:spacing w:before="80" w:after="80" w:line="200" w:lineRule="exact"/>
              <w:rPr>
                <w:i/>
                <w:spacing w:val="4"/>
                <w:w w:val="103"/>
                <w:kern w:val="14"/>
                <w:sz w:val="16"/>
              </w:rPr>
            </w:pPr>
          </w:p>
        </w:tc>
        <w:tc>
          <w:tcPr>
            <w:tcW w:w="750" w:type="dxa"/>
            <w:tcBorders>
              <w:bottom w:val="single" w:sz="12" w:space="0" w:color="auto"/>
            </w:tcBorders>
            <w:shd w:val="clear" w:color="auto" w:fill="auto"/>
          </w:tcPr>
          <w:p w14:paraId="67C4D9CC" w14:textId="26180DB8" w:rsidR="00146BDA" w:rsidRPr="006D217C" w:rsidRDefault="008A5262" w:rsidP="006D217C">
            <w:pPr>
              <w:suppressAutoHyphens w:val="0"/>
              <w:spacing w:before="80" w:after="80" w:line="200" w:lineRule="exact"/>
              <w:jc w:val="right"/>
              <w:rPr>
                <w:i/>
                <w:spacing w:val="4"/>
                <w:w w:val="103"/>
                <w:kern w:val="14"/>
                <w:sz w:val="16"/>
              </w:rPr>
            </w:pPr>
            <w:r w:rsidRPr="006D217C">
              <w:rPr>
                <w:i/>
                <w:spacing w:val="4"/>
                <w:w w:val="103"/>
                <w:kern w:val="14"/>
                <w:sz w:val="16"/>
              </w:rPr>
              <w:t>Nbre</w:t>
            </w:r>
          </w:p>
        </w:tc>
        <w:tc>
          <w:tcPr>
            <w:tcW w:w="759" w:type="dxa"/>
            <w:tcBorders>
              <w:bottom w:val="single" w:sz="12" w:space="0" w:color="auto"/>
            </w:tcBorders>
            <w:shd w:val="clear" w:color="auto" w:fill="auto"/>
          </w:tcPr>
          <w:p w14:paraId="05E467B1" w14:textId="526E4961" w:rsidR="00146BDA" w:rsidRPr="006D217C" w:rsidRDefault="008A5262" w:rsidP="006D217C">
            <w:pPr>
              <w:suppressAutoHyphens w:val="0"/>
              <w:spacing w:before="80" w:after="80" w:line="200" w:lineRule="exact"/>
              <w:jc w:val="right"/>
              <w:rPr>
                <w:i/>
                <w:spacing w:val="4"/>
                <w:w w:val="103"/>
                <w:kern w:val="14"/>
                <w:sz w:val="16"/>
              </w:rPr>
            </w:pPr>
            <w:r w:rsidRPr="006D217C">
              <w:rPr>
                <w:i/>
                <w:spacing w:val="4"/>
                <w:w w:val="103"/>
                <w:kern w:val="14"/>
                <w:sz w:val="16"/>
              </w:rPr>
              <w:t>Nbre</w:t>
            </w:r>
          </w:p>
        </w:tc>
        <w:tc>
          <w:tcPr>
            <w:tcW w:w="776" w:type="dxa"/>
            <w:tcBorders>
              <w:bottom w:val="single" w:sz="12" w:space="0" w:color="auto"/>
            </w:tcBorders>
            <w:shd w:val="clear" w:color="auto" w:fill="auto"/>
          </w:tcPr>
          <w:p w14:paraId="266A9917" w14:textId="22F15941" w:rsidR="00146BDA" w:rsidRPr="006D217C" w:rsidRDefault="008A5262" w:rsidP="006D217C">
            <w:pPr>
              <w:suppressAutoHyphens w:val="0"/>
              <w:spacing w:before="80" w:after="80" w:line="200" w:lineRule="exact"/>
              <w:jc w:val="right"/>
              <w:rPr>
                <w:i/>
                <w:spacing w:val="4"/>
                <w:w w:val="103"/>
                <w:kern w:val="14"/>
                <w:sz w:val="16"/>
              </w:rPr>
            </w:pPr>
            <w:r w:rsidRPr="006D217C">
              <w:rPr>
                <w:i/>
                <w:spacing w:val="4"/>
                <w:w w:val="103"/>
                <w:kern w:val="14"/>
                <w:sz w:val="16"/>
              </w:rPr>
              <w:t>Nbre</w:t>
            </w:r>
          </w:p>
        </w:tc>
        <w:tc>
          <w:tcPr>
            <w:tcW w:w="942" w:type="dxa"/>
            <w:vMerge/>
            <w:tcBorders>
              <w:bottom w:val="single" w:sz="12" w:space="0" w:color="auto"/>
            </w:tcBorders>
            <w:shd w:val="clear" w:color="auto" w:fill="auto"/>
          </w:tcPr>
          <w:p w14:paraId="627FCC23" w14:textId="77777777" w:rsidR="00146BDA" w:rsidRPr="006D217C" w:rsidRDefault="00146BDA" w:rsidP="006D217C">
            <w:pPr>
              <w:suppressAutoHyphens w:val="0"/>
              <w:spacing w:before="80" w:after="80" w:line="200" w:lineRule="exact"/>
              <w:jc w:val="right"/>
              <w:rPr>
                <w:b/>
                <w:bCs/>
                <w:i/>
                <w:spacing w:val="4"/>
                <w:w w:val="103"/>
                <w:kern w:val="14"/>
                <w:sz w:val="16"/>
              </w:rPr>
            </w:pPr>
          </w:p>
        </w:tc>
      </w:tr>
      <w:tr w:rsidR="008A5262" w:rsidRPr="006D217C" w14:paraId="1DC26D95" w14:textId="77777777" w:rsidTr="006D217C">
        <w:tc>
          <w:tcPr>
            <w:tcW w:w="4143" w:type="dxa"/>
            <w:tcBorders>
              <w:top w:val="single" w:sz="12" w:space="0" w:color="auto"/>
            </w:tcBorders>
            <w:shd w:val="clear" w:color="auto" w:fill="auto"/>
          </w:tcPr>
          <w:p w14:paraId="08820BDC" w14:textId="298FF59B" w:rsidR="00146BDA" w:rsidRPr="006D217C" w:rsidRDefault="008A5262" w:rsidP="006D217C">
            <w:pPr>
              <w:suppressAutoHyphens w:val="0"/>
              <w:spacing w:before="40" w:after="40" w:line="220" w:lineRule="exact"/>
              <w:rPr>
                <w:sz w:val="18"/>
              </w:rPr>
            </w:pPr>
            <w:r w:rsidRPr="006D217C">
              <w:rPr>
                <w:sz w:val="18"/>
              </w:rPr>
              <w:t xml:space="preserve">Visite commissariat et poste de police </w:t>
            </w:r>
          </w:p>
        </w:tc>
        <w:tc>
          <w:tcPr>
            <w:tcW w:w="750" w:type="dxa"/>
            <w:tcBorders>
              <w:top w:val="single" w:sz="12" w:space="0" w:color="auto"/>
            </w:tcBorders>
            <w:shd w:val="clear" w:color="auto" w:fill="auto"/>
          </w:tcPr>
          <w:p w14:paraId="000DA89B" w14:textId="43EB5C34" w:rsidR="00146BDA" w:rsidRPr="006D217C" w:rsidRDefault="00146BDA" w:rsidP="006D217C">
            <w:pPr>
              <w:suppressAutoHyphens w:val="0"/>
              <w:spacing w:before="40" w:after="40" w:line="220" w:lineRule="exact"/>
              <w:jc w:val="right"/>
              <w:rPr>
                <w:sz w:val="18"/>
              </w:rPr>
            </w:pPr>
            <w:r w:rsidRPr="006D217C">
              <w:rPr>
                <w:sz w:val="18"/>
              </w:rPr>
              <w:t>16</w:t>
            </w:r>
          </w:p>
        </w:tc>
        <w:tc>
          <w:tcPr>
            <w:tcW w:w="759" w:type="dxa"/>
            <w:tcBorders>
              <w:top w:val="single" w:sz="12" w:space="0" w:color="auto"/>
            </w:tcBorders>
            <w:shd w:val="clear" w:color="auto" w:fill="auto"/>
          </w:tcPr>
          <w:p w14:paraId="2709DFD5" w14:textId="373D12C1" w:rsidR="00146BDA" w:rsidRPr="006D217C" w:rsidRDefault="00146BDA" w:rsidP="006D217C">
            <w:pPr>
              <w:suppressAutoHyphens w:val="0"/>
              <w:spacing w:before="40" w:after="40" w:line="220" w:lineRule="exact"/>
              <w:jc w:val="right"/>
              <w:rPr>
                <w:sz w:val="18"/>
              </w:rPr>
            </w:pPr>
            <w:r w:rsidRPr="006D217C">
              <w:rPr>
                <w:sz w:val="18"/>
              </w:rPr>
              <w:t>16</w:t>
            </w:r>
          </w:p>
        </w:tc>
        <w:tc>
          <w:tcPr>
            <w:tcW w:w="776" w:type="dxa"/>
            <w:tcBorders>
              <w:top w:val="single" w:sz="12" w:space="0" w:color="auto"/>
            </w:tcBorders>
            <w:shd w:val="clear" w:color="auto" w:fill="auto"/>
          </w:tcPr>
          <w:p w14:paraId="40DCB796" w14:textId="6E53213A" w:rsidR="00146BDA" w:rsidRPr="006D217C" w:rsidRDefault="00146BDA" w:rsidP="006D217C">
            <w:pPr>
              <w:suppressAutoHyphens w:val="0"/>
              <w:spacing w:before="40" w:after="40" w:line="220" w:lineRule="exact"/>
              <w:jc w:val="right"/>
              <w:rPr>
                <w:sz w:val="18"/>
              </w:rPr>
            </w:pPr>
            <w:r w:rsidRPr="006D217C">
              <w:rPr>
                <w:sz w:val="18"/>
              </w:rPr>
              <w:t xml:space="preserve"> 6</w:t>
            </w:r>
          </w:p>
        </w:tc>
        <w:tc>
          <w:tcPr>
            <w:tcW w:w="942" w:type="dxa"/>
            <w:tcBorders>
              <w:top w:val="single" w:sz="12" w:space="0" w:color="auto"/>
            </w:tcBorders>
            <w:shd w:val="clear" w:color="auto" w:fill="auto"/>
          </w:tcPr>
          <w:p w14:paraId="6E7BC85C" w14:textId="46DDD0D1" w:rsidR="00146BDA" w:rsidRPr="006D217C" w:rsidRDefault="00146BDA" w:rsidP="006D217C">
            <w:pPr>
              <w:suppressAutoHyphens w:val="0"/>
              <w:spacing w:before="40" w:after="40" w:line="220" w:lineRule="exact"/>
              <w:jc w:val="right"/>
              <w:rPr>
                <w:b/>
                <w:bCs/>
                <w:sz w:val="18"/>
              </w:rPr>
            </w:pPr>
            <w:r w:rsidRPr="006D217C">
              <w:rPr>
                <w:b/>
                <w:bCs/>
                <w:sz w:val="18"/>
              </w:rPr>
              <w:t xml:space="preserve"> 38</w:t>
            </w:r>
          </w:p>
        </w:tc>
      </w:tr>
      <w:tr w:rsidR="008A5262" w:rsidRPr="006D217C" w14:paraId="6A47DB6F" w14:textId="77777777" w:rsidTr="006D217C">
        <w:tc>
          <w:tcPr>
            <w:tcW w:w="4143" w:type="dxa"/>
            <w:shd w:val="clear" w:color="auto" w:fill="auto"/>
          </w:tcPr>
          <w:p w14:paraId="46F29FDB" w14:textId="02AA370C" w:rsidR="00146BDA" w:rsidRPr="006D217C" w:rsidRDefault="008A5262" w:rsidP="006D217C">
            <w:pPr>
              <w:suppressAutoHyphens w:val="0"/>
              <w:spacing w:before="40" w:after="40" w:line="220" w:lineRule="exact"/>
              <w:rPr>
                <w:sz w:val="18"/>
              </w:rPr>
            </w:pPr>
            <w:r w:rsidRPr="006D217C">
              <w:rPr>
                <w:sz w:val="18"/>
              </w:rPr>
              <w:t>Visite brigade et poste de gendarmerie</w:t>
            </w:r>
          </w:p>
        </w:tc>
        <w:tc>
          <w:tcPr>
            <w:tcW w:w="750" w:type="dxa"/>
            <w:shd w:val="clear" w:color="auto" w:fill="auto"/>
          </w:tcPr>
          <w:p w14:paraId="64EB6D46" w14:textId="3D05441D" w:rsidR="00146BDA" w:rsidRPr="006D217C" w:rsidRDefault="00146BDA" w:rsidP="006D217C">
            <w:pPr>
              <w:suppressAutoHyphens w:val="0"/>
              <w:spacing w:before="40" w:after="40" w:line="220" w:lineRule="exact"/>
              <w:jc w:val="right"/>
              <w:rPr>
                <w:sz w:val="18"/>
              </w:rPr>
            </w:pPr>
            <w:r w:rsidRPr="006D217C">
              <w:rPr>
                <w:sz w:val="18"/>
              </w:rPr>
              <w:t>19</w:t>
            </w:r>
          </w:p>
        </w:tc>
        <w:tc>
          <w:tcPr>
            <w:tcW w:w="759" w:type="dxa"/>
            <w:shd w:val="clear" w:color="auto" w:fill="auto"/>
          </w:tcPr>
          <w:p w14:paraId="36CBF2AB" w14:textId="0E12E9C0" w:rsidR="00146BDA" w:rsidRPr="006D217C" w:rsidRDefault="00146BDA" w:rsidP="006D217C">
            <w:pPr>
              <w:suppressAutoHyphens w:val="0"/>
              <w:spacing w:before="40" w:after="40" w:line="220" w:lineRule="exact"/>
              <w:jc w:val="right"/>
              <w:rPr>
                <w:sz w:val="18"/>
              </w:rPr>
            </w:pPr>
            <w:r w:rsidRPr="006D217C">
              <w:rPr>
                <w:sz w:val="18"/>
              </w:rPr>
              <w:t>17</w:t>
            </w:r>
          </w:p>
        </w:tc>
        <w:tc>
          <w:tcPr>
            <w:tcW w:w="776" w:type="dxa"/>
            <w:shd w:val="clear" w:color="auto" w:fill="auto"/>
          </w:tcPr>
          <w:p w14:paraId="49295499" w14:textId="2AD0059A" w:rsidR="00146BDA" w:rsidRPr="006D217C" w:rsidRDefault="00146BDA" w:rsidP="006D217C">
            <w:pPr>
              <w:suppressAutoHyphens w:val="0"/>
              <w:spacing w:before="40" w:after="40" w:line="220" w:lineRule="exact"/>
              <w:jc w:val="right"/>
              <w:rPr>
                <w:sz w:val="18"/>
              </w:rPr>
            </w:pPr>
            <w:r w:rsidRPr="006D217C">
              <w:rPr>
                <w:sz w:val="18"/>
              </w:rPr>
              <w:t xml:space="preserve"> 6</w:t>
            </w:r>
          </w:p>
        </w:tc>
        <w:tc>
          <w:tcPr>
            <w:tcW w:w="942" w:type="dxa"/>
            <w:shd w:val="clear" w:color="auto" w:fill="auto"/>
          </w:tcPr>
          <w:p w14:paraId="519F608D" w14:textId="341E0839" w:rsidR="00146BDA" w:rsidRPr="006D217C" w:rsidRDefault="00146BDA" w:rsidP="006D217C">
            <w:pPr>
              <w:suppressAutoHyphens w:val="0"/>
              <w:spacing w:before="40" w:after="40" w:line="220" w:lineRule="exact"/>
              <w:jc w:val="right"/>
              <w:rPr>
                <w:b/>
                <w:bCs/>
                <w:sz w:val="18"/>
              </w:rPr>
            </w:pPr>
            <w:r w:rsidRPr="006D217C">
              <w:rPr>
                <w:b/>
                <w:bCs/>
                <w:sz w:val="18"/>
              </w:rPr>
              <w:t xml:space="preserve"> 42</w:t>
            </w:r>
          </w:p>
        </w:tc>
      </w:tr>
      <w:tr w:rsidR="008A5262" w:rsidRPr="006D217C" w14:paraId="658C2D94" w14:textId="77777777" w:rsidTr="006D217C">
        <w:tc>
          <w:tcPr>
            <w:tcW w:w="4143" w:type="dxa"/>
            <w:shd w:val="clear" w:color="auto" w:fill="auto"/>
          </w:tcPr>
          <w:p w14:paraId="61BA25D6" w14:textId="7AC0EB53" w:rsidR="00146BDA" w:rsidRPr="006D217C" w:rsidRDefault="008A5262" w:rsidP="006D217C">
            <w:pPr>
              <w:suppressAutoHyphens w:val="0"/>
              <w:spacing w:before="40" w:after="40" w:line="220" w:lineRule="exact"/>
              <w:rPr>
                <w:sz w:val="18"/>
              </w:rPr>
            </w:pPr>
            <w:r w:rsidRPr="006D217C">
              <w:rPr>
                <w:sz w:val="18"/>
              </w:rPr>
              <w:t xml:space="preserve">Visite établissement pénitentiaire </w:t>
            </w:r>
          </w:p>
        </w:tc>
        <w:tc>
          <w:tcPr>
            <w:tcW w:w="750" w:type="dxa"/>
            <w:shd w:val="clear" w:color="auto" w:fill="auto"/>
          </w:tcPr>
          <w:p w14:paraId="3D4A6DE4" w14:textId="5610D499" w:rsidR="00146BDA" w:rsidRPr="006D217C" w:rsidRDefault="00146BDA" w:rsidP="006D217C">
            <w:pPr>
              <w:suppressAutoHyphens w:val="0"/>
              <w:spacing w:before="40" w:after="40" w:line="220" w:lineRule="exact"/>
              <w:jc w:val="right"/>
              <w:rPr>
                <w:sz w:val="18"/>
              </w:rPr>
            </w:pPr>
            <w:r w:rsidRPr="006D217C">
              <w:rPr>
                <w:sz w:val="18"/>
              </w:rPr>
              <w:t>8</w:t>
            </w:r>
          </w:p>
        </w:tc>
        <w:tc>
          <w:tcPr>
            <w:tcW w:w="759" w:type="dxa"/>
            <w:shd w:val="clear" w:color="auto" w:fill="auto"/>
          </w:tcPr>
          <w:p w14:paraId="6B6693ED" w14:textId="5EB8DEC0" w:rsidR="00146BDA" w:rsidRPr="006D217C" w:rsidRDefault="00146BDA" w:rsidP="006D217C">
            <w:pPr>
              <w:suppressAutoHyphens w:val="0"/>
              <w:spacing w:before="40" w:after="40" w:line="220" w:lineRule="exact"/>
              <w:jc w:val="right"/>
              <w:rPr>
                <w:sz w:val="18"/>
              </w:rPr>
            </w:pPr>
            <w:r w:rsidRPr="006D217C">
              <w:rPr>
                <w:sz w:val="18"/>
              </w:rPr>
              <w:t>14</w:t>
            </w:r>
          </w:p>
        </w:tc>
        <w:tc>
          <w:tcPr>
            <w:tcW w:w="776" w:type="dxa"/>
            <w:shd w:val="clear" w:color="auto" w:fill="auto"/>
          </w:tcPr>
          <w:p w14:paraId="5945CB9B" w14:textId="62665342" w:rsidR="00146BDA" w:rsidRPr="006D217C" w:rsidRDefault="00146BDA" w:rsidP="006D217C">
            <w:pPr>
              <w:suppressAutoHyphens w:val="0"/>
              <w:spacing w:before="40" w:after="40" w:line="220" w:lineRule="exact"/>
              <w:jc w:val="right"/>
              <w:rPr>
                <w:sz w:val="18"/>
              </w:rPr>
            </w:pPr>
            <w:r w:rsidRPr="006D217C">
              <w:rPr>
                <w:sz w:val="18"/>
              </w:rPr>
              <w:t xml:space="preserve"> 13</w:t>
            </w:r>
          </w:p>
        </w:tc>
        <w:tc>
          <w:tcPr>
            <w:tcW w:w="942" w:type="dxa"/>
            <w:shd w:val="clear" w:color="auto" w:fill="auto"/>
          </w:tcPr>
          <w:p w14:paraId="65A0D159" w14:textId="24A7758D" w:rsidR="00146BDA" w:rsidRPr="006D217C" w:rsidRDefault="00146BDA" w:rsidP="006D217C">
            <w:pPr>
              <w:suppressAutoHyphens w:val="0"/>
              <w:spacing w:before="40" w:after="40" w:line="220" w:lineRule="exact"/>
              <w:jc w:val="right"/>
              <w:rPr>
                <w:b/>
                <w:bCs/>
                <w:sz w:val="18"/>
              </w:rPr>
            </w:pPr>
            <w:r w:rsidRPr="006D217C">
              <w:rPr>
                <w:b/>
                <w:bCs/>
                <w:sz w:val="18"/>
              </w:rPr>
              <w:t xml:space="preserve"> 35</w:t>
            </w:r>
          </w:p>
        </w:tc>
      </w:tr>
      <w:tr w:rsidR="008A5262" w:rsidRPr="006D217C" w14:paraId="5F186D68" w14:textId="77777777" w:rsidTr="006D217C">
        <w:tc>
          <w:tcPr>
            <w:tcW w:w="4143" w:type="dxa"/>
            <w:shd w:val="clear" w:color="auto" w:fill="auto"/>
          </w:tcPr>
          <w:p w14:paraId="4DBD7655" w14:textId="12C3B911" w:rsidR="00146BDA" w:rsidRPr="006D217C" w:rsidRDefault="008A5262" w:rsidP="006D217C">
            <w:pPr>
              <w:suppressAutoHyphens w:val="0"/>
              <w:spacing w:before="40" w:after="40" w:line="220" w:lineRule="exact"/>
              <w:rPr>
                <w:sz w:val="18"/>
              </w:rPr>
            </w:pPr>
            <w:r w:rsidRPr="006D217C">
              <w:rPr>
                <w:sz w:val="18"/>
              </w:rPr>
              <w:t>Visite structure psychiatrique</w:t>
            </w:r>
          </w:p>
        </w:tc>
        <w:tc>
          <w:tcPr>
            <w:tcW w:w="750" w:type="dxa"/>
            <w:shd w:val="clear" w:color="auto" w:fill="auto"/>
          </w:tcPr>
          <w:p w14:paraId="78718679" w14:textId="354EA5F1" w:rsidR="00146BDA" w:rsidRPr="006D217C" w:rsidRDefault="00146BDA" w:rsidP="006D217C">
            <w:pPr>
              <w:suppressAutoHyphens w:val="0"/>
              <w:spacing w:before="40" w:after="40" w:line="220" w:lineRule="exact"/>
              <w:jc w:val="right"/>
              <w:rPr>
                <w:sz w:val="18"/>
              </w:rPr>
            </w:pPr>
            <w:r w:rsidRPr="006D217C">
              <w:rPr>
                <w:sz w:val="18"/>
              </w:rPr>
              <w:t xml:space="preserve"> 0</w:t>
            </w:r>
          </w:p>
        </w:tc>
        <w:tc>
          <w:tcPr>
            <w:tcW w:w="759" w:type="dxa"/>
            <w:shd w:val="clear" w:color="auto" w:fill="auto"/>
          </w:tcPr>
          <w:p w14:paraId="3640C9DE" w14:textId="464B340F" w:rsidR="00146BDA" w:rsidRPr="006D217C" w:rsidRDefault="00146BDA" w:rsidP="006D217C">
            <w:pPr>
              <w:suppressAutoHyphens w:val="0"/>
              <w:spacing w:before="40" w:after="40" w:line="220" w:lineRule="exact"/>
              <w:jc w:val="right"/>
              <w:rPr>
                <w:sz w:val="18"/>
              </w:rPr>
            </w:pPr>
            <w:r w:rsidRPr="006D217C">
              <w:rPr>
                <w:sz w:val="18"/>
              </w:rPr>
              <w:t xml:space="preserve"> 4</w:t>
            </w:r>
          </w:p>
        </w:tc>
        <w:tc>
          <w:tcPr>
            <w:tcW w:w="776" w:type="dxa"/>
            <w:shd w:val="clear" w:color="auto" w:fill="auto"/>
          </w:tcPr>
          <w:p w14:paraId="6E8D1181" w14:textId="31E49899" w:rsidR="00146BDA" w:rsidRPr="006D217C" w:rsidRDefault="00146BDA" w:rsidP="006D217C">
            <w:pPr>
              <w:suppressAutoHyphens w:val="0"/>
              <w:spacing w:before="40" w:after="40" w:line="220" w:lineRule="exact"/>
              <w:jc w:val="right"/>
              <w:rPr>
                <w:sz w:val="18"/>
              </w:rPr>
            </w:pPr>
            <w:r w:rsidRPr="006D217C">
              <w:rPr>
                <w:sz w:val="18"/>
              </w:rPr>
              <w:t xml:space="preserve"> 1</w:t>
            </w:r>
          </w:p>
        </w:tc>
        <w:tc>
          <w:tcPr>
            <w:tcW w:w="942" w:type="dxa"/>
            <w:shd w:val="clear" w:color="auto" w:fill="auto"/>
          </w:tcPr>
          <w:p w14:paraId="34E5631F" w14:textId="1B12752F" w:rsidR="00146BDA" w:rsidRPr="006D217C" w:rsidRDefault="00146BDA" w:rsidP="006D217C">
            <w:pPr>
              <w:suppressAutoHyphens w:val="0"/>
              <w:spacing w:before="40" w:after="40" w:line="220" w:lineRule="exact"/>
              <w:jc w:val="right"/>
              <w:rPr>
                <w:b/>
                <w:bCs/>
                <w:sz w:val="18"/>
              </w:rPr>
            </w:pPr>
            <w:r w:rsidRPr="006D217C">
              <w:rPr>
                <w:b/>
                <w:bCs/>
                <w:sz w:val="18"/>
              </w:rPr>
              <w:t xml:space="preserve"> 5</w:t>
            </w:r>
          </w:p>
        </w:tc>
      </w:tr>
      <w:tr w:rsidR="008A5262" w:rsidRPr="006D217C" w14:paraId="23469EDF" w14:textId="77777777" w:rsidTr="006D217C">
        <w:tc>
          <w:tcPr>
            <w:tcW w:w="4143" w:type="dxa"/>
            <w:tcBorders>
              <w:bottom w:val="single" w:sz="4" w:space="0" w:color="auto"/>
            </w:tcBorders>
            <w:shd w:val="clear" w:color="auto" w:fill="auto"/>
          </w:tcPr>
          <w:p w14:paraId="472A241E" w14:textId="27A5B877" w:rsidR="00146BDA" w:rsidRPr="006D217C" w:rsidRDefault="008A5262" w:rsidP="006D217C">
            <w:pPr>
              <w:suppressAutoHyphens w:val="0"/>
              <w:spacing w:before="40" w:after="40" w:line="220" w:lineRule="exact"/>
              <w:rPr>
                <w:sz w:val="18"/>
                <w:lang w:val="fr-SN"/>
              </w:rPr>
            </w:pPr>
            <w:r w:rsidRPr="006D217C">
              <w:rPr>
                <w:sz w:val="18"/>
              </w:rPr>
              <w:t xml:space="preserve">Visite établissement pénitentiaire pour mineurs </w:t>
            </w:r>
          </w:p>
        </w:tc>
        <w:tc>
          <w:tcPr>
            <w:tcW w:w="750" w:type="dxa"/>
            <w:tcBorders>
              <w:bottom w:val="single" w:sz="4" w:space="0" w:color="auto"/>
            </w:tcBorders>
            <w:shd w:val="clear" w:color="auto" w:fill="auto"/>
          </w:tcPr>
          <w:p w14:paraId="36B87DF9" w14:textId="0BE53B76" w:rsidR="00146BDA" w:rsidRPr="006D217C" w:rsidRDefault="00146BDA" w:rsidP="006D217C">
            <w:pPr>
              <w:suppressAutoHyphens w:val="0"/>
              <w:spacing w:before="40" w:after="40" w:line="220" w:lineRule="exact"/>
              <w:jc w:val="right"/>
              <w:rPr>
                <w:sz w:val="18"/>
              </w:rPr>
            </w:pPr>
            <w:r w:rsidRPr="006D217C">
              <w:rPr>
                <w:sz w:val="18"/>
              </w:rPr>
              <w:t xml:space="preserve"> 0</w:t>
            </w:r>
          </w:p>
        </w:tc>
        <w:tc>
          <w:tcPr>
            <w:tcW w:w="759" w:type="dxa"/>
            <w:tcBorders>
              <w:bottom w:val="single" w:sz="4" w:space="0" w:color="auto"/>
            </w:tcBorders>
            <w:shd w:val="clear" w:color="auto" w:fill="auto"/>
          </w:tcPr>
          <w:p w14:paraId="5EC58296" w14:textId="0DF828A3" w:rsidR="00146BDA" w:rsidRPr="006D217C" w:rsidRDefault="00146BDA" w:rsidP="006D217C">
            <w:pPr>
              <w:suppressAutoHyphens w:val="0"/>
              <w:spacing w:before="40" w:after="40" w:line="220" w:lineRule="exact"/>
              <w:jc w:val="right"/>
              <w:rPr>
                <w:sz w:val="18"/>
              </w:rPr>
            </w:pPr>
            <w:r w:rsidRPr="006D217C">
              <w:rPr>
                <w:sz w:val="18"/>
              </w:rPr>
              <w:t xml:space="preserve"> 2</w:t>
            </w:r>
          </w:p>
        </w:tc>
        <w:tc>
          <w:tcPr>
            <w:tcW w:w="776" w:type="dxa"/>
            <w:tcBorders>
              <w:bottom w:val="single" w:sz="4" w:space="0" w:color="auto"/>
            </w:tcBorders>
            <w:shd w:val="clear" w:color="auto" w:fill="auto"/>
          </w:tcPr>
          <w:p w14:paraId="5A2F991F" w14:textId="77777777" w:rsidR="00146BDA" w:rsidRPr="006D217C" w:rsidRDefault="00146BDA" w:rsidP="006D217C">
            <w:pPr>
              <w:suppressAutoHyphens w:val="0"/>
              <w:spacing w:before="40" w:after="40" w:line="220" w:lineRule="exact"/>
              <w:jc w:val="right"/>
              <w:rPr>
                <w:sz w:val="18"/>
              </w:rPr>
            </w:pPr>
          </w:p>
        </w:tc>
        <w:tc>
          <w:tcPr>
            <w:tcW w:w="942" w:type="dxa"/>
            <w:tcBorders>
              <w:bottom w:val="single" w:sz="4" w:space="0" w:color="auto"/>
            </w:tcBorders>
            <w:shd w:val="clear" w:color="auto" w:fill="auto"/>
          </w:tcPr>
          <w:p w14:paraId="6F1211ED" w14:textId="031BF970" w:rsidR="00146BDA" w:rsidRPr="006D217C" w:rsidRDefault="00146BDA" w:rsidP="006D217C">
            <w:pPr>
              <w:suppressAutoHyphens w:val="0"/>
              <w:spacing w:before="40" w:after="40" w:line="220" w:lineRule="exact"/>
              <w:jc w:val="right"/>
              <w:rPr>
                <w:b/>
                <w:bCs/>
                <w:sz w:val="18"/>
              </w:rPr>
            </w:pPr>
            <w:r w:rsidRPr="006D217C">
              <w:rPr>
                <w:b/>
                <w:bCs/>
                <w:sz w:val="18"/>
              </w:rPr>
              <w:t xml:space="preserve"> 2</w:t>
            </w:r>
          </w:p>
        </w:tc>
      </w:tr>
      <w:tr w:rsidR="008A5262" w:rsidRPr="006D217C" w14:paraId="093F85AE" w14:textId="77777777" w:rsidTr="006D217C">
        <w:tc>
          <w:tcPr>
            <w:tcW w:w="4143" w:type="dxa"/>
            <w:tcBorders>
              <w:top w:val="single" w:sz="4" w:space="0" w:color="auto"/>
              <w:bottom w:val="single" w:sz="12" w:space="0" w:color="auto"/>
            </w:tcBorders>
            <w:shd w:val="clear" w:color="auto" w:fill="auto"/>
          </w:tcPr>
          <w:p w14:paraId="67498888" w14:textId="025C26B4" w:rsidR="00146BDA" w:rsidRPr="006D217C" w:rsidRDefault="008A5262" w:rsidP="006D217C">
            <w:pPr>
              <w:suppressAutoHyphens w:val="0"/>
              <w:spacing w:before="80" w:after="80" w:line="220" w:lineRule="exact"/>
              <w:ind w:left="283"/>
              <w:rPr>
                <w:b/>
                <w:bCs/>
                <w:iCs/>
                <w:sz w:val="18"/>
              </w:rPr>
            </w:pPr>
            <w:r w:rsidRPr="006D217C">
              <w:rPr>
                <w:b/>
                <w:bCs/>
                <w:iCs/>
                <w:sz w:val="18"/>
              </w:rPr>
              <w:t xml:space="preserve">Total </w:t>
            </w:r>
          </w:p>
        </w:tc>
        <w:tc>
          <w:tcPr>
            <w:tcW w:w="750" w:type="dxa"/>
            <w:tcBorders>
              <w:top w:val="single" w:sz="4" w:space="0" w:color="auto"/>
              <w:bottom w:val="single" w:sz="12" w:space="0" w:color="auto"/>
            </w:tcBorders>
            <w:shd w:val="clear" w:color="auto" w:fill="auto"/>
          </w:tcPr>
          <w:p w14:paraId="0B07BA1A" w14:textId="5DDBC3BF" w:rsidR="00146BDA" w:rsidRPr="006D217C" w:rsidRDefault="00146BDA" w:rsidP="006D217C">
            <w:pPr>
              <w:suppressAutoHyphens w:val="0"/>
              <w:spacing w:before="80" w:after="80" w:line="220" w:lineRule="exact"/>
              <w:jc w:val="right"/>
              <w:rPr>
                <w:b/>
                <w:bCs/>
                <w:iCs/>
                <w:sz w:val="18"/>
              </w:rPr>
            </w:pPr>
            <w:r w:rsidRPr="006D217C">
              <w:rPr>
                <w:b/>
                <w:bCs/>
                <w:iCs/>
                <w:sz w:val="18"/>
              </w:rPr>
              <w:t xml:space="preserve"> 43</w:t>
            </w:r>
          </w:p>
        </w:tc>
        <w:tc>
          <w:tcPr>
            <w:tcW w:w="759" w:type="dxa"/>
            <w:tcBorders>
              <w:top w:val="single" w:sz="4" w:space="0" w:color="auto"/>
              <w:bottom w:val="single" w:sz="12" w:space="0" w:color="auto"/>
            </w:tcBorders>
            <w:shd w:val="clear" w:color="auto" w:fill="auto"/>
          </w:tcPr>
          <w:p w14:paraId="427B321D" w14:textId="33DA2B7C" w:rsidR="00146BDA" w:rsidRPr="006D217C" w:rsidRDefault="00146BDA" w:rsidP="006D217C">
            <w:pPr>
              <w:suppressAutoHyphens w:val="0"/>
              <w:spacing w:before="80" w:after="80" w:line="220" w:lineRule="exact"/>
              <w:jc w:val="right"/>
              <w:rPr>
                <w:b/>
                <w:bCs/>
                <w:iCs/>
                <w:sz w:val="18"/>
              </w:rPr>
            </w:pPr>
            <w:r w:rsidRPr="006D217C">
              <w:rPr>
                <w:b/>
                <w:bCs/>
                <w:iCs/>
                <w:sz w:val="18"/>
              </w:rPr>
              <w:t xml:space="preserve"> 53</w:t>
            </w:r>
          </w:p>
        </w:tc>
        <w:tc>
          <w:tcPr>
            <w:tcW w:w="776" w:type="dxa"/>
            <w:tcBorders>
              <w:top w:val="single" w:sz="4" w:space="0" w:color="auto"/>
              <w:bottom w:val="single" w:sz="12" w:space="0" w:color="auto"/>
            </w:tcBorders>
            <w:shd w:val="clear" w:color="auto" w:fill="auto"/>
          </w:tcPr>
          <w:p w14:paraId="0B3E64FF" w14:textId="3559D995" w:rsidR="00146BDA" w:rsidRPr="006D217C" w:rsidRDefault="00146BDA" w:rsidP="006D217C">
            <w:pPr>
              <w:suppressAutoHyphens w:val="0"/>
              <w:spacing w:before="80" w:after="80" w:line="220" w:lineRule="exact"/>
              <w:jc w:val="right"/>
              <w:rPr>
                <w:b/>
                <w:bCs/>
                <w:iCs/>
                <w:sz w:val="18"/>
              </w:rPr>
            </w:pPr>
            <w:r w:rsidRPr="006D217C">
              <w:rPr>
                <w:b/>
                <w:bCs/>
                <w:iCs/>
                <w:sz w:val="18"/>
              </w:rPr>
              <w:t xml:space="preserve"> 26</w:t>
            </w:r>
          </w:p>
        </w:tc>
        <w:tc>
          <w:tcPr>
            <w:tcW w:w="942" w:type="dxa"/>
            <w:tcBorders>
              <w:top w:val="single" w:sz="4" w:space="0" w:color="auto"/>
              <w:bottom w:val="single" w:sz="12" w:space="0" w:color="auto"/>
            </w:tcBorders>
            <w:shd w:val="clear" w:color="auto" w:fill="auto"/>
          </w:tcPr>
          <w:p w14:paraId="73B531AC" w14:textId="4E7EE03E" w:rsidR="00146BDA" w:rsidRPr="006D217C" w:rsidRDefault="00146BDA" w:rsidP="006D217C">
            <w:pPr>
              <w:suppressAutoHyphens w:val="0"/>
              <w:spacing w:before="80" w:after="80" w:line="220" w:lineRule="exact"/>
              <w:jc w:val="right"/>
              <w:rPr>
                <w:b/>
                <w:bCs/>
                <w:iCs/>
                <w:sz w:val="18"/>
              </w:rPr>
            </w:pPr>
            <w:r w:rsidRPr="006D217C">
              <w:rPr>
                <w:b/>
                <w:bCs/>
                <w:iCs/>
                <w:sz w:val="18"/>
              </w:rPr>
              <w:t xml:space="preserve"> 122</w:t>
            </w:r>
          </w:p>
        </w:tc>
      </w:tr>
    </w:tbl>
    <w:p w14:paraId="77249CC7" w14:textId="65EA5AF4" w:rsidR="00794E0E" w:rsidRDefault="00146BDA" w:rsidP="00CB11C3">
      <w:pPr>
        <w:pStyle w:val="SingleTxtG"/>
        <w:spacing w:before="240"/>
        <w:rPr>
          <w:color w:val="000000"/>
          <w:lang w:val="fr-SN"/>
        </w:rPr>
      </w:pPr>
      <w:bookmarkStart w:id="9" w:name="_Hlk99530899"/>
      <w:bookmarkEnd w:id="8"/>
      <w:r w:rsidRPr="00146BDA">
        <w:rPr>
          <w:color w:val="000000"/>
          <w:lang w:val="fr-FR"/>
        </w:rPr>
        <w:t>40.</w:t>
      </w:r>
      <w:r w:rsidRPr="00146BDA">
        <w:rPr>
          <w:color w:val="000000"/>
          <w:lang w:val="fr-FR"/>
        </w:rPr>
        <w:tab/>
        <w:t xml:space="preserve">Concernant la Maison d’arrêt et de correction de Thiès, </w:t>
      </w:r>
      <w:proofErr w:type="spellStart"/>
      <w:r w:rsidRPr="00146BDA">
        <w:rPr>
          <w:color w:val="000000"/>
          <w:lang w:val="fr-FR"/>
        </w:rPr>
        <w:t>Bathie</w:t>
      </w:r>
      <w:proofErr w:type="spellEnd"/>
      <w:r w:rsidRPr="00146BDA">
        <w:rPr>
          <w:color w:val="000000"/>
          <w:lang w:val="fr-FR"/>
        </w:rPr>
        <w:t xml:space="preserve"> </w:t>
      </w:r>
      <w:proofErr w:type="spellStart"/>
      <w:r w:rsidR="00CB11C3" w:rsidRPr="00146BDA">
        <w:rPr>
          <w:color w:val="000000"/>
          <w:lang w:val="fr-FR"/>
        </w:rPr>
        <w:t>Sene</w:t>
      </w:r>
      <w:proofErr w:type="spellEnd"/>
      <w:r w:rsidR="00CB11C3" w:rsidRPr="00146BDA">
        <w:rPr>
          <w:color w:val="000000"/>
          <w:lang w:val="fr-FR"/>
        </w:rPr>
        <w:t xml:space="preserve"> </w:t>
      </w:r>
      <w:r w:rsidRPr="00146BDA">
        <w:rPr>
          <w:color w:val="000000"/>
          <w:lang w:val="fr-FR"/>
        </w:rPr>
        <w:t xml:space="preserve">et Pape </w:t>
      </w:r>
      <w:proofErr w:type="spellStart"/>
      <w:r w:rsidRPr="00146BDA">
        <w:rPr>
          <w:color w:val="000000"/>
          <w:lang w:val="fr-FR"/>
        </w:rPr>
        <w:t>Dady</w:t>
      </w:r>
      <w:proofErr w:type="spellEnd"/>
      <w:r w:rsidRPr="00146BDA">
        <w:rPr>
          <w:color w:val="000000"/>
          <w:lang w:val="fr-FR"/>
        </w:rPr>
        <w:t xml:space="preserve"> </w:t>
      </w:r>
      <w:proofErr w:type="spellStart"/>
      <w:r w:rsidR="008A5262" w:rsidRPr="00146BDA">
        <w:rPr>
          <w:color w:val="000000"/>
          <w:lang w:val="fr-FR"/>
        </w:rPr>
        <w:t>Simanta</w:t>
      </w:r>
      <w:proofErr w:type="spellEnd"/>
      <w:r w:rsidRPr="00146BDA">
        <w:rPr>
          <w:lang w:val="fr-FR"/>
        </w:rPr>
        <w:t>,</w:t>
      </w:r>
      <w:r w:rsidRPr="00146BDA">
        <w:rPr>
          <w:color w:val="FF0000"/>
          <w:lang w:val="fr-FR"/>
        </w:rPr>
        <w:t xml:space="preserve"> </w:t>
      </w:r>
      <w:r w:rsidRPr="00146BDA">
        <w:rPr>
          <w:lang w:val="fr-FR"/>
        </w:rPr>
        <w:t xml:space="preserve">les deux agents pénitentiaires suspectés d’avoir commis des sévices corporels sur un détenu, ont fait l’objet de sanctions disciplinaires notamment, une mutation d’office, d’une punition de 10 jours et d’une ponction de salaire d’un montant équivalant à 10 jours. </w:t>
      </w:r>
      <w:r w:rsidRPr="00146BDA">
        <w:rPr>
          <w:color w:val="000000"/>
          <w:lang w:val="fr-FR"/>
        </w:rPr>
        <w:t xml:space="preserve">Une autre allégation de torture concernant un détenu répondant au nom de Mor </w:t>
      </w:r>
      <w:r w:rsidR="008A5262" w:rsidRPr="00146BDA">
        <w:rPr>
          <w:color w:val="000000"/>
          <w:lang w:val="fr-FR"/>
        </w:rPr>
        <w:t xml:space="preserve">Seck </w:t>
      </w:r>
      <w:r w:rsidRPr="00146BDA">
        <w:rPr>
          <w:color w:val="000000"/>
          <w:lang w:val="fr-FR"/>
        </w:rPr>
        <w:t>a été signalée en 2018, une enquête a été ouverte et, à l’issue, une décision de classement sans suite a été prise, les charges étant jugées insuffisantes.</w:t>
      </w:r>
    </w:p>
    <w:p w14:paraId="4C9A0F70" w14:textId="1BA2691A" w:rsidR="00146BDA" w:rsidRPr="00146BDA" w:rsidRDefault="00146BDA" w:rsidP="005926AE">
      <w:pPr>
        <w:pStyle w:val="SingleTxtG"/>
        <w:rPr>
          <w:lang w:val="fr-FR"/>
        </w:rPr>
      </w:pPr>
      <w:bookmarkStart w:id="10" w:name="_Hlk99530950"/>
      <w:bookmarkEnd w:id="9"/>
      <w:r w:rsidRPr="00146BDA">
        <w:rPr>
          <w:lang w:val="fr-FR"/>
        </w:rPr>
        <w:t>41.</w:t>
      </w:r>
      <w:r w:rsidRPr="00146BDA">
        <w:rPr>
          <w:lang w:val="fr-FR"/>
        </w:rPr>
        <w:tab/>
        <w:t>Pour l’heure, l’</w:t>
      </w:r>
      <w:r w:rsidR="009F3C58">
        <w:rPr>
          <w:lang w:val="fr-FR"/>
        </w:rPr>
        <w:t>État</w:t>
      </w:r>
      <w:r w:rsidRPr="00146BDA">
        <w:rPr>
          <w:lang w:val="fr-FR"/>
        </w:rPr>
        <w:t xml:space="preserve"> du Sénégal n’a pas prévu de réformes permettant aux organisations de la société civile d’effectuer des visites inopinées dans les lieux de privation de liberté.</w:t>
      </w:r>
      <w:bookmarkEnd w:id="10"/>
    </w:p>
    <w:p w14:paraId="2F98139D" w14:textId="091CD3D8" w:rsidR="00B54287" w:rsidRDefault="00B54287" w:rsidP="00B54287">
      <w:pPr>
        <w:pStyle w:val="H23G"/>
      </w:pPr>
      <w:bookmarkStart w:id="11" w:name="_Hlk102864889"/>
      <w:r>
        <w:lastRenderedPageBreak/>
        <w:tab/>
      </w:r>
      <w:r>
        <w:tab/>
        <w:t>Réponse au paragraphe 7 de la liste de points</w:t>
      </w:r>
      <w:r w:rsidRPr="00146BDA">
        <w:t xml:space="preserve"> </w:t>
      </w:r>
    </w:p>
    <w:p w14:paraId="6E474A38" w14:textId="77A92908" w:rsidR="00146BDA" w:rsidRPr="00146BDA" w:rsidRDefault="00146BDA" w:rsidP="005926AE">
      <w:pPr>
        <w:pStyle w:val="SingleTxtG"/>
        <w:rPr>
          <w:lang w:val="fr-FR"/>
        </w:rPr>
      </w:pPr>
      <w:r w:rsidRPr="00146BDA">
        <w:t>42.</w:t>
      </w:r>
      <w:r w:rsidRPr="00146BDA">
        <w:tab/>
        <w:t>D’</w:t>
      </w:r>
      <w:r w:rsidRPr="00146BDA">
        <w:rPr>
          <w:lang w:val="fr-FR"/>
        </w:rPr>
        <w:t>importantes mesures ont été prises par l’État pour permettre au Comité Sénégalais des Droits de l ’Homme de se conformer aux principes de Paris, notamment :</w:t>
      </w:r>
    </w:p>
    <w:p w14:paraId="3FF749EB" w14:textId="6E679BF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L’élaboration d’un projet de loi portant réforme du CSDH déposé au SGG et en attente d’adoption</w:t>
      </w:r>
      <w:r w:rsidR="00B54287">
        <w:rPr>
          <w:lang w:val="fr-FR"/>
        </w:rPr>
        <w:t> ;</w:t>
      </w:r>
    </w:p>
    <w:p w14:paraId="0CDB94B7" w14:textId="16E51BC9"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L‘augmentation du budget, initialement de 36 millions de FCFA, à hauteur de 50</w:t>
      </w:r>
      <w:r w:rsidR="008A5262">
        <w:rPr>
          <w:lang w:val="fr-FR"/>
        </w:rPr>
        <w:t> </w:t>
      </w:r>
      <w:r w:rsidR="00146BDA" w:rsidRPr="00146BDA">
        <w:rPr>
          <w:lang w:val="fr-FR"/>
        </w:rPr>
        <w:t>millions FCFA en 2014 et 100 millions en 2021</w:t>
      </w:r>
      <w:r w:rsidR="00B54287">
        <w:rPr>
          <w:lang w:val="fr-FR"/>
        </w:rPr>
        <w:t> ;</w:t>
      </w:r>
    </w:p>
    <w:p w14:paraId="5EE4E9E0" w14:textId="1D711952"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à disposition d’un nouveau siège fonctionnel et adapté</w:t>
      </w:r>
      <w:r w:rsidR="00B54287">
        <w:rPr>
          <w:lang w:val="fr-FR"/>
        </w:rPr>
        <w:t> ;</w:t>
      </w:r>
    </w:p>
    <w:p w14:paraId="0EED1576" w14:textId="17A12E12"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règlement partiel du déficit en ressources humaines et de leur statut par la régularisation du personnel permanent et le renforcement de l’équipe technique et du personnel d’appoint</w:t>
      </w:r>
      <w:r w:rsidR="00B54287">
        <w:rPr>
          <w:lang w:val="fr-FR"/>
        </w:rPr>
        <w:t>.</w:t>
      </w:r>
    </w:p>
    <w:bookmarkEnd w:id="11"/>
    <w:p w14:paraId="385D169A" w14:textId="1E5F3946" w:rsidR="00146BDA" w:rsidRPr="00146BDA" w:rsidRDefault="00B54287" w:rsidP="00B54287">
      <w:pPr>
        <w:pStyle w:val="H23G"/>
        <w:rPr>
          <w:rFonts w:eastAsia="Calibri"/>
          <w:sz w:val="24"/>
          <w:szCs w:val="24"/>
          <w:lang w:val="fr-FR"/>
        </w:rPr>
      </w:pPr>
      <w:r>
        <w:tab/>
      </w:r>
      <w:r>
        <w:tab/>
        <w:t>Réponse au paragraphe 8 de la liste de points</w:t>
      </w:r>
      <w:r w:rsidR="00146BDA" w:rsidRPr="00146BDA">
        <w:rPr>
          <w:rFonts w:eastAsia="Calibri"/>
          <w:sz w:val="24"/>
          <w:szCs w:val="24"/>
          <w:lang w:val="fr-FR"/>
        </w:rPr>
        <w:t xml:space="preserve"> </w:t>
      </w:r>
    </w:p>
    <w:p w14:paraId="6638D767" w14:textId="792B0D3E" w:rsidR="00146BDA" w:rsidRPr="00146BDA" w:rsidRDefault="00146BDA" w:rsidP="005926AE">
      <w:pPr>
        <w:pStyle w:val="SingleTxtG"/>
      </w:pPr>
      <w:r w:rsidRPr="00146BDA">
        <w:t>43.</w:t>
      </w:r>
      <w:r w:rsidRPr="00146BDA">
        <w:tab/>
        <w:t xml:space="preserve">Le projet de loi relatif au statut des </w:t>
      </w:r>
      <w:r w:rsidRPr="00146BDA">
        <w:rPr>
          <w:i/>
        </w:rPr>
        <w:t>daaras</w:t>
      </w:r>
      <w:r w:rsidRPr="00146BDA">
        <w:t xml:space="preserve"> (école</w:t>
      </w:r>
      <w:r w:rsidR="008A5262">
        <w:t>s</w:t>
      </w:r>
      <w:r w:rsidRPr="00146BDA">
        <w:t xml:space="preserve"> coranique</w:t>
      </w:r>
      <w:r w:rsidR="008A5262">
        <w:t>s</w:t>
      </w:r>
      <w:r w:rsidRPr="00146BDA">
        <w:t>) et ses décrets d’application ont été validés par les différents acteurs, maîtres coraniques, représentants des familles religieuses, représentants des départements ministériels, de la société civile et des partenaires, à l’issue de larges concertions menées de septembre 2016 à décembre 2017.</w:t>
      </w:r>
    </w:p>
    <w:p w14:paraId="2DAC72DF" w14:textId="58916FBD" w:rsidR="00146BDA" w:rsidRPr="00146BDA" w:rsidRDefault="00146BDA" w:rsidP="005926AE">
      <w:pPr>
        <w:pStyle w:val="SingleTxtG"/>
      </w:pPr>
      <w:r w:rsidRPr="00146BDA">
        <w:t>44.</w:t>
      </w:r>
      <w:r w:rsidRPr="00146BDA">
        <w:tab/>
        <w:t xml:space="preserve">Le projet de loi est adopté par le gouvernement lors du Conseil des </w:t>
      </w:r>
      <w:r w:rsidR="008A5262">
        <w:t>m</w:t>
      </w:r>
      <w:r w:rsidRPr="00146BDA">
        <w:t>inistres du 6 juin 2019.</w:t>
      </w:r>
    </w:p>
    <w:p w14:paraId="4BBF906E" w14:textId="22271C69" w:rsidR="00146BDA" w:rsidRPr="00146BDA" w:rsidRDefault="00146BDA" w:rsidP="005926AE">
      <w:pPr>
        <w:pStyle w:val="SingleTxtG"/>
      </w:pPr>
      <w:r w:rsidRPr="00146BDA">
        <w:t>45.</w:t>
      </w:r>
      <w:r w:rsidRPr="00146BDA">
        <w:tab/>
        <w:t>La volonté politique</w:t>
      </w:r>
      <w:r>
        <w:t xml:space="preserve"> </w:t>
      </w:r>
      <w:r w:rsidRPr="00146BDA">
        <w:t>de créer un cadre normatif</w:t>
      </w:r>
      <w:r>
        <w:t xml:space="preserve"> </w:t>
      </w:r>
      <w:r w:rsidRPr="00146BDA">
        <w:t>existe et le projet de texte a été examiné par la Cour suprême en assemblée générale consultative, il reste à entamer la phase adoption par l’Assemblée nationale.</w:t>
      </w:r>
    </w:p>
    <w:p w14:paraId="0F14A760" w14:textId="77777777" w:rsidR="00146BDA" w:rsidRPr="00146BDA" w:rsidRDefault="00146BDA" w:rsidP="005926AE">
      <w:pPr>
        <w:pStyle w:val="SingleTxtG"/>
      </w:pPr>
      <w:bookmarkStart w:id="12" w:name="_Hlk99532967"/>
      <w:r w:rsidRPr="00146BDA">
        <w:t>46.</w:t>
      </w:r>
      <w:r w:rsidRPr="00146BDA">
        <w:tab/>
        <w:t>Conformément aux missions dévolues à la Direction de l’Éducation surveillée et de la Protection sociale, pour les besoins de protection des enfants, des visites et des descentes sont organisées de façon inopinée et à chaque fois que des cas de violations sont signalés ou suspectés.</w:t>
      </w:r>
    </w:p>
    <w:p w14:paraId="2665D86E" w14:textId="58B4C1D5" w:rsidR="00146BDA" w:rsidRPr="00146BDA" w:rsidRDefault="00146BDA" w:rsidP="005926AE">
      <w:pPr>
        <w:pStyle w:val="SingleTxtG"/>
      </w:pPr>
      <w:r w:rsidRPr="00146BDA">
        <w:t>47.</w:t>
      </w:r>
      <w:r w:rsidRPr="00146BDA">
        <w:tab/>
        <w:t>Il convient de préciser que, dans le cadre de la justice juvénile (justice pour les mineurs auteurs victimes ou témoins), un</w:t>
      </w:r>
      <w:r>
        <w:t xml:space="preserve"> </w:t>
      </w:r>
      <w:r w:rsidRPr="00146BDA">
        <w:t>dispositif</w:t>
      </w:r>
      <w:r>
        <w:t xml:space="preserve"> </w:t>
      </w:r>
      <w:r w:rsidRPr="00146BDA">
        <w:t>spécifique est prévu. Ce dispositif est ainsi conçu</w:t>
      </w:r>
      <w:r w:rsidR="008A5262">
        <w:t> </w:t>
      </w:r>
      <w:r w:rsidRPr="00146BDA">
        <w:t>:</w:t>
      </w:r>
    </w:p>
    <w:p w14:paraId="2C2CC389" w14:textId="5EC87476"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brigade des mineurs ;</w:t>
      </w:r>
    </w:p>
    <w:p w14:paraId="4C5634DD" w14:textId="43884B95"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tribunal pour enfants (président du tribunal pour enfants, juge d’instruction en charge des affaires des mineurs, substitut du procureur en charge des affaires des mineurs) ;</w:t>
      </w:r>
    </w:p>
    <w:p w14:paraId="2236D0D0" w14:textId="43C04E4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Les services de l’Action Éducative et de la Protection sociale en milieu ouvert ;</w:t>
      </w:r>
    </w:p>
    <w:p w14:paraId="2BF57CD4" w14:textId="0865C842"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Les structures d’accueil et d’hébergement.</w:t>
      </w:r>
      <w:r w:rsidR="00146BDA">
        <w:rPr>
          <w:lang w:val="fr-FR"/>
        </w:rPr>
        <w:t xml:space="preserve"> </w:t>
      </w:r>
    </w:p>
    <w:p w14:paraId="03C28C83" w14:textId="77777777" w:rsidR="00146BDA" w:rsidRPr="00146BDA" w:rsidRDefault="00146BDA" w:rsidP="005926AE">
      <w:pPr>
        <w:pStyle w:val="SingleTxtG"/>
        <w:rPr>
          <w:bCs/>
          <w:iCs/>
          <w:lang w:val="fr-FR"/>
        </w:rPr>
      </w:pPr>
      <w:r w:rsidRPr="00146BDA">
        <w:t>48.</w:t>
      </w:r>
      <w:r w:rsidRPr="00146BDA">
        <w:tab/>
        <w:t>Il y’a lieu de rappeler qu’il existe un arsenal juridique pour lutter efficacement contre l’exploitation des enfants à des fins économiques ou sexuelles selon le cas, pourvu que les faits soient portés à la connaissance des forces de défense et de sécurité et des autorités judiciaires.</w:t>
      </w:r>
    </w:p>
    <w:p w14:paraId="5995399B" w14:textId="77777777" w:rsidR="00146BDA" w:rsidRPr="00146BDA" w:rsidRDefault="00146BDA" w:rsidP="005926AE">
      <w:pPr>
        <w:pStyle w:val="SingleTxtG"/>
        <w:rPr>
          <w:lang w:val="fr-FR"/>
        </w:rPr>
      </w:pPr>
      <w:r w:rsidRPr="00146BDA">
        <w:rPr>
          <w:lang w:val="fr-FR"/>
        </w:rPr>
        <w:t>49.</w:t>
      </w:r>
      <w:r w:rsidRPr="00146BDA">
        <w:rPr>
          <w:lang w:val="fr-FR"/>
        </w:rPr>
        <w:tab/>
        <w:t xml:space="preserve">Par </w:t>
      </w:r>
      <w:r w:rsidRPr="00146BDA">
        <w:t>ailleurs</w:t>
      </w:r>
      <w:r w:rsidRPr="00146BDA">
        <w:rPr>
          <w:lang w:val="fr-FR"/>
        </w:rPr>
        <w:t>, les initiatives prises pour lutter contre la violence en milieu scolaire sont les suivantes :</w:t>
      </w:r>
    </w:p>
    <w:p w14:paraId="4CCFDC1B" w14:textId="00639C09"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Le Guide pédagogique de niveau élémentaire de 1’éducation à la science et à la vie sociale a intégré les droits de l’enfant et la protection contre les violences et le thème des grossesses précoces et non désirées est abordé dans les manuels de niveau moyen et supérieur</w:t>
      </w:r>
      <w:r w:rsidR="005926AE">
        <w:t> ;</w:t>
      </w:r>
    </w:p>
    <w:p w14:paraId="5D3BC7C1" w14:textId="59828CE2"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Projet de refonte des curricula des enseignements du primaire et du secondaire est en cours et pourrait améliorer et approfondir le traitement de ces thèmes ;</w:t>
      </w:r>
    </w:p>
    <w:p w14:paraId="596B300C" w14:textId="1E6D131A"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Élaboration du Guide de bonnes pratiques de prévention et de prise en charge des violences en milieu scolaire, en voie d’adoption ;</w:t>
      </w:r>
    </w:p>
    <w:p w14:paraId="001F1CA5" w14:textId="41BA2D6A" w:rsidR="00146BDA" w:rsidRPr="00146BDA" w:rsidRDefault="006D217C" w:rsidP="006D217C">
      <w:pPr>
        <w:pStyle w:val="Bullet1G"/>
        <w:numPr>
          <w:ilvl w:val="0"/>
          <w:numId w:val="0"/>
        </w:numPr>
        <w:tabs>
          <w:tab w:val="left" w:pos="1701"/>
        </w:tabs>
        <w:ind w:left="1701" w:hanging="170"/>
      </w:pPr>
      <w:r w:rsidRPr="00146BDA">
        <w:lastRenderedPageBreak/>
        <w:t>•</w:t>
      </w:r>
      <w:r w:rsidRPr="00146BDA">
        <w:tab/>
      </w:r>
      <w:r w:rsidR="00146BDA" w:rsidRPr="00146BDA">
        <w:t>Programme de formation des enseignants sur la santé de la reproduction des adolescents et les violences basées sur le genre faites en milieu scolaire ;</w:t>
      </w:r>
    </w:p>
    <w:p w14:paraId="449AA914" w14:textId="79014B7F"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Programme de formation des Comités de veille et d’alerte (CAVE) sur les thèmes de la campagne « Apprendre sans peur » ;</w:t>
      </w:r>
    </w:p>
    <w:p w14:paraId="7C553483" w14:textId="13C49E80"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Programme d’orientation du personnel administratif et enseignant sur les violences en milieu scolaire et sur la santé de la reproduction des adolescents ;</w:t>
      </w:r>
    </w:p>
    <w:p w14:paraId="6BCC826B" w14:textId="69DB0E68"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Programme de formation du médiateur scolaire : il est à noter que dans ce programme il est clairement dit que toute victime de violence doit s’adresser, en toute sécurité, aux membres du dispositif de veille de l’établissement, aux membres du Centre Conseils Adolescents (CCA), au personnel des Points de prestation de services (centres de santé), au Forum des éducatrices africaines du Sénégal (FAWE), à 1’Observatoire des droits des femmes contre les violences, à la Police ou à la Gendarmerie, aux services de l’Action Éducative en Milieu Ouvert (AEMO) ;</w:t>
      </w:r>
    </w:p>
    <w:p w14:paraId="1FB43464" w14:textId="386A8773"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Projet d’appui à la lutte contre les violences basées sur le genre en milieu scolaire (VGMS), appuyé par l’UNESCO, l’UNICEF et Plan international, sur financement de la coopération française, visant à renforcer les contenus des curricula et la formation des enseignants pour y inclure les VGMS, et à renforcer les cadres stratégiques et réglementaires pour lutter contre les VGMS. Le projet a débuté avec une étude diagnostique «</w:t>
      </w:r>
      <w:r w:rsidR="008A5262">
        <w:t> </w:t>
      </w:r>
      <w:r w:rsidR="00146BDA" w:rsidRPr="00146BDA">
        <w:t>Analyse de la réponse aux violences de genre en milieu scolaire au Sénégal</w:t>
      </w:r>
      <w:r w:rsidR="008A5262">
        <w:t> </w:t>
      </w:r>
      <w:r w:rsidR="00146BDA" w:rsidRPr="00146BDA">
        <w:t>» (août 2017) ; projet de code de déontologie de l’enseignant au Sénégal, en attente d’adoption depuis 2014 ;</w:t>
      </w:r>
    </w:p>
    <w:p w14:paraId="5F4A9AFF" w14:textId="3BAEB535" w:rsidR="00146BDA" w:rsidRPr="00146BDA" w:rsidRDefault="006D217C" w:rsidP="006D217C">
      <w:pPr>
        <w:pStyle w:val="Bullet1G"/>
        <w:numPr>
          <w:ilvl w:val="0"/>
          <w:numId w:val="0"/>
        </w:numPr>
        <w:tabs>
          <w:tab w:val="left" w:pos="1701"/>
        </w:tabs>
        <w:ind w:left="1701" w:hanging="170"/>
      </w:pPr>
      <w:r w:rsidRPr="00146BDA">
        <w:t>•</w:t>
      </w:r>
      <w:r w:rsidRPr="00146BDA">
        <w:tab/>
      </w:r>
      <w:r w:rsidR="00146BDA" w:rsidRPr="00146BDA">
        <w:t>Règlements intérieurs des écoles.</w:t>
      </w:r>
    </w:p>
    <w:p w14:paraId="4C290B18" w14:textId="77777777" w:rsidR="00146BDA" w:rsidRPr="006D217C" w:rsidRDefault="00146BDA" w:rsidP="005926AE">
      <w:pPr>
        <w:pStyle w:val="SingleTxtG"/>
        <w:rPr>
          <w:color w:val="000000" w:themeColor="text1"/>
        </w:rPr>
      </w:pPr>
      <w:r w:rsidRPr="00146BDA">
        <w:t>50.</w:t>
      </w:r>
      <w:r w:rsidRPr="00146BDA">
        <w:tab/>
        <w:t xml:space="preserve">Plus récemment, un projet sur cinq ans de « Renforcement de 1’appui à la protection des enfants dans l’éducation au Sénégal » est en préparation, avec l’appui de la coopération canadienne. Deux éléments paraissent prometteurs dans l’approche mise en place: la constitution d’un cadre interne au Ministère de 1’Education Nationale (MEN) regroupant plusieurs directions impliquées dans la conception et la mise en œuvre du projet (direction du préscolaire, élémentaire, moyens et secondaire, inspection des </w:t>
      </w:r>
      <w:r w:rsidRPr="00146BDA">
        <w:rPr>
          <w:i/>
        </w:rPr>
        <w:t>daaras</w:t>
      </w:r>
      <w:r w:rsidRPr="00146BDA">
        <w:t>, sous la coordination de la Direction de la Planification et la Réforme de l’Éducation (DPRE) et une approche multi acteur – MEN, UNICEF et PLAN – regroupés dans un seul modèle logique d’intervention. Les deux agences de coopération avaient dans le passé appuyé des programmes indépendants (l’UNICEF le Paquet de services intégré et PLAN un programme d’appui à la protection des enfants en milieu scolaire, développé au niveau déconcentré avec les Inspections de l’Éducation et de la Formation (IEF).</w:t>
      </w:r>
      <w:bookmarkEnd w:id="12"/>
    </w:p>
    <w:p w14:paraId="5D9B651E" w14:textId="084D149E" w:rsidR="00146BDA" w:rsidRPr="00146BDA" w:rsidRDefault="00146BDA" w:rsidP="005926AE">
      <w:pPr>
        <w:pStyle w:val="SingleTxtG"/>
      </w:pPr>
      <w:r w:rsidRPr="00146BDA">
        <w:t>51.</w:t>
      </w:r>
      <w:r>
        <w:t xml:space="preserve"> </w:t>
      </w:r>
      <w:r w:rsidR="00B54287">
        <w:tab/>
      </w:r>
      <w:r w:rsidRPr="00146BDA">
        <w:t xml:space="preserve">Des ateliers de formation sont organisés par le </w:t>
      </w:r>
      <w:r w:rsidR="00C9311F" w:rsidRPr="00146BDA">
        <w:t xml:space="preserve">Ministère </w:t>
      </w:r>
      <w:r w:rsidRPr="00146BDA">
        <w:t>de la justice sur toute l’entendue du territoire entre ces différents acteurs de la chaine judiciaire pour une meilleure synergie de leurs actions en vue de lutter plus efficacement contre l’exploitation et la maltraitance des enfants.</w:t>
      </w:r>
      <w:r>
        <w:t xml:space="preserve"> </w:t>
      </w:r>
    </w:p>
    <w:p w14:paraId="2D832217" w14:textId="54DAECCB" w:rsidR="00146BDA" w:rsidRPr="00146BDA" w:rsidRDefault="00146BDA" w:rsidP="005926AE">
      <w:pPr>
        <w:pStyle w:val="SingleTxtG"/>
      </w:pPr>
      <w:r w:rsidRPr="00146BDA">
        <w:t>52.</w:t>
      </w:r>
      <w:r>
        <w:t xml:space="preserve"> </w:t>
      </w:r>
      <w:r w:rsidR="00B54287">
        <w:tab/>
      </w:r>
      <w:r w:rsidRPr="00146BDA">
        <w:t xml:space="preserve">En outre, le Ministère de la justice à travers la DESPS s’est doté d’outils d’interventions harmonisés (OIH) qui sont notamment des modèles de rapports d’enquête et de fiches sur l’enfant qui une fois renseignés sont destinés aux magistrats pour les aider à prendre une décision de justice. Ces mêmes OIH ont été évalués entre 2019 et 2020 avec l’association à la révision de tous les acteurs judiciaires et sociaux. </w:t>
      </w:r>
    </w:p>
    <w:p w14:paraId="1ABF9F4E" w14:textId="6DBAFBE3" w:rsidR="00146BDA" w:rsidRPr="00146BDA" w:rsidRDefault="00146BDA" w:rsidP="005926AE">
      <w:pPr>
        <w:pStyle w:val="SingleTxtG"/>
      </w:pPr>
      <w:r w:rsidRPr="00146BDA">
        <w:t>53.</w:t>
      </w:r>
      <w:r>
        <w:t xml:space="preserve"> </w:t>
      </w:r>
      <w:r w:rsidR="00B54287">
        <w:tab/>
      </w:r>
      <w:r w:rsidRPr="00146BDA">
        <w:t xml:space="preserve">La DESPS a depuis 2019 tenu des ateliers de formation, d’échange et de coordination entre les acteurs de la scène pénale à savoir les magistrats en charge des affaires des mineurs, les OPJ, les éducateurs spécialisés et les OCB. </w:t>
      </w:r>
    </w:p>
    <w:p w14:paraId="444F29BC" w14:textId="395E32FE" w:rsidR="00146BDA" w:rsidRPr="006D217C" w:rsidRDefault="00146BDA" w:rsidP="005926AE">
      <w:pPr>
        <w:pStyle w:val="SingleTxtG"/>
        <w:rPr>
          <w:color w:val="000000" w:themeColor="text1"/>
        </w:rPr>
      </w:pPr>
      <w:r w:rsidRPr="00146BDA">
        <w:t>54.</w:t>
      </w:r>
      <w:r>
        <w:t xml:space="preserve"> </w:t>
      </w:r>
      <w:r w:rsidR="00B54287">
        <w:tab/>
      </w:r>
      <w:r w:rsidRPr="00146BDA">
        <w:t>Il faut noter aussi la mise en place de mécanismes regroupant les acteurs locaux de protection et de prise en charge de l’enfant à travers les comités départementaux de protection de l’enfant (CDPE), les comités de quartier ou villageois de protection de l’enfant (CQPE/CVPE) qui sont des cadres de coordination, d’échange, de planification et de mise en œuvre des actions en faveur de la protection de l’enfant.</w:t>
      </w:r>
    </w:p>
    <w:p w14:paraId="2C00E631" w14:textId="48F7B4C4" w:rsidR="00146BDA" w:rsidRPr="00146BDA" w:rsidRDefault="00146BDA" w:rsidP="005926AE">
      <w:pPr>
        <w:pStyle w:val="SingleTxtG"/>
      </w:pPr>
      <w:bookmarkStart w:id="13" w:name="_Hlk99533188"/>
      <w:r w:rsidRPr="00146BDA">
        <w:t>55.</w:t>
      </w:r>
      <w:r w:rsidRPr="00146BDA">
        <w:tab/>
        <w:t xml:space="preserve">Avec l’appui de l’UNICEF et du Projet de </w:t>
      </w:r>
      <w:r w:rsidR="008A5262">
        <w:t>R</w:t>
      </w:r>
      <w:r w:rsidR="008A5262" w:rsidRPr="00146BDA">
        <w:t xml:space="preserve">enforcement </w:t>
      </w:r>
      <w:r w:rsidRPr="00146BDA">
        <w:t xml:space="preserve">de </w:t>
      </w:r>
      <w:r w:rsidR="008A5262">
        <w:t>l</w:t>
      </w:r>
      <w:r w:rsidR="008A5262" w:rsidRPr="00146BDA">
        <w:t>’</w:t>
      </w:r>
      <w:r w:rsidR="008A5262">
        <w:t>A</w:t>
      </w:r>
      <w:r w:rsidR="008A5262" w:rsidRPr="00146BDA">
        <w:t xml:space="preserve">ppui </w:t>
      </w:r>
      <w:r w:rsidRPr="00146BDA">
        <w:t xml:space="preserve">à la </w:t>
      </w:r>
      <w:r w:rsidR="008A5262">
        <w:t>P</w:t>
      </w:r>
      <w:r w:rsidR="008A5262" w:rsidRPr="00146BDA">
        <w:t xml:space="preserve">rotection </w:t>
      </w:r>
      <w:r w:rsidRPr="00146BDA">
        <w:t>(RAP) financé par Action Mondiale</w:t>
      </w:r>
      <w:r>
        <w:t xml:space="preserve"> </w:t>
      </w:r>
      <w:r w:rsidRPr="00146BDA">
        <w:t>Canada, le Ministère de l’</w:t>
      </w:r>
      <w:r w:rsidR="008A5262">
        <w:t>é</w:t>
      </w:r>
      <w:r w:rsidRPr="00146BDA">
        <w:t xml:space="preserve">ducation </w:t>
      </w:r>
      <w:r w:rsidR="008A5262">
        <w:t>n</w:t>
      </w:r>
      <w:r w:rsidRPr="00146BDA">
        <w:t>ationale a mené une action de détection des cas de violences en milieu scolaire.</w:t>
      </w:r>
      <w:r>
        <w:t xml:space="preserve"> </w:t>
      </w:r>
    </w:p>
    <w:p w14:paraId="398BB7EC" w14:textId="69B28FFC" w:rsidR="00146BDA" w:rsidRPr="00146BDA" w:rsidRDefault="00146BDA" w:rsidP="005926AE">
      <w:pPr>
        <w:pStyle w:val="SingleTxtG"/>
      </w:pPr>
      <w:r w:rsidRPr="00146BDA">
        <w:lastRenderedPageBreak/>
        <w:t>56.</w:t>
      </w:r>
      <w:r w:rsidRPr="00146BDA">
        <w:tab/>
        <w:t>Il s’est agi d’un premier pas franchi, à l’avenir il faudra très certainement mener de profondes réflexions pour assurer la protection des droits des enfants en milieu scolaire, en revanche à chaque fois que des cas avérés de violations ont été décelés la justice a été saisie et la victime a bénéficié de l’accompagnement des services sociaux.</w:t>
      </w:r>
      <w:r>
        <w:t xml:space="preserve"> </w:t>
      </w:r>
    </w:p>
    <w:bookmarkEnd w:id="13"/>
    <w:p w14:paraId="401BB592" w14:textId="77777777" w:rsidR="00146BDA" w:rsidRPr="00146BDA" w:rsidRDefault="00146BDA" w:rsidP="005926AE">
      <w:pPr>
        <w:pStyle w:val="SingleTxtG"/>
      </w:pPr>
      <w:r w:rsidRPr="00146BDA">
        <w:t>57.</w:t>
      </w:r>
      <w:r w:rsidRPr="00146BDA">
        <w:tab/>
        <w:t>Dans le cadre de la prévention les services de l’action éducative et de la protection sociale animent des séances de sensibilisation en milieu scolaire sur des problématiques telles que :</w:t>
      </w:r>
    </w:p>
    <w:p w14:paraId="02117DE8" w14:textId="319852D6"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mariage précoce ;</w:t>
      </w:r>
    </w:p>
    <w:p w14:paraId="7417D4EA" w14:textId="4917D021"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Les mutilations génitales féminines ;</w:t>
      </w:r>
    </w:p>
    <w:p w14:paraId="51501895" w14:textId="79583C8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Les violences sexuelles ;</w:t>
      </w:r>
    </w:p>
    <w:p w14:paraId="08CBFB8D" w14:textId="3F96055B"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drogue et ses conséquences entre autres.</w:t>
      </w:r>
    </w:p>
    <w:p w14:paraId="147E0786" w14:textId="418603C2" w:rsidR="00146BDA" w:rsidRPr="00146BDA" w:rsidRDefault="00146BDA" w:rsidP="005926AE">
      <w:pPr>
        <w:pStyle w:val="SingleTxtG"/>
        <w:rPr>
          <w:lang w:val="fr-FR"/>
        </w:rPr>
      </w:pPr>
      <w:r w:rsidRPr="00146BDA">
        <w:rPr>
          <w:lang w:val="fr-FR"/>
        </w:rPr>
        <w:t>58.</w:t>
      </w:r>
      <w:r>
        <w:rPr>
          <w:lang w:val="fr-FR"/>
        </w:rPr>
        <w:t xml:space="preserve"> </w:t>
      </w:r>
      <w:r w:rsidR="00B54287">
        <w:rPr>
          <w:lang w:val="fr-FR"/>
        </w:rPr>
        <w:tab/>
      </w:r>
      <w:r w:rsidRPr="00146BDA">
        <w:rPr>
          <w:lang w:val="fr-FR"/>
        </w:rPr>
        <w:t xml:space="preserve">S’agissant de l’article 285 </w:t>
      </w:r>
      <w:r w:rsidR="008A5262">
        <w:rPr>
          <w:lang w:val="fr-FR"/>
        </w:rPr>
        <w:t xml:space="preserve">du </w:t>
      </w:r>
      <w:r w:rsidR="008A5262" w:rsidRPr="00146BDA">
        <w:rPr>
          <w:lang w:val="fr-FR"/>
        </w:rPr>
        <w:t xml:space="preserve">Code </w:t>
      </w:r>
      <w:r w:rsidRPr="00146BDA">
        <w:rPr>
          <w:lang w:val="fr-FR"/>
        </w:rPr>
        <w:t>de la famille, il n’y a pas pour le moment une mesure allant dans le sens de son abrogation. Toutefois, fidèle à son engagement d’assurer la protection, la survie et le développement de l’enfant, l’État du Sénégal a élaboré des programmes cohérents dans la protection de l’enfance</w:t>
      </w:r>
      <w:r w:rsidRPr="00146BDA">
        <w:rPr>
          <w:b/>
          <w:i/>
          <w:lang w:val="fr-FR"/>
        </w:rPr>
        <w:t xml:space="preserve">. </w:t>
      </w:r>
      <w:r w:rsidRPr="00146BDA">
        <w:rPr>
          <w:lang w:val="fr-FR"/>
        </w:rPr>
        <w:t>C’est le cas par exemple de l’article</w:t>
      </w:r>
      <w:r w:rsidR="009A11FB">
        <w:rPr>
          <w:lang w:val="fr-FR"/>
        </w:rPr>
        <w:t> </w:t>
      </w:r>
      <w:r w:rsidRPr="00146BDA">
        <w:rPr>
          <w:lang w:val="fr-FR"/>
        </w:rPr>
        <w:t xml:space="preserve">14 du </w:t>
      </w:r>
      <w:r w:rsidR="008A5262">
        <w:rPr>
          <w:lang w:val="fr-FR"/>
        </w:rPr>
        <w:t>d</w:t>
      </w:r>
      <w:r w:rsidRPr="00146BDA">
        <w:rPr>
          <w:lang w:val="fr-FR"/>
        </w:rPr>
        <w:t xml:space="preserve">écret </w:t>
      </w:r>
      <w:r w:rsidR="008A5262" w:rsidRPr="00146BDA">
        <w:rPr>
          <w:lang w:val="fr-FR"/>
        </w:rPr>
        <w:t>n</w:t>
      </w:r>
      <w:r w:rsidR="008A5262" w:rsidRPr="005A743A">
        <w:rPr>
          <w:vertAlign w:val="superscript"/>
          <w:lang w:val="fr-FR"/>
        </w:rPr>
        <w:t>o</w:t>
      </w:r>
      <w:r w:rsidR="008A5262">
        <w:rPr>
          <w:lang w:val="fr-FR"/>
        </w:rPr>
        <w:t> </w:t>
      </w:r>
      <w:r w:rsidRPr="00146BDA">
        <w:rPr>
          <w:lang w:val="fr-FR"/>
        </w:rPr>
        <w:t>79-1165 du 20 décembre 1979 qui interdit formellement les châtiments corporels.</w:t>
      </w:r>
    </w:p>
    <w:p w14:paraId="41F3551B" w14:textId="5C4C83AC" w:rsidR="00146BDA" w:rsidRPr="006D217C" w:rsidRDefault="00146BDA" w:rsidP="005926AE">
      <w:pPr>
        <w:pStyle w:val="SingleTxtG"/>
        <w:rPr>
          <w:color w:val="000000" w:themeColor="text1"/>
          <w:lang w:val="fr-SN" w:eastAsia="es-ES"/>
        </w:rPr>
      </w:pPr>
      <w:r w:rsidRPr="00146BDA">
        <w:rPr>
          <w:lang w:val="fr-SN" w:eastAsia="es-ES"/>
        </w:rPr>
        <w:t>59.</w:t>
      </w:r>
      <w:r>
        <w:rPr>
          <w:lang w:val="fr-SN" w:eastAsia="es-ES"/>
        </w:rPr>
        <w:t xml:space="preserve"> </w:t>
      </w:r>
      <w:r w:rsidR="00B54287">
        <w:rPr>
          <w:lang w:val="fr-SN" w:eastAsia="es-ES"/>
        </w:rPr>
        <w:tab/>
      </w:r>
      <w:r w:rsidRPr="00146BDA">
        <w:rPr>
          <w:lang w:val="fr-SN" w:eastAsia="es-ES"/>
        </w:rPr>
        <w:t>S’agissant des</w:t>
      </w:r>
      <w:r w:rsidR="008A5262">
        <w:rPr>
          <w:lang w:val="fr-SN" w:eastAsia="es-ES"/>
        </w:rPr>
        <w:t xml:space="preserve"> </w:t>
      </w:r>
      <w:r w:rsidRPr="00146BDA">
        <w:rPr>
          <w:lang w:val="fr-SN" w:eastAsia="es-ES"/>
        </w:rPr>
        <w:t>données</w:t>
      </w:r>
      <w:r w:rsidR="008A5262">
        <w:rPr>
          <w:lang w:val="fr-SN" w:eastAsia="es-ES"/>
        </w:rPr>
        <w:t xml:space="preserve"> </w:t>
      </w:r>
      <w:r w:rsidRPr="00146BDA">
        <w:rPr>
          <w:lang w:val="fr-SN" w:eastAsia="es-ES"/>
        </w:rPr>
        <w:t>statistiques de</w:t>
      </w:r>
      <w:r w:rsidR="008A5262">
        <w:rPr>
          <w:lang w:val="fr-SN" w:eastAsia="es-ES"/>
        </w:rPr>
        <w:t xml:space="preserve"> </w:t>
      </w:r>
      <w:r w:rsidRPr="00146BDA">
        <w:rPr>
          <w:lang w:val="fr-SN" w:eastAsia="es-ES"/>
        </w:rPr>
        <w:t>2018</w:t>
      </w:r>
      <w:r w:rsidR="008A5262">
        <w:rPr>
          <w:lang w:val="fr-SN" w:eastAsia="es-ES"/>
        </w:rPr>
        <w:t xml:space="preserve"> </w:t>
      </w:r>
      <w:r w:rsidRPr="00146BDA">
        <w:rPr>
          <w:lang w:val="fr-SN" w:eastAsia="es-ES"/>
        </w:rPr>
        <w:t>à</w:t>
      </w:r>
      <w:r w:rsidR="008A5262">
        <w:rPr>
          <w:lang w:val="fr-SN" w:eastAsia="es-ES"/>
        </w:rPr>
        <w:t xml:space="preserve"> </w:t>
      </w:r>
      <w:r w:rsidRPr="00146BDA">
        <w:rPr>
          <w:lang w:val="fr-SN" w:eastAsia="es-ES"/>
        </w:rPr>
        <w:t>2021, il a été recensé en milieu scolaire des cas ou des enfants, âgés de douze (12) à dix-huit (18) ans, ont été victimes de violence. Ces cas, tous suivis par les services de la DESPS, sont répartis sur toutes les régions notamment à Dakar, Saint-Louis, Matam, Ziguinchor et Kolda. </w:t>
      </w:r>
    </w:p>
    <w:p w14:paraId="2F14B3D8" w14:textId="637C24FC" w:rsidR="00146BDA" w:rsidRPr="00146BDA" w:rsidRDefault="00146BDA" w:rsidP="005926AE">
      <w:pPr>
        <w:pStyle w:val="SingleTxtG"/>
        <w:rPr>
          <w:lang w:val="fr-SN" w:eastAsia="es-ES"/>
        </w:rPr>
      </w:pPr>
      <w:r w:rsidRPr="00146BDA">
        <w:rPr>
          <w:lang w:val="fr-SN" w:eastAsia="es-ES"/>
        </w:rPr>
        <w:t>60.</w:t>
      </w:r>
      <w:r>
        <w:rPr>
          <w:lang w:val="fr-SN" w:eastAsia="es-ES"/>
        </w:rPr>
        <w:t xml:space="preserve"> </w:t>
      </w:r>
      <w:r w:rsidR="00B54287">
        <w:rPr>
          <w:lang w:val="fr-SN" w:eastAsia="es-ES"/>
        </w:rPr>
        <w:tab/>
      </w:r>
      <w:r w:rsidRPr="00146BDA">
        <w:rPr>
          <w:lang w:val="fr-SN" w:eastAsia="es-ES"/>
        </w:rPr>
        <w:t xml:space="preserve">Les services de l’AEMO et les centres de la DESPS ont respectivement accompagné et accueilli des enfants victimes d’abus. </w:t>
      </w:r>
    </w:p>
    <w:p w14:paraId="48442070" w14:textId="478BE2C9" w:rsidR="00146BDA" w:rsidRPr="00146BDA" w:rsidRDefault="00B54287" w:rsidP="00B54287">
      <w:pPr>
        <w:pStyle w:val="H23G"/>
        <w:rPr>
          <w:rFonts w:eastAsia="Calibri"/>
          <w:sz w:val="24"/>
          <w:szCs w:val="24"/>
        </w:rPr>
      </w:pPr>
      <w:r>
        <w:tab/>
      </w:r>
      <w:r>
        <w:tab/>
        <w:t>Réponse au paragraphe 8 a) de la liste de points</w:t>
      </w:r>
    </w:p>
    <w:p w14:paraId="789D40A6" w14:textId="6B18A503" w:rsidR="00146BDA" w:rsidRPr="00146BDA" w:rsidRDefault="00146BDA" w:rsidP="005926AE">
      <w:pPr>
        <w:pStyle w:val="SingleTxtG"/>
      </w:pPr>
      <w:r w:rsidRPr="00146BDA">
        <w:t>61.</w:t>
      </w:r>
      <w:r w:rsidRPr="00146BDA">
        <w:tab/>
        <w:t xml:space="preserve">La première affaire a donné lieu à l’arrestation du responsable du </w:t>
      </w:r>
      <w:r w:rsidR="00C9311F" w:rsidRPr="006D217C">
        <w:rPr>
          <w:i/>
          <w:iCs/>
        </w:rPr>
        <w:t>d</w:t>
      </w:r>
      <w:r w:rsidRPr="006D217C">
        <w:rPr>
          <w:i/>
          <w:iCs/>
        </w:rPr>
        <w:t>aara</w:t>
      </w:r>
      <w:r w:rsidRPr="00146BDA">
        <w:t xml:space="preserve"> concerné et ce dernier a été reconnu coupable puis condamné par le Tribunal de </w:t>
      </w:r>
      <w:r w:rsidR="008A5262">
        <w:t>g</w:t>
      </w:r>
      <w:r w:rsidRPr="00146BDA">
        <w:t xml:space="preserve">rande </w:t>
      </w:r>
      <w:r w:rsidR="008A5262">
        <w:t>i</w:t>
      </w:r>
      <w:r w:rsidRPr="00146BDA">
        <w:t xml:space="preserve">nstance de Louga à une peine d’emprisonnement assortie du sursis de trois (3) mois. </w:t>
      </w:r>
    </w:p>
    <w:p w14:paraId="43C629F3" w14:textId="6D115F07" w:rsidR="00146BDA" w:rsidRPr="00146BDA" w:rsidRDefault="00B54287" w:rsidP="00B54287">
      <w:pPr>
        <w:pStyle w:val="H23G"/>
        <w:rPr>
          <w:rFonts w:eastAsia="Calibri"/>
          <w:sz w:val="24"/>
          <w:szCs w:val="24"/>
        </w:rPr>
      </w:pPr>
      <w:r>
        <w:tab/>
      </w:r>
      <w:r>
        <w:tab/>
        <w:t>Réponse au paragraphe 8 b) de la liste de points</w:t>
      </w:r>
    </w:p>
    <w:p w14:paraId="24441CAE" w14:textId="4C814F7C" w:rsidR="00146BDA" w:rsidRPr="00146BDA" w:rsidRDefault="00146BDA" w:rsidP="005926AE">
      <w:pPr>
        <w:pStyle w:val="SingleTxtG"/>
      </w:pPr>
      <w:r w:rsidRPr="00146BDA">
        <w:t>62.</w:t>
      </w:r>
      <w:r w:rsidRPr="00146BDA">
        <w:tab/>
        <w:t xml:space="preserve">S’agissant des 5 garçons, le principal suspect Khadim </w:t>
      </w:r>
      <w:r w:rsidR="008A5262" w:rsidRPr="00146BDA">
        <w:t xml:space="preserve">Gueye </w:t>
      </w:r>
      <w:r w:rsidRPr="00146BDA">
        <w:t xml:space="preserve">a été interpellé par la gendarmerie, déféré devant le Procureur de Louga jugé et condamné par le Tribunal en même temps que trois de ses coprévenus notamment le menuisier métallique et deux parents des enfants enchainés, à deux ans d’emprisonnement assortis du sursis. </w:t>
      </w:r>
    </w:p>
    <w:p w14:paraId="640D0B09" w14:textId="5B4B4A23" w:rsidR="00146BDA" w:rsidRPr="00146BDA" w:rsidRDefault="00B54287" w:rsidP="00B54287">
      <w:pPr>
        <w:pStyle w:val="H23G"/>
        <w:rPr>
          <w:rFonts w:eastAsia="Calibri"/>
          <w:color w:val="000000"/>
          <w:sz w:val="24"/>
          <w:szCs w:val="24"/>
        </w:rPr>
      </w:pPr>
      <w:r>
        <w:tab/>
      </w:r>
      <w:r>
        <w:tab/>
        <w:t>Réponse au paragraphe 9 de la liste de points</w:t>
      </w:r>
    </w:p>
    <w:p w14:paraId="6D5CC81A" w14:textId="4EE73DA2" w:rsidR="00794E0E" w:rsidRDefault="00146BDA" w:rsidP="005926AE">
      <w:pPr>
        <w:pStyle w:val="SingleTxtG"/>
        <w:rPr>
          <w:lang w:val="fr-FR"/>
        </w:rPr>
      </w:pPr>
      <w:r w:rsidRPr="00146BDA">
        <w:rPr>
          <w:lang w:val="fr-FR"/>
        </w:rPr>
        <w:t>63.</w:t>
      </w:r>
      <w:r w:rsidRPr="00146BDA">
        <w:rPr>
          <w:lang w:val="fr-FR"/>
        </w:rPr>
        <w:tab/>
        <w:t>Tous les actes de violences basées sur le genre, qu’ils soient commis par des agents de l’</w:t>
      </w:r>
      <w:r w:rsidR="009F3C58">
        <w:rPr>
          <w:lang w:val="fr-FR"/>
        </w:rPr>
        <w:t>État</w:t>
      </w:r>
      <w:r w:rsidRPr="00146BDA">
        <w:rPr>
          <w:lang w:val="fr-FR"/>
        </w:rPr>
        <w:t xml:space="preserve"> ou d’autres personnes agissant au nom de l’</w:t>
      </w:r>
      <w:r w:rsidR="009F3C58">
        <w:rPr>
          <w:lang w:val="fr-FR"/>
        </w:rPr>
        <w:t>État</w:t>
      </w:r>
      <w:r w:rsidRPr="00146BDA">
        <w:rPr>
          <w:lang w:val="fr-FR"/>
        </w:rPr>
        <w:t>, ou sur leurs instructions sont réprimés sans discrimination par la loi. En effet, la loi est impersonnelle et impartiale.</w:t>
      </w:r>
    </w:p>
    <w:p w14:paraId="07F0293F" w14:textId="1BA6DA14" w:rsidR="00794E0E" w:rsidRDefault="00146BDA" w:rsidP="005926AE">
      <w:pPr>
        <w:pStyle w:val="SingleTxtG"/>
        <w:rPr>
          <w:lang w:val="fr-FR"/>
        </w:rPr>
      </w:pPr>
      <w:r w:rsidRPr="00146BDA">
        <w:rPr>
          <w:lang w:val="fr-FR"/>
        </w:rPr>
        <w:t>64.</w:t>
      </w:r>
      <w:r w:rsidRPr="00146BDA">
        <w:rPr>
          <w:lang w:val="fr-FR"/>
        </w:rPr>
        <w:tab/>
        <w:t>L</w:t>
      </w:r>
      <w:r w:rsidRPr="00146BDA">
        <w:t xml:space="preserve">es violences fondées sur le genre sont l’objet d’une incrimination particulièrement stricte. En effet la qualité de femme de la victime constitue dans la majorité des cas une circonstance aggravante de l’infraction et il est interdit au juge de prononcer à l’encontre de l’auteur de coups ou d’autres actes de violence sur une personne du sexe féminin, le sursis à l’exécution de la peine. Avec l’adoption de la loi </w:t>
      </w:r>
      <w:r w:rsidR="008A5262" w:rsidRPr="00146BDA">
        <w:rPr>
          <w:lang w:val="fr-FR"/>
        </w:rPr>
        <w:t>n</w:t>
      </w:r>
      <w:r w:rsidR="00CB11C3" w:rsidRPr="00CB11C3">
        <w:rPr>
          <w:vertAlign w:val="superscript"/>
          <w:lang w:val="fr-FR"/>
        </w:rPr>
        <w:t>o</w:t>
      </w:r>
      <w:r w:rsidR="00CB11C3">
        <w:rPr>
          <w:lang w:val="fr-FR"/>
        </w:rPr>
        <w:t> </w:t>
      </w:r>
      <w:r w:rsidRPr="00146BDA">
        <w:t xml:space="preserve">2020-05 criminalisant certaines infractions à caractère sexuel notamment le viol et la pédophilie, les peines ont été davantage alourdies. </w:t>
      </w:r>
    </w:p>
    <w:p w14:paraId="5A677C92" w14:textId="77777777" w:rsidR="00794E0E" w:rsidRDefault="00146BDA" w:rsidP="005926AE">
      <w:pPr>
        <w:pStyle w:val="SingleTxtG"/>
      </w:pPr>
      <w:r w:rsidRPr="00146BDA">
        <w:t>65.</w:t>
      </w:r>
      <w:r w:rsidRPr="00146BDA">
        <w:tab/>
        <w:t xml:space="preserve">Il s’y ajoute que tout acte de violence, de même que toute menace, restent punis par la législation sénégalaise, et ce, quelle qu’en soit la victime (voir les articles 290 à 297 </w:t>
      </w:r>
      <w:r w:rsidRPr="009A11FB">
        <w:rPr>
          <w:i/>
          <w:iCs/>
        </w:rPr>
        <w:t>bis</w:t>
      </w:r>
      <w:r w:rsidRPr="00146BDA">
        <w:t xml:space="preserve"> du Code pénal).</w:t>
      </w:r>
    </w:p>
    <w:p w14:paraId="06427FBF" w14:textId="77777777" w:rsidR="00794E0E" w:rsidRDefault="00146BDA" w:rsidP="005926AE">
      <w:pPr>
        <w:pStyle w:val="SingleTxtG"/>
        <w:rPr>
          <w:lang w:val="fr-FR"/>
        </w:rPr>
      </w:pPr>
      <w:r w:rsidRPr="00146BDA">
        <w:rPr>
          <w:lang w:val="fr-FR"/>
        </w:rPr>
        <w:t>66.</w:t>
      </w:r>
      <w:r w:rsidRPr="00146BDA">
        <w:rPr>
          <w:lang w:val="fr-FR"/>
        </w:rPr>
        <w:tab/>
        <w:t xml:space="preserve">La volonté politique de l’État du Sénégal se traduit par la prise de mesures diverses et la mise en place de mécanismes institutionnels axées sur la prévention, la prise en charge des </w:t>
      </w:r>
      <w:r w:rsidRPr="00146BDA">
        <w:rPr>
          <w:lang w:val="fr-FR"/>
        </w:rPr>
        <w:lastRenderedPageBreak/>
        <w:t>violences basées sur le genre ainsi que la promotion et la protection des droits des femmes et des filles à différents niveaux.</w:t>
      </w:r>
    </w:p>
    <w:p w14:paraId="603B3B19" w14:textId="2A43E315" w:rsidR="00794E0E" w:rsidRDefault="00146BDA" w:rsidP="005926AE">
      <w:pPr>
        <w:pStyle w:val="SingleTxtG"/>
        <w:rPr>
          <w:lang w:val="fr-FR"/>
        </w:rPr>
      </w:pPr>
      <w:r w:rsidRPr="00146BDA">
        <w:rPr>
          <w:lang w:val="fr-FR"/>
        </w:rPr>
        <w:t>67.</w:t>
      </w:r>
      <w:r w:rsidRPr="00146BDA">
        <w:rPr>
          <w:lang w:val="fr-FR"/>
        </w:rPr>
        <w:tab/>
      </w:r>
      <w:r w:rsidR="008F2675">
        <w:rPr>
          <w:lang w:val="fr-FR"/>
        </w:rPr>
        <w:t>À</w:t>
      </w:r>
      <w:r w:rsidRPr="00146BDA">
        <w:rPr>
          <w:lang w:val="fr-FR"/>
        </w:rPr>
        <w:t xml:space="preserve"> ce titre, le Sénégal a souscrit et/ou ratifié la quasi-totalité des instruments juridiques internationaux, régionaux et nationaux protecteurs des femmes et des filles. Il s’agit :</w:t>
      </w:r>
    </w:p>
    <w:p w14:paraId="3183C03B" w14:textId="402B8287" w:rsidR="00146BDA" w:rsidRPr="00146BDA" w:rsidRDefault="00146BDA" w:rsidP="005926AE">
      <w:pPr>
        <w:pStyle w:val="SingleTxtG"/>
        <w:rPr>
          <w:i/>
          <w:lang w:val="fr-FR"/>
        </w:rPr>
      </w:pPr>
      <w:r w:rsidRPr="00146BDA">
        <w:rPr>
          <w:lang w:val="fr-FR"/>
        </w:rPr>
        <w:t>68.</w:t>
      </w:r>
      <w:r w:rsidRPr="00146BDA">
        <w:rPr>
          <w:lang w:val="fr-FR"/>
        </w:rPr>
        <w:tab/>
        <w:t>Au niveau international</w:t>
      </w:r>
      <w:r w:rsidRPr="00146BDA">
        <w:rPr>
          <w:i/>
          <w:lang w:val="fr-FR"/>
        </w:rPr>
        <w:t> :</w:t>
      </w:r>
    </w:p>
    <w:p w14:paraId="26726330" w14:textId="1949CEF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de l’OIT (n</w:t>
      </w:r>
      <w:r w:rsidR="00146BDA" w:rsidRPr="006D217C">
        <w:rPr>
          <w:vertAlign w:val="superscript"/>
          <w:lang w:val="fr-FR"/>
        </w:rPr>
        <w:t>o</w:t>
      </w:r>
      <w:r w:rsidR="008A5262">
        <w:rPr>
          <w:lang w:val="fr-FR"/>
        </w:rPr>
        <w:t> </w:t>
      </w:r>
      <w:r w:rsidR="00146BDA" w:rsidRPr="00146BDA">
        <w:rPr>
          <w:lang w:val="fr-FR"/>
        </w:rPr>
        <w:t>100) sur l</w:t>
      </w:r>
      <w:r w:rsidR="00546497">
        <w:rPr>
          <w:lang w:val="fr-FR"/>
        </w:rPr>
        <w:t>’</w:t>
      </w:r>
      <w:r w:rsidR="00146BDA" w:rsidRPr="00146BDA">
        <w:rPr>
          <w:lang w:val="fr-FR"/>
        </w:rPr>
        <w:t>égalité de rémunération ;</w:t>
      </w:r>
    </w:p>
    <w:p w14:paraId="0D53F46B" w14:textId="2741904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de l’OIT (n</w:t>
      </w:r>
      <w:r w:rsidR="00146BDA" w:rsidRPr="006D217C">
        <w:rPr>
          <w:vertAlign w:val="superscript"/>
          <w:lang w:val="fr-FR"/>
        </w:rPr>
        <w:t>o</w:t>
      </w:r>
      <w:r w:rsidR="008A5262">
        <w:rPr>
          <w:lang w:val="fr-FR"/>
        </w:rPr>
        <w:t> </w:t>
      </w:r>
      <w:r w:rsidR="00146BDA" w:rsidRPr="00146BDA">
        <w:rPr>
          <w:lang w:val="fr-FR"/>
        </w:rPr>
        <w:t>111) concernant la discrimination en matière d’emploi et de profession ;</w:t>
      </w:r>
    </w:p>
    <w:p w14:paraId="68D46763" w14:textId="136BBD15"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Pacte international relatif aux droits économiques, sociaux et culturels (PIDESC), et le facultatif se rapportant au Pacte international relatif aux droits civils et politiques ;</w:t>
      </w:r>
    </w:p>
    <w:p w14:paraId="378F3BD9" w14:textId="075999B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des Nations Unies pour la répression de la traite des êtres humains et de l’exploitation de la prostitution d’autrui ;</w:t>
      </w:r>
    </w:p>
    <w:p w14:paraId="0CF7C97A" w14:textId="007443C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Convention sur l’élimination de toutes les formes de discrimination à l’égard des femmes (CEDEF) ; </w:t>
      </w:r>
    </w:p>
    <w:p w14:paraId="18F91867" w14:textId="4E85DCCB"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Convention contre la torture et autres peines ou traitements cruels, inhumains ou dégradants ; </w:t>
      </w:r>
    </w:p>
    <w:p w14:paraId="2729DB0C" w14:textId="487BC01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Convention des Nations Unies relative aux Droits de l’Enfant ; </w:t>
      </w:r>
    </w:p>
    <w:p w14:paraId="0BC5149C" w14:textId="70CB7606"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Protocole à la Convention sur l’élimination de toutes les formes de discrimination à l’égard des femmes ;</w:t>
      </w:r>
    </w:p>
    <w:p w14:paraId="22B44F75" w14:textId="16F5DA7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Protocole des Nations Unies visant à prévenir, réprimer et punir la Traite des Personnes, en particulier des Femmes et des Enfants ;</w:t>
      </w:r>
    </w:p>
    <w:p w14:paraId="7A590A7A" w14:textId="6C626CD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des Nations Unies relative aux droits des personnes handicapées ;</w:t>
      </w:r>
    </w:p>
    <w:p w14:paraId="44F3D565" w14:textId="20E8EB29"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de 1957 sur la nationalité conférant à la femme la faculté de prendre la nationalité de son mari sans perdre la sienne ;</w:t>
      </w:r>
    </w:p>
    <w:p w14:paraId="594E4CE5" w14:textId="3916A5DF"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Convention relative à la lutte contre la discrimination dans le domaine de l’enseignement adoptée par l’UNESCO.</w:t>
      </w:r>
    </w:p>
    <w:p w14:paraId="2BE8D8CA" w14:textId="77777777" w:rsidR="00146BDA" w:rsidRPr="00146BDA" w:rsidRDefault="00146BDA" w:rsidP="005926AE">
      <w:pPr>
        <w:pStyle w:val="SingleTxtG"/>
        <w:rPr>
          <w:i/>
          <w:lang w:val="fr-FR"/>
        </w:rPr>
      </w:pPr>
      <w:r w:rsidRPr="00146BDA">
        <w:rPr>
          <w:lang w:val="fr-FR"/>
        </w:rPr>
        <w:t>69.</w:t>
      </w:r>
      <w:r w:rsidRPr="00146BDA">
        <w:rPr>
          <w:lang w:val="fr-FR"/>
        </w:rPr>
        <w:tab/>
        <w:t>Au niveau régional</w:t>
      </w:r>
      <w:r w:rsidRPr="00146BDA">
        <w:rPr>
          <w:i/>
          <w:lang w:val="fr-FR"/>
        </w:rPr>
        <w:t> :</w:t>
      </w:r>
    </w:p>
    <w:p w14:paraId="1ED190EE" w14:textId="5F3C5549"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Charte africaine des droits de l’homme et des peuples ;</w:t>
      </w:r>
    </w:p>
    <w:p w14:paraId="68B1C23D" w14:textId="4BFA5FD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Charte africaine des droits et du bien-être de l’enfant ;</w:t>
      </w:r>
    </w:p>
    <w:p w14:paraId="06759ED1" w14:textId="3869C01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Protocole à la </w:t>
      </w:r>
      <w:r w:rsidR="008A5262" w:rsidRPr="00146BDA">
        <w:rPr>
          <w:lang w:val="fr-FR"/>
        </w:rPr>
        <w:t xml:space="preserve">Charte </w:t>
      </w:r>
      <w:r w:rsidR="00146BDA" w:rsidRPr="00146BDA">
        <w:rPr>
          <w:lang w:val="fr-FR"/>
        </w:rPr>
        <w:t>africaine des droits de l’homme et des peuples relatif aux droits des femmes ;</w:t>
      </w:r>
    </w:p>
    <w:p w14:paraId="695A66AE" w14:textId="76F88DED"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Déclaration Solennelle des Chefs d’États et de Gouvernements sur l’égalité entre les sexes en Afrique ;</w:t>
      </w:r>
    </w:p>
    <w:p w14:paraId="4C22083D" w14:textId="3E2D9D4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Accord multilatéral de coopération en matière de lutte contre la traite des personnes en particulier les femmes et les enfants.</w:t>
      </w:r>
    </w:p>
    <w:p w14:paraId="50A2DCA2" w14:textId="77777777" w:rsidR="00146BDA" w:rsidRPr="00146BDA" w:rsidRDefault="00146BDA" w:rsidP="005926AE">
      <w:pPr>
        <w:pStyle w:val="SingleTxtG"/>
        <w:rPr>
          <w:lang w:val="fr-FR"/>
        </w:rPr>
      </w:pPr>
      <w:r w:rsidRPr="00146BDA">
        <w:rPr>
          <w:lang w:val="fr-FR"/>
        </w:rPr>
        <w:t>70.</w:t>
      </w:r>
      <w:r w:rsidRPr="00146BDA">
        <w:rPr>
          <w:lang w:val="fr-FR"/>
        </w:rPr>
        <w:tab/>
        <w:t>Au niveau national :</w:t>
      </w:r>
    </w:p>
    <w:p w14:paraId="12F70FD7" w14:textId="2313804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Constitution affirme clairement dans son préambule, la reconnaissance par l’État du Sénégal, des droits de la femme et de la petite fille, ainsi que l’égalité homme/femme de par sa ferme adhésion aux traités internationaux ;</w:t>
      </w:r>
    </w:p>
    <w:p w14:paraId="2B276E8B" w14:textId="33782440"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Les dispositions constitutionnelles renforçant cette volonté étatique de lutter contre les violences faites aux femmes et aux filles à travers ses articles 7,15, 18, 19, 22, 25</w:t>
      </w:r>
      <w:r w:rsidR="008A5262">
        <w:rPr>
          <w:lang w:val="fr-FR"/>
        </w:rPr>
        <w:t xml:space="preserve">, </w:t>
      </w:r>
      <w:r w:rsidR="00146BDA" w:rsidRPr="00146BDA">
        <w:rPr>
          <w:lang w:val="fr-FR"/>
        </w:rPr>
        <w:t>… ;</w:t>
      </w:r>
    </w:p>
    <w:p w14:paraId="22C89042" w14:textId="1D933580"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loi </w:t>
      </w:r>
      <w:r w:rsidR="008A5262" w:rsidRPr="00146BDA">
        <w:rPr>
          <w:lang w:val="fr-FR"/>
        </w:rPr>
        <w:t>n</w:t>
      </w:r>
      <w:r w:rsidR="008A5262" w:rsidRPr="005A743A">
        <w:rPr>
          <w:vertAlign w:val="superscript"/>
          <w:lang w:val="fr-FR"/>
        </w:rPr>
        <w:t>o</w:t>
      </w:r>
      <w:r w:rsidR="008A5262">
        <w:rPr>
          <w:lang w:val="fr-FR"/>
        </w:rPr>
        <w:t> </w:t>
      </w:r>
      <w:r w:rsidR="00146BDA" w:rsidRPr="00146BDA">
        <w:rPr>
          <w:lang w:val="fr-FR"/>
        </w:rPr>
        <w:t>2020-05 du 10 janvier 2020 criminalisant le viol et la pédophilie ;</w:t>
      </w:r>
    </w:p>
    <w:p w14:paraId="0352EB94" w14:textId="3D025567"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Le décret </w:t>
      </w:r>
      <w:r w:rsidR="008A5262" w:rsidRPr="00146BDA">
        <w:rPr>
          <w:lang w:val="fr-FR"/>
        </w:rPr>
        <w:t>n</w:t>
      </w:r>
      <w:r w:rsidR="008A5262" w:rsidRPr="005A743A">
        <w:rPr>
          <w:vertAlign w:val="superscript"/>
          <w:lang w:val="fr-FR"/>
        </w:rPr>
        <w:t>o</w:t>
      </w:r>
      <w:r w:rsidR="008A5262">
        <w:rPr>
          <w:lang w:val="fr-FR"/>
        </w:rPr>
        <w:t> </w:t>
      </w:r>
      <w:r w:rsidR="00146BDA" w:rsidRPr="00146BDA">
        <w:rPr>
          <w:lang w:val="fr-FR"/>
        </w:rPr>
        <w:t xml:space="preserve">2018 1070 du 30 juin 2018 portant organisation du Ministère de la </w:t>
      </w:r>
      <w:r w:rsidR="008A5262">
        <w:rPr>
          <w:lang w:val="fr-FR"/>
        </w:rPr>
        <w:t>j</w:t>
      </w:r>
      <w:r w:rsidR="00146BDA" w:rsidRPr="00146BDA">
        <w:rPr>
          <w:lang w:val="fr-FR"/>
        </w:rPr>
        <w:t>ustice qui désigne, en son article 22, la Direction de l’</w:t>
      </w:r>
      <w:r w:rsidR="008A5262">
        <w:rPr>
          <w:lang w:val="fr-FR"/>
        </w:rPr>
        <w:t>é</w:t>
      </w:r>
      <w:r w:rsidR="00146BDA" w:rsidRPr="00146BDA">
        <w:rPr>
          <w:lang w:val="fr-FR"/>
        </w:rPr>
        <w:t>ducation surveillée et de la Protection sociale comme autorité centrale compétente en matière d’adoption internationale ;</w:t>
      </w:r>
    </w:p>
    <w:p w14:paraId="39A3232F" w14:textId="7A109613" w:rsidR="00794E0E" w:rsidRDefault="006D217C" w:rsidP="006D217C">
      <w:pPr>
        <w:pStyle w:val="Bullet1G"/>
        <w:numPr>
          <w:ilvl w:val="0"/>
          <w:numId w:val="0"/>
        </w:numPr>
        <w:tabs>
          <w:tab w:val="left" w:pos="1701"/>
        </w:tabs>
        <w:ind w:left="1701" w:hanging="170"/>
        <w:rPr>
          <w:lang w:val="fr-FR"/>
        </w:rPr>
      </w:pPr>
      <w:r>
        <w:rPr>
          <w:lang w:val="fr-FR"/>
        </w:rPr>
        <w:lastRenderedPageBreak/>
        <w:t>•</w:t>
      </w:r>
      <w:r>
        <w:rPr>
          <w:lang w:val="fr-FR"/>
        </w:rPr>
        <w:tab/>
      </w:r>
      <w:r w:rsidR="00146BDA" w:rsidRPr="00146BDA">
        <w:rPr>
          <w:lang w:val="fr-FR"/>
        </w:rPr>
        <w:t xml:space="preserve">Le </w:t>
      </w:r>
      <w:r w:rsidR="008A5262">
        <w:rPr>
          <w:lang w:val="fr-FR"/>
        </w:rPr>
        <w:t>d</w:t>
      </w:r>
      <w:r w:rsidR="00146BDA" w:rsidRPr="00146BDA">
        <w:rPr>
          <w:lang w:val="fr-FR"/>
        </w:rPr>
        <w:t xml:space="preserve">écret </w:t>
      </w:r>
      <w:r w:rsidR="008A5262" w:rsidRPr="00146BDA">
        <w:rPr>
          <w:lang w:val="fr-FR"/>
        </w:rPr>
        <w:t>n</w:t>
      </w:r>
      <w:r w:rsidR="009A11FB">
        <w:rPr>
          <w:vertAlign w:val="superscript"/>
          <w:lang w:val="fr-FR"/>
        </w:rPr>
        <w:t>o</w:t>
      </w:r>
      <w:r w:rsidR="009A11FB" w:rsidRPr="009A11FB">
        <w:rPr>
          <w:lang w:val="fr-FR"/>
        </w:rPr>
        <w:t> </w:t>
      </w:r>
      <w:r w:rsidR="00146BDA" w:rsidRPr="00146BDA">
        <w:rPr>
          <w:lang w:val="fr-FR"/>
        </w:rPr>
        <w:t>1573-2018 du 27 ao</w:t>
      </w:r>
      <w:r w:rsidR="009A11FB">
        <w:rPr>
          <w:lang w:val="fr-FR"/>
        </w:rPr>
        <w:t>û</w:t>
      </w:r>
      <w:r w:rsidR="00146BDA" w:rsidRPr="00146BDA">
        <w:rPr>
          <w:lang w:val="fr-FR"/>
        </w:rPr>
        <w:t xml:space="preserve">t 2018 érigeant le Centre </w:t>
      </w:r>
      <w:r w:rsidR="008A5262">
        <w:rPr>
          <w:lang w:val="fr-FR"/>
        </w:rPr>
        <w:t>n</w:t>
      </w:r>
      <w:r w:rsidR="00146BDA" w:rsidRPr="00146BDA">
        <w:rPr>
          <w:lang w:val="fr-FR"/>
        </w:rPr>
        <w:t>ational d’</w:t>
      </w:r>
      <w:r w:rsidR="008A5262">
        <w:rPr>
          <w:lang w:val="fr-FR"/>
        </w:rPr>
        <w:t>é</w:t>
      </w:r>
      <w:r w:rsidR="00146BDA" w:rsidRPr="00146BDA">
        <w:rPr>
          <w:lang w:val="fr-FR"/>
        </w:rPr>
        <w:t xml:space="preserve">tat </w:t>
      </w:r>
      <w:r w:rsidR="008A5262">
        <w:rPr>
          <w:lang w:val="fr-FR"/>
        </w:rPr>
        <w:t>c</w:t>
      </w:r>
      <w:r w:rsidR="00146BDA" w:rsidRPr="00146BDA">
        <w:rPr>
          <w:lang w:val="fr-FR"/>
        </w:rPr>
        <w:t>ivil en Direction d’</w:t>
      </w:r>
      <w:r w:rsidR="008A5262">
        <w:rPr>
          <w:lang w:val="fr-FR"/>
        </w:rPr>
        <w:t>é</w:t>
      </w:r>
      <w:r w:rsidR="00146BDA" w:rsidRPr="00146BDA">
        <w:rPr>
          <w:lang w:val="fr-FR"/>
        </w:rPr>
        <w:t xml:space="preserve">tat </w:t>
      </w:r>
      <w:r w:rsidR="008A5262">
        <w:rPr>
          <w:lang w:val="fr-FR"/>
        </w:rPr>
        <w:t>c</w:t>
      </w:r>
      <w:r w:rsidR="00146BDA" w:rsidRPr="00146BDA">
        <w:rPr>
          <w:lang w:val="fr-FR"/>
        </w:rPr>
        <w:t>ivil</w:t>
      </w:r>
      <w:r w:rsidR="00B54287">
        <w:rPr>
          <w:lang w:val="fr-FR"/>
        </w:rPr>
        <w:t>.</w:t>
      </w:r>
    </w:p>
    <w:p w14:paraId="159FB306" w14:textId="5B5727EA" w:rsidR="00146BDA" w:rsidRPr="00146BDA" w:rsidRDefault="00146BDA" w:rsidP="005926AE">
      <w:pPr>
        <w:pStyle w:val="SingleTxtG"/>
        <w:rPr>
          <w:lang w:val="fr-FR"/>
        </w:rPr>
      </w:pPr>
      <w:r w:rsidRPr="00146BDA">
        <w:rPr>
          <w:lang w:val="fr-FR"/>
        </w:rPr>
        <w:t>71.</w:t>
      </w:r>
      <w:r w:rsidRPr="00146BDA">
        <w:rPr>
          <w:lang w:val="fr-FR"/>
        </w:rPr>
        <w:tab/>
        <w:t xml:space="preserve">Les initiatives novatrices ci-après ont été mises en œuvre ces dernières années par divers acteurs (État, ONG, Organisations de la société civile, secteur privé, associations etc.), afin de promouvoir l’éradication des violences faites aux femmes et aux filles. </w:t>
      </w:r>
    </w:p>
    <w:p w14:paraId="2AA3ADFF" w14:textId="56D1C5AD"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création de la Direction nationale de l’</w:t>
      </w:r>
      <w:r w:rsidR="008A5262">
        <w:rPr>
          <w:lang w:val="fr-FR"/>
        </w:rPr>
        <w:t>é</w:t>
      </w:r>
      <w:r w:rsidR="00146BDA" w:rsidRPr="00146BDA">
        <w:rPr>
          <w:lang w:val="fr-FR"/>
        </w:rPr>
        <w:t>quité et l’</w:t>
      </w:r>
      <w:r w:rsidR="008A5262">
        <w:rPr>
          <w:lang w:val="fr-FR"/>
        </w:rPr>
        <w:t>é</w:t>
      </w:r>
      <w:r w:rsidR="00146BDA" w:rsidRPr="00146BDA">
        <w:rPr>
          <w:lang w:val="fr-FR"/>
        </w:rPr>
        <w:t>galité de genre en 2008 ;</w:t>
      </w:r>
    </w:p>
    <w:p w14:paraId="6456C7AE" w14:textId="7DDB081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création de l’Observatoire national de la </w:t>
      </w:r>
      <w:r w:rsidR="008A5262">
        <w:rPr>
          <w:lang w:val="fr-FR"/>
        </w:rPr>
        <w:t>p</w:t>
      </w:r>
      <w:r w:rsidR="00146BDA" w:rsidRPr="00146BDA">
        <w:rPr>
          <w:lang w:val="fr-FR"/>
        </w:rPr>
        <w:t xml:space="preserve">arité (par décret 2010 du 8 </w:t>
      </w:r>
      <w:r w:rsidR="008A5262">
        <w:rPr>
          <w:lang w:val="fr-FR"/>
        </w:rPr>
        <w:t>j</w:t>
      </w:r>
      <w:r w:rsidR="00146BDA" w:rsidRPr="00146BDA">
        <w:rPr>
          <w:lang w:val="fr-FR"/>
        </w:rPr>
        <w:t>uillet 2010)</w:t>
      </w:r>
      <w:r w:rsidR="008A5262">
        <w:rPr>
          <w:lang w:val="fr-FR"/>
        </w:rPr>
        <w:t> </w:t>
      </w:r>
      <w:r w:rsidR="00146BDA" w:rsidRPr="00146BDA">
        <w:rPr>
          <w:lang w:val="fr-FR"/>
        </w:rPr>
        <w:t>;</w:t>
      </w:r>
    </w:p>
    <w:p w14:paraId="70375951" w14:textId="51B3E81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création de la Cellule nationale de</w:t>
      </w:r>
      <w:r w:rsidR="008A5262">
        <w:rPr>
          <w:lang w:val="fr-FR"/>
        </w:rPr>
        <w:t xml:space="preserve"> </w:t>
      </w:r>
      <w:r w:rsidR="00146BDA" w:rsidRPr="00146BDA">
        <w:rPr>
          <w:lang w:val="fr-FR"/>
        </w:rPr>
        <w:t>lutte contre</w:t>
      </w:r>
      <w:r w:rsidR="008A5262">
        <w:rPr>
          <w:lang w:val="fr-FR"/>
        </w:rPr>
        <w:t xml:space="preserve"> </w:t>
      </w:r>
      <w:r w:rsidR="00146BDA" w:rsidRPr="00146BDA">
        <w:rPr>
          <w:lang w:val="fr-FR"/>
        </w:rPr>
        <w:t xml:space="preserve">la </w:t>
      </w:r>
      <w:r w:rsidR="008A5262">
        <w:rPr>
          <w:lang w:val="fr-FR"/>
        </w:rPr>
        <w:t>t</w:t>
      </w:r>
      <w:r w:rsidR="00146BDA" w:rsidRPr="00146BDA">
        <w:rPr>
          <w:lang w:val="fr-FR"/>
        </w:rPr>
        <w:t xml:space="preserve">raite des </w:t>
      </w:r>
      <w:r w:rsidR="008A5262">
        <w:rPr>
          <w:lang w:val="fr-FR"/>
        </w:rPr>
        <w:t>p</w:t>
      </w:r>
      <w:r w:rsidR="00146BDA" w:rsidRPr="00146BDA">
        <w:rPr>
          <w:lang w:val="fr-FR"/>
        </w:rPr>
        <w:t>ersonnes, en particulier des femmes et des enfants en 2010 ;</w:t>
      </w:r>
    </w:p>
    <w:p w14:paraId="166A62FA" w14:textId="67EB8756"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place de cellules genre au niveau des différents départements ministériels ;</w:t>
      </w:r>
    </w:p>
    <w:p w14:paraId="0A63CFB0" w14:textId="3167C41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promotion de déclarations publiques d</w:t>
      </w:r>
      <w:r w:rsidR="00546497">
        <w:rPr>
          <w:lang w:val="fr-FR"/>
        </w:rPr>
        <w:t>’</w:t>
      </w:r>
      <w:r w:rsidR="00146BDA" w:rsidRPr="00146BDA">
        <w:rPr>
          <w:lang w:val="fr-FR"/>
        </w:rPr>
        <w:t>abandon de l</w:t>
      </w:r>
      <w:r w:rsidR="00546497">
        <w:rPr>
          <w:lang w:val="fr-FR"/>
        </w:rPr>
        <w:t>’</w:t>
      </w:r>
      <w:r w:rsidR="00146BDA" w:rsidRPr="00146BDA">
        <w:rPr>
          <w:lang w:val="fr-FR"/>
        </w:rPr>
        <w:t xml:space="preserve">excision. </w:t>
      </w:r>
      <w:r w:rsidR="008A5262">
        <w:rPr>
          <w:lang w:val="fr-FR"/>
        </w:rPr>
        <w:t>À</w:t>
      </w:r>
      <w:r w:rsidR="00146BDA" w:rsidRPr="00146BDA">
        <w:rPr>
          <w:lang w:val="fr-FR"/>
        </w:rPr>
        <w:t xml:space="preserve"> ce jour, 6</w:t>
      </w:r>
      <w:r w:rsidR="001209CF">
        <w:rPr>
          <w:lang w:val="fr-FR"/>
        </w:rPr>
        <w:t> </w:t>
      </w:r>
      <w:r w:rsidR="00146BDA" w:rsidRPr="00146BDA">
        <w:rPr>
          <w:lang w:val="fr-FR"/>
        </w:rPr>
        <w:t>959</w:t>
      </w:r>
      <w:r w:rsidR="001209CF">
        <w:rPr>
          <w:lang w:val="fr-FR"/>
        </w:rPr>
        <w:t> </w:t>
      </w:r>
      <w:r w:rsidR="00146BDA" w:rsidRPr="00146BDA">
        <w:rPr>
          <w:lang w:val="fr-FR"/>
        </w:rPr>
        <w:t>communautés ont procédé à des déclarations ;</w:t>
      </w:r>
    </w:p>
    <w:p w14:paraId="322355A0" w14:textId="5810C49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place de dix (10) mécanismes communautaires de suivi post-déclaration ont été mis en place dans les régions de Matam et de Kolda en 2021 ;</w:t>
      </w:r>
    </w:p>
    <w:p w14:paraId="1098A7EE" w14:textId="392B9570"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L’engagement à mettre en œuvre le programme d’actions de Beijing à travers l’élaboration et la mise en œuvre d’abord des Plans d’Action National pour la Femme (PANAF 1 et 2) puis de la Stratégie Nationale d’Égalité et d’Equité de genre (SNEEG 1 et 2) ; </w:t>
      </w:r>
    </w:p>
    <w:p w14:paraId="4B6F0FE8" w14:textId="3CFC613F"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L’adoption et la mise en œuvre de plans d’action national pour l’accélération de l’abandon de l’excision ;</w:t>
      </w:r>
    </w:p>
    <w:p w14:paraId="7EC204D4" w14:textId="18602F1E"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L’élaboration et la mise en œuvre du plan d’action national pour la mise en œuvre de la résolution 1325 ;</w:t>
      </w:r>
    </w:p>
    <w:p w14:paraId="74403924" w14:textId="17B1BB0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œuvre du Plan d’action national pour l’éradication des VBG et la promotion des droits humains (2017-2021 en cours d’évaluation finale) ;</w:t>
      </w:r>
    </w:p>
    <w:p w14:paraId="5EDD0B4B" w14:textId="47B2213B"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L’élaboration et la dissémination des procédures opérationnelles standards de prévention et de prise en charge des VBG ;</w:t>
      </w:r>
    </w:p>
    <w:p w14:paraId="610727C4" w14:textId="66683B26"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développement et la promotion d’une ligne d’assistance N</w:t>
      </w:r>
      <w:r w:rsidR="008A5262">
        <w:rPr>
          <w:lang w:val="fr-FR"/>
        </w:rPr>
        <w:t>uméro</w:t>
      </w:r>
      <w:r w:rsidR="00146BDA" w:rsidRPr="00146BDA">
        <w:rPr>
          <w:lang w:val="fr-FR"/>
        </w:rPr>
        <w:t xml:space="preserve"> Vert (116) pour le signalement et l’orientation des victimes ;</w:t>
      </w:r>
    </w:p>
    <w:p w14:paraId="6A8D7D24" w14:textId="5B1F9A1D"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place d’un Portail de signalement d’abus sexuel en ligne commis sur les enfants ;</w:t>
      </w:r>
    </w:p>
    <w:p w14:paraId="5106C058" w14:textId="6C1E2288"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Le programme de soutien médical et financier aux femmes affectées de fistules obstétricales ;</w:t>
      </w:r>
    </w:p>
    <w:p w14:paraId="0B0DC9E3" w14:textId="2E5E20D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mise en œuvre du programme de bourses d’excellence (du Centre de la CDEAO pour le développement du genre CCDG) aux jeunes filles spécialisées dans les filières scientifiques et la formation professionnelle ou technique ;</w:t>
      </w:r>
    </w:p>
    <w:p w14:paraId="2B06BBBE" w14:textId="7C323D14"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La mise en œuvre de la Stratégie nationale de vulgarisation de la loi </w:t>
      </w:r>
      <w:r w:rsidR="008A5262" w:rsidRPr="00146BDA">
        <w:rPr>
          <w:lang w:val="fr-FR"/>
        </w:rPr>
        <w:t>n</w:t>
      </w:r>
      <w:r w:rsidR="008A5262" w:rsidRPr="005A743A">
        <w:rPr>
          <w:vertAlign w:val="superscript"/>
          <w:lang w:val="fr-FR"/>
        </w:rPr>
        <w:t>o</w:t>
      </w:r>
      <w:r w:rsidR="008A5262">
        <w:rPr>
          <w:lang w:val="fr-FR"/>
        </w:rPr>
        <w:t> </w:t>
      </w:r>
      <w:r w:rsidR="00146BDA" w:rsidRPr="00146BDA">
        <w:rPr>
          <w:lang w:val="fr-FR"/>
        </w:rPr>
        <w:t>2020-05 du 10</w:t>
      </w:r>
      <w:r w:rsidR="008A5262">
        <w:rPr>
          <w:lang w:val="fr-FR"/>
        </w:rPr>
        <w:t> </w:t>
      </w:r>
      <w:r w:rsidR="00146BDA" w:rsidRPr="00146BDA">
        <w:rPr>
          <w:lang w:val="fr-FR"/>
        </w:rPr>
        <w:t xml:space="preserve">janvier 2020 criminalisant le viol et la pédophilie (qui cible les 46 départements du Sénégal) et la traduction de la loi </w:t>
      </w:r>
      <w:r w:rsidR="008A5262" w:rsidRPr="00146BDA">
        <w:rPr>
          <w:lang w:val="fr-FR"/>
        </w:rPr>
        <w:t>n</w:t>
      </w:r>
      <w:r w:rsidR="008A5262" w:rsidRPr="005A743A">
        <w:rPr>
          <w:vertAlign w:val="superscript"/>
          <w:lang w:val="fr-FR"/>
        </w:rPr>
        <w:t>o</w:t>
      </w:r>
      <w:r w:rsidR="008A5262">
        <w:rPr>
          <w:lang w:val="fr-FR"/>
        </w:rPr>
        <w:t> </w:t>
      </w:r>
      <w:r w:rsidR="00146BDA" w:rsidRPr="00146BDA">
        <w:rPr>
          <w:lang w:val="fr-FR"/>
        </w:rPr>
        <w:t>2020-05 en 14 langues nationales ;</w:t>
      </w:r>
    </w:p>
    <w:p w14:paraId="3C5D3D4B" w14:textId="091816E0"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Dans le domaine de l’autonomisation économique des femmes, la DER, le FONSIS, le FONGIP et beaucoup d’autres fonds spécifiques, concourent au rayonnement de l’entreprenariat des femmes ;</w:t>
      </w:r>
    </w:p>
    <w:p w14:paraId="600534D8" w14:textId="25B76E88"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En plus de ces mécanismes à fort impact, il y a la Stratégie </w:t>
      </w:r>
      <w:r w:rsidR="008A5262">
        <w:rPr>
          <w:lang w:val="fr-FR"/>
        </w:rPr>
        <w:t>n</w:t>
      </w:r>
      <w:r w:rsidR="00146BDA" w:rsidRPr="00146BDA">
        <w:rPr>
          <w:lang w:val="fr-FR"/>
        </w:rPr>
        <w:t>ationale d’</w:t>
      </w:r>
      <w:r w:rsidR="008A5262">
        <w:rPr>
          <w:lang w:val="fr-FR"/>
        </w:rPr>
        <w:t>a</w:t>
      </w:r>
      <w:r w:rsidR="00146BDA" w:rsidRPr="00146BDA">
        <w:rPr>
          <w:lang w:val="fr-FR"/>
        </w:rPr>
        <w:t xml:space="preserve">utonomisation des </w:t>
      </w:r>
      <w:r w:rsidR="008A5262">
        <w:rPr>
          <w:lang w:val="fr-FR"/>
        </w:rPr>
        <w:t>f</w:t>
      </w:r>
      <w:r w:rsidR="00146BDA" w:rsidRPr="00146BDA">
        <w:rPr>
          <w:lang w:val="fr-FR"/>
        </w:rPr>
        <w:t xml:space="preserve">emmes et des </w:t>
      </w:r>
      <w:r w:rsidR="008A5262">
        <w:rPr>
          <w:lang w:val="fr-FR"/>
        </w:rPr>
        <w:t>f</w:t>
      </w:r>
      <w:r w:rsidR="00146BDA" w:rsidRPr="00146BDA">
        <w:rPr>
          <w:lang w:val="fr-FR"/>
        </w:rPr>
        <w:t>illes 2021-2025 qui vise</w:t>
      </w:r>
      <w:r w:rsidR="008A5262">
        <w:rPr>
          <w:lang w:val="fr-FR"/>
        </w:rPr>
        <w:t>,</w:t>
      </w:r>
      <w:r w:rsidR="00146BDA" w:rsidRPr="00146BDA">
        <w:rPr>
          <w:lang w:val="fr-FR"/>
        </w:rPr>
        <w:t xml:space="preserve"> entre autres, l’</w:t>
      </w:r>
      <w:r w:rsidR="008A5262">
        <w:rPr>
          <w:lang w:val="fr-FR"/>
        </w:rPr>
        <w:t>é</w:t>
      </w:r>
      <w:r w:rsidR="00146BDA" w:rsidRPr="00146BDA">
        <w:rPr>
          <w:lang w:val="fr-FR"/>
        </w:rPr>
        <w:t xml:space="preserve">mergence d’un </w:t>
      </w:r>
      <w:r w:rsidR="008A5262">
        <w:rPr>
          <w:lang w:val="fr-FR"/>
        </w:rPr>
        <w:t>e</w:t>
      </w:r>
      <w:r w:rsidR="00146BDA" w:rsidRPr="00146BDA">
        <w:rPr>
          <w:lang w:val="fr-FR"/>
        </w:rPr>
        <w:t>ntreprenariat inclusif, durable et porteur de croissance par la promotion d’un salariat équitable et créateur de valeur ;</w:t>
      </w:r>
    </w:p>
    <w:p w14:paraId="34DE89CB" w14:textId="295E678E" w:rsidR="00794E0E" w:rsidRDefault="006D217C" w:rsidP="006D217C">
      <w:pPr>
        <w:pStyle w:val="Bullet1G"/>
        <w:numPr>
          <w:ilvl w:val="0"/>
          <w:numId w:val="0"/>
        </w:numPr>
        <w:tabs>
          <w:tab w:val="left" w:pos="1701"/>
        </w:tabs>
        <w:ind w:left="1701" w:hanging="170"/>
        <w:rPr>
          <w:lang w:val="fr-FR"/>
        </w:rPr>
      </w:pPr>
      <w:r>
        <w:rPr>
          <w:lang w:val="fr-FR"/>
        </w:rPr>
        <w:t>•</w:t>
      </w:r>
      <w:r>
        <w:rPr>
          <w:lang w:val="fr-FR"/>
        </w:rPr>
        <w:tab/>
      </w:r>
      <w:r w:rsidR="00146BDA" w:rsidRPr="00146BDA">
        <w:rPr>
          <w:lang w:val="fr-FR"/>
        </w:rPr>
        <w:t>L’adoption de l’Agenda de la jeune fille (2020-2024) qui promeut la promotion et la protection des droits de filles vise parmi les six (6) priorités retenues, l’élimination des mariages d’enfants.</w:t>
      </w:r>
    </w:p>
    <w:p w14:paraId="3BC3AD9E" w14:textId="209183CB" w:rsidR="00146BDA" w:rsidRPr="00146BDA" w:rsidRDefault="00146BDA" w:rsidP="005926AE">
      <w:pPr>
        <w:pStyle w:val="SingleTxtG"/>
        <w:rPr>
          <w:lang w:val="fr-FR"/>
        </w:rPr>
      </w:pPr>
      <w:bookmarkStart w:id="14" w:name="_Hlk99528326"/>
      <w:r w:rsidRPr="00146BDA">
        <w:rPr>
          <w:lang w:val="fr-FR"/>
        </w:rPr>
        <w:lastRenderedPageBreak/>
        <w:t>72.</w:t>
      </w:r>
      <w:r w:rsidRPr="00146BDA">
        <w:rPr>
          <w:lang w:val="fr-FR"/>
        </w:rPr>
        <w:tab/>
        <w:t>Le taux de prévalence des mutilations génitales féminines a sensiblement diminué si l’on se réfère à l’enquête démographique et de santé 2019. Les régions les plus touchées sont</w:t>
      </w:r>
      <w:r w:rsidR="008A5262">
        <w:rPr>
          <w:lang w:val="fr-FR"/>
        </w:rPr>
        <w:t> </w:t>
      </w:r>
      <w:r w:rsidRPr="00146BDA">
        <w:rPr>
          <w:lang w:val="fr-FR"/>
        </w:rPr>
        <w:t>: Matam (77</w:t>
      </w:r>
      <w:r w:rsidR="008A5262">
        <w:rPr>
          <w:lang w:val="fr-FR"/>
        </w:rPr>
        <w:t> </w:t>
      </w:r>
      <w:r w:rsidRPr="00146BDA">
        <w:rPr>
          <w:lang w:val="fr-FR"/>
        </w:rPr>
        <w:t>%), Sédhiou (48</w:t>
      </w:r>
      <w:r w:rsidR="008A5262">
        <w:rPr>
          <w:lang w:val="fr-FR"/>
        </w:rPr>
        <w:t> </w:t>
      </w:r>
      <w:r w:rsidRPr="00146BDA">
        <w:rPr>
          <w:lang w:val="fr-FR"/>
        </w:rPr>
        <w:t>%), Kolda (57</w:t>
      </w:r>
      <w:r w:rsidR="008A5262">
        <w:rPr>
          <w:lang w:val="fr-FR"/>
        </w:rPr>
        <w:t> </w:t>
      </w:r>
      <w:r w:rsidRPr="00146BDA">
        <w:rPr>
          <w:lang w:val="fr-FR"/>
        </w:rPr>
        <w:t>%), Kédougou (35</w:t>
      </w:r>
      <w:r w:rsidR="008A5262">
        <w:rPr>
          <w:lang w:val="fr-FR"/>
        </w:rPr>
        <w:t> </w:t>
      </w:r>
      <w:r w:rsidRPr="00146BDA">
        <w:rPr>
          <w:lang w:val="fr-FR"/>
        </w:rPr>
        <w:t>%) et Tambacounda (36</w:t>
      </w:r>
      <w:r w:rsidR="008A5262">
        <w:rPr>
          <w:lang w:val="fr-FR"/>
        </w:rPr>
        <w:t> </w:t>
      </w:r>
      <w:r w:rsidRPr="00146BDA">
        <w:rPr>
          <w:lang w:val="fr-FR"/>
        </w:rPr>
        <w:t>%).</w:t>
      </w:r>
    </w:p>
    <w:p w14:paraId="5CE8494F" w14:textId="2852B023" w:rsidR="00146BDA" w:rsidRPr="00146BDA" w:rsidRDefault="00146BDA" w:rsidP="005926AE">
      <w:pPr>
        <w:pStyle w:val="SingleTxtG"/>
        <w:rPr>
          <w:lang w:val="fr-FR"/>
        </w:rPr>
      </w:pPr>
      <w:r w:rsidRPr="00146BDA">
        <w:rPr>
          <w:lang w:val="fr-FR"/>
        </w:rPr>
        <w:t>73.</w:t>
      </w:r>
      <w:r w:rsidRPr="00146BDA">
        <w:rPr>
          <w:lang w:val="fr-FR"/>
        </w:rPr>
        <w:tab/>
        <w:t xml:space="preserve">Relativement au nombre de condamnation, il faut noter les difficultés dans l’application de la loi </w:t>
      </w:r>
      <w:r w:rsidR="008A5262" w:rsidRPr="00146BDA">
        <w:rPr>
          <w:lang w:val="fr-FR"/>
        </w:rPr>
        <w:t>n</w:t>
      </w:r>
      <w:r w:rsidR="008A5262" w:rsidRPr="005A743A">
        <w:rPr>
          <w:vertAlign w:val="superscript"/>
          <w:lang w:val="fr-FR"/>
        </w:rPr>
        <w:t>o</w:t>
      </w:r>
      <w:r w:rsidR="008A5262">
        <w:rPr>
          <w:lang w:val="fr-FR"/>
        </w:rPr>
        <w:t> </w:t>
      </w:r>
      <w:r w:rsidRPr="00146BDA">
        <w:rPr>
          <w:lang w:val="fr-FR"/>
        </w:rPr>
        <w:t>99-05 interdisant la pratique des MGF. En effet, depuis l’adoption de la loi, une dizaine de cas seulement ont été jugés devant les tribunaux du fait de l’absence de signalement de la part des communautés pratiquantes.</w:t>
      </w:r>
    </w:p>
    <w:p w14:paraId="56513D68" w14:textId="79EBB54A" w:rsidR="00146BDA" w:rsidRPr="00146BDA" w:rsidRDefault="00146BDA" w:rsidP="005926AE">
      <w:pPr>
        <w:pStyle w:val="SingleTxtG"/>
        <w:rPr>
          <w:lang w:val="fr-FR"/>
        </w:rPr>
      </w:pPr>
      <w:r w:rsidRPr="00146BDA">
        <w:rPr>
          <w:lang w:val="fr-FR"/>
        </w:rPr>
        <w:t>74.</w:t>
      </w:r>
      <w:r w:rsidRPr="00146BDA">
        <w:rPr>
          <w:lang w:val="fr-FR"/>
        </w:rPr>
        <w:tab/>
        <w:t xml:space="preserve">Pour l’année 2021, six (6) cas de MGF ont été jugés dans la région de Dakar principalement à Guédiawaye et Rufisque et trois (3) cas dans la région de Kolda grâce au signalement des marraines de quartier dénommées en langue wolof </w:t>
      </w:r>
      <w:r w:rsidR="005926AE">
        <w:rPr>
          <w:lang w:val="fr-FR"/>
        </w:rPr>
        <w:t>« </w:t>
      </w:r>
      <w:proofErr w:type="spellStart"/>
      <w:r w:rsidRPr="00146BDA">
        <w:rPr>
          <w:lang w:val="fr-FR"/>
        </w:rPr>
        <w:t>Bajenu</w:t>
      </w:r>
      <w:proofErr w:type="spellEnd"/>
      <w:r w:rsidRPr="00146BDA">
        <w:rPr>
          <w:lang w:val="fr-FR"/>
        </w:rPr>
        <w:t xml:space="preserve"> </w:t>
      </w:r>
      <w:proofErr w:type="spellStart"/>
      <w:r w:rsidRPr="00146BDA">
        <w:rPr>
          <w:lang w:val="fr-FR"/>
        </w:rPr>
        <w:t>gox</w:t>
      </w:r>
      <w:proofErr w:type="spellEnd"/>
      <w:r w:rsidR="005926AE">
        <w:rPr>
          <w:lang w:val="fr-FR"/>
        </w:rPr>
        <w:t> »</w:t>
      </w:r>
      <w:r w:rsidRPr="00146BDA">
        <w:rPr>
          <w:lang w:val="fr-FR"/>
        </w:rPr>
        <w:t xml:space="preserve">. </w:t>
      </w:r>
    </w:p>
    <w:bookmarkEnd w:id="14"/>
    <w:p w14:paraId="05AD933B" w14:textId="4FBBB803" w:rsidR="00146BDA" w:rsidRPr="00146BDA" w:rsidRDefault="00146BDA" w:rsidP="005926AE">
      <w:pPr>
        <w:pStyle w:val="SingleTxtG"/>
        <w:rPr>
          <w:lang w:val="fr-FR"/>
        </w:rPr>
      </w:pPr>
      <w:r w:rsidRPr="00146BDA">
        <w:rPr>
          <w:lang w:val="fr-FR"/>
        </w:rPr>
        <w:t>75.</w:t>
      </w:r>
      <w:r w:rsidRPr="00146BDA">
        <w:rPr>
          <w:lang w:val="fr-FR"/>
        </w:rPr>
        <w:tab/>
        <w:t xml:space="preserve">En vertu de l’article 305 du </w:t>
      </w:r>
      <w:r w:rsidR="00C9311F" w:rsidRPr="00146BDA">
        <w:rPr>
          <w:lang w:val="fr-FR"/>
        </w:rPr>
        <w:t xml:space="preserve">Code </w:t>
      </w:r>
      <w:r w:rsidRPr="00146BDA">
        <w:rPr>
          <w:lang w:val="fr-FR"/>
        </w:rPr>
        <w:t>pénal et de la loi</w:t>
      </w:r>
      <w:r w:rsidR="008A5262">
        <w:rPr>
          <w:lang w:val="fr-FR"/>
        </w:rPr>
        <w:t xml:space="preserve"> </w:t>
      </w:r>
      <w:r w:rsidRPr="00146BDA">
        <w:rPr>
          <w:lang w:val="fr-FR"/>
        </w:rPr>
        <w:t>n</w:t>
      </w:r>
      <w:r w:rsidR="008A5262" w:rsidRPr="006D217C">
        <w:rPr>
          <w:vertAlign w:val="superscript"/>
          <w:lang w:val="fr-FR"/>
        </w:rPr>
        <w:t>o</w:t>
      </w:r>
      <w:r w:rsidR="008A5262">
        <w:rPr>
          <w:lang w:val="fr-FR"/>
        </w:rPr>
        <w:t> </w:t>
      </w:r>
      <w:r w:rsidRPr="00146BDA">
        <w:rPr>
          <w:lang w:val="fr-FR"/>
        </w:rPr>
        <w:t xml:space="preserve">2005-18 du 5 août 2005 relative à la santé de la reproduction, l’interruption volontaire de grossesse demeure interdite. </w:t>
      </w:r>
    </w:p>
    <w:p w14:paraId="6EF5E6BE" w14:textId="383FE0F7" w:rsidR="00146BDA" w:rsidRPr="00146BDA" w:rsidRDefault="00146BDA" w:rsidP="005926AE">
      <w:pPr>
        <w:pStyle w:val="SingleTxtG"/>
        <w:rPr>
          <w:lang w:val="fr-FR"/>
        </w:rPr>
      </w:pPr>
      <w:r w:rsidRPr="00146BDA">
        <w:rPr>
          <w:lang w:val="fr-FR"/>
        </w:rPr>
        <w:t>76.</w:t>
      </w:r>
      <w:r w:rsidRPr="00146BDA">
        <w:rPr>
          <w:lang w:val="fr-FR"/>
        </w:rPr>
        <w:tab/>
        <w:t>Toutefois, il est prévu dans l’article 35 du Code de déontologie médicale du Sénégal une unique exception : « Il ne peut être procédé à un avortement thérapeutique que si cette intervention est le seul moyen susceptible de sauvegarder la vie de la mère</w:t>
      </w:r>
      <w:r w:rsidR="008A5262">
        <w:rPr>
          <w:lang w:val="fr-FR"/>
        </w:rPr>
        <w:t>.</w:t>
      </w:r>
      <w:r w:rsidRPr="00146BDA">
        <w:rPr>
          <w:lang w:val="fr-FR"/>
        </w:rPr>
        <w:t xml:space="preserve"> ». </w:t>
      </w:r>
    </w:p>
    <w:p w14:paraId="6AA1FC95" w14:textId="5522241A" w:rsidR="00146BDA" w:rsidRPr="00146BDA" w:rsidRDefault="00B54287" w:rsidP="007F5E8F">
      <w:pPr>
        <w:pStyle w:val="H1G"/>
        <w:rPr>
          <w:lang w:val="fr-FR"/>
        </w:rPr>
      </w:pPr>
      <w:r>
        <w:rPr>
          <w:lang w:val="fr-FR"/>
        </w:rPr>
        <w:tab/>
      </w:r>
      <w:r w:rsidR="00146BDA" w:rsidRPr="00146BDA">
        <w:rPr>
          <w:lang w:val="fr-FR"/>
        </w:rPr>
        <w:tab/>
        <w:t>Article 3</w:t>
      </w:r>
    </w:p>
    <w:p w14:paraId="6363E02E" w14:textId="3AA8858E" w:rsidR="00146BDA" w:rsidRPr="00146BDA" w:rsidRDefault="00B54287" w:rsidP="00B54287">
      <w:pPr>
        <w:pStyle w:val="H23G"/>
        <w:rPr>
          <w:rFonts w:eastAsia="Calibri"/>
          <w:sz w:val="24"/>
          <w:szCs w:val="24"/>
          <w:lang w:val="fr-FR"/>
        </w:rPr>
      </w:pPr>
      <w:r>
        <w:tab/>
      </w:r>
      <w:r>
        <w:tab/>
        <w:t>Réponse au paragraphe 10 a) et b) de la liste de points</w:t>
      </w:r>
      <w:r w:rsidR="00146BDA" w:rsidRPr="00146BDA">
        <w:rPr>
          <w:rFonts w:eastAsia="Calibri"/>
          <w:sz w:val="24"/>
          <w:szCs w:val="24"/>
          <w:lang w:val="fr-FR"/>
        </w:rPr>
        <w:t xml:space="preserve"> </w:t>
      </w:r>
    </w:p>
    <w:p w14:paraId="69A8717E" w14:textId="1B9240E5" w:rsidR="00794E0E" w:rsidRDefault="00146BDA" w:rsidP="005926AE">
      <w:pPr>
        <w:pStyle w:val="SingleTxtG"/>
        <w:rPr>
          <w:lang w:val="fr-FR"/>
        </w:rPr>
      </w:pPr>
      <w:r w:rsidRPr="00146BDA">
        <w:rPr>
          <w:lang w:val="fr-FR"/>
        </w:rPr>
        <w:t>77.</w:t>
      </w:r>
      <w:r>
        <w:rPr>
          <w:lang w:val="fr-FR"/>
        </w:rPr>
        <w:t xml:space="preserve"> </w:t>
      </w:r>
      <w:r w:rsidR="009F23C6">
        <w:rPr>
          <w:lang w:val="fr-FR"/>
        </w:rPr>
        <w:tab/>
      </w:r>
      <w:r w:rsidRPr="00146BDA">
        <w:rPr>
          <w:lang w:val="fr-FR"/>
        </w:rPr>
        <w:t>Sur les statistiques :</w:t>
      </w:r>
    </w:p>
    <w:p w14:paraId="13FEF85B" w14:textId="28B7AC6C"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Entre mai 2018 et décembre 2021, les </w:t>
      </w:r>
      <w:r w:rsidR="008A5262">
        <w:rPr>
          <w:lang w:val="fr-FR"/>
        </w:rPr>
        <w:t>a</w:t>
      </w:r>
      <w:r w:rsidR="00146BDA" w:rsidRPr="00146BDA">
        <w:rPr>
          <w:lang w:val="fr-FR"/>
        </w:rPr>
        <w:t>utorités sénégalaises ont enregistré 424 demandes d’asile, réparties comme suit :</w:t>
      </w:r>
    </w:p>
    <w:tbl>
      <w:tblPr>
        <w:tblStyle w:val="TableGrid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514"/>
        <w:gridCol w:w="1464"/>
        <w:gridCol w:w="1464"/>
        <w:gridCol w:w="1464"/>
        <w:gridCol w:w="1464"/>
      </w:tblGrid>
      <w:tr w:rsidR="008A5262" w:rsidRPr="006D217C" w14:paraId="27EA1C01" w14:textId="77777777" w:rsidTr="008A5262">
        <w:trPr>
          <w:tblHeader/>
        </w:trPr>
        <w:tc>
          <w:tcPr>
            <w:tcW w:w="1514" w:type="dxa"/>
            <w:shd w:val="clear" w:color="auto" w:fill="auto"/>
            <w:vAlign w:val="bottom"/>
          </w:tcPr>
          <w:p w14:paraId="58D8803C" w14:textId="628E245D" w:rsidR="00146BDA" w:rsidRPr="006D217C" w:rsidRDefault="008A5262" w:rsidP="006D217C">
            <w:pPr>
              <w:suppressAutoHyphens w:val="0"/>
              <w:kinsoku/>
              <w:overflowPunct/>
              <w:autoSpaceDE/>
              <w:autoSpaceDN/>
              <w:adjustRightInd/>
              <w:snapToGrid/>
              <w:spacing w:before="80" w:after="80" w:line="200" w:lineRule="exact"/>
              <w:contextualSpacing/>
              <w:rPr>
                <w:rFonts w:eastAsia="Calibri"/>
                <w:i/>
                <w:sz w:val="16"/>
                <w:szCs w:val="24"/>
              </w:rPr>
            </w:pPr>
            <w:r w:rsidRPr="006D217C">
              <w:rPr>
                <w:rFonts w:eastAsia="Calibri"/>
                <w:i/>
                <w:sz w:val="16"/>
                <w:szCs w:val="24"/>
              </w:rPr>
              <w:t xml:space="preserve">Année </w:t>
            </w:r>
          </w:p>
        </w:tc>
        <w:tc>
          <w:tcPr>
            <w:tcW w:w="1464" w:type="dxa"/>
            <w:shd w:val="clear" w:color="auto" w:fill="auto"/>
            <w:vAlign w:val="bottom"/>
          </w:tcPr>
          <w:p w14:paraId="04BC7589" w14:textId="1D204693" w:rsidR="00146BDA" w:rsidRPr="006D217C" w:rsidRDefault="00146BDA" w:rsidP="006D217C">
            <w:pPr>
              <w:suppressAutoHyphens w:val="0"/>
              <w:kinsoku/>
              <w:overflowPunct/>
              <w:autoSpaceDE/>
              <w:autoSpaceDN/>
              <w:adjustRightInd/>
              <w:snapToGrid/>
              <w:spacing w:before="80" w:after="80" w:line="200" w:lineRule="exact"/>
              <w:contextualSpacing/>
              <w:jc w:val="right"/>
              <w:rPr>
                <w:rFonts w:eastAsia="Calibri"/>
                <w:i/>
                <w:sz w:val="16"/>
                <w:szCs w:val="24"/>
              </w:rPr>
            </w:pPr>
            <w:r w:rsidRPr="006D217C">
              <w:rPr>
                <w:rFonts w:eastAsia="Calibri"/>
                <w:i/>
                <w:sz w:val="16"/>
                <w:szCs w:val="24"/>
              </w:rPr>
              <w:t>Mai 2018</w:t>
            </w:r>
            <w:r w:rsidR="008A5262">
              <w:rPr>
                <w:rFonts w:eastAsia="Calibri"/>
                <w:i/>
                <w:sz w:val="16"/>
                <w:szCs w:val="24"/>
              </w:rPr>
              <w:br/>
            </w:r>
            <w:r w:rsidRPr="006D217C">
              <w:rPr>
                <w:rFonts w:eastAsia="Calibri"/>
                <w:i/>
                <w:sz w:val="16"/>
                <w:szCs w:val="24"/>
              </w:rPr>
              <w:t>-d</w:t>
            </w:r>
            <w:r w:rsidR="008A5262">
              <w:rPr>
                <w:rFonts w:eastAsia="Calibri"/>
                <w:i/>
                <w:sz w:val="16"/>
                <w:szCs w:val="24"/>
              </w:rPr>
              <w:t>é</w:t>
            </w:r>
            <w:r w:rsidRPr="006D217C">
              <w:rPr>
                <w:rFonts w:eastAsia="Calibri"/>
                <w:i/>
                <w:sz w:val="16"/>
                <w:szCs w:val="24"/>
              </w:rPr>
              <w:t>cembre 2019</w:t>
            </w:r>
          </w:p>
        </w:tc>
        <w:tc>
          <w:tcPr>
            <w:tcW w:w="1464" w:type="dxa"/>
            <w:shd w:val="clear" w:color="auto" w:fill="auto"/>
            <w:vAlign w:val="bottom"/>
          </w:tcPr>
          <w:p w14:paraId="4CF5C649" w14:textId="77777777" w:rsidR="00146BDA" w:rsidRPr="006D217C" w:rsidRDefault="00146BDA" w:rsidP="006D217C">
            <w:pPr>
              <w:suppressAutoHyphens w:val="0"/>
              <w:kinsoku/>
              <w:overflowPunct/>
              <w:autoSpaceDE/>
              <w:autoSpaceDN/>
              <w:adjustRightInd/>
              <w:snapToGrid/>
              <w:spacing w:before="80" w:after="80" w:line="200" w:lineRule="exact"/>
              <w:contextualSpacing/>
              <w:jc w:val="right"/>
              <w:rPr>
                <w:rFonts w:eastAsia="Calibri"/>
                <w:i/>
                <w:sz w:val="16"/>
                <w:szCs w:val="24"/>
              </w:rPr>
            </w:pPr>
            <w:r w:rsidRPr="006D217C">
              <w:rPr>
                <w:rFonts w:eastAsia="Calibri"/>
                <w:i/>
                <w:sz w:val="16"/>
                <w:szCs w:val="24"/>
              </w:rPr>
              <w:t>2020</w:t>
            </w:r>
          </w:p>
        </w:tc>
        <w:tc>
          <w:tcPr>
            <w:tcW w:w="1464" w:type="dxa"/>
            <w:shd w:val="clear" w:color="auto" w:fill="auto"/>
            <w:vAlign w:val="bottom"/>
          </w:tcPr>
          <w:p w14:paraId="0BC4BD3B" w14:textId="6C31B855" w:rsidR="00146BDA" w:rsidRPr="006D217C" w:rsidRDefault="00146BDA" w:rsidP="006D217C">
            <w:pPr>
              <w:suppressAutoHyphens w:val="0"/>
              <w:kinsoku/>
              <w:overflowPunct/>
              <w:autoSpaceDE/>
              <w:autoSpaceDN/>
              <w:adjustRightInd/>
              <w:snapToGrid/>
              <w:spacing w:before="80" w:after="80" w:line="200" w:lineRule="exact"/>
              <w:contextualSpacing/>
              <w:jc w:val="right"/>
              <w:rPr>
                <w:rFonts w:eastAsia="Calibri"/>
                <w:i/>
                <w:sz w:val="16"/>
                <w:szCs w:val="24"/>
              </w:rPr>
            </w:pPr>
            <w:r w:rsidRPr="006D217C">
              <w:rPr>
                <w:rFonts w:eastAsia="Calibri"/>
                <w:i/>
                <w:sz w:val="16"/>
                <w:szCs w:val="24"/>
              </w:rPr>
              <w:t xml:space="preserve"> 2021</w:t>
            </w:r>
          </w:p>
        </w:tc>
        <w:tc>
          <w:tcPr>
            <w:tcW w:w="1464" w:type="dxa"/>
            <w:shd w:val="clear" w:color="auto" w:fill="auto"/>
            <w:vAlign w:val="bottom"/>
          </w:tcPr>
          <w:p w14:paraId="159C4AB1" w14:textId="77777777" w:rsidR="00146BDA" w:rsidRPr="006D217C" w:rsidRDefault="00146BDA" w:rsidP="006D217C">
            <w:pPr>
              <w:suppressAutoHyphens w:val="0"/>
              <w:kinsoku/>
              <w:overflowPunct/>
              <w:autoSpaceDE/>
              <w:autoSpaceDN/>
              <w:adjustRightInd/>
              <w:snapToGrid/>
              <w:spacing w:before="80" w:after="80" w:line="200" w:lineRule="exact"/>
              <w:contextualSpacing/>
              <w:jc w:val="right"/>
              <w:rPr>
                <w:rFonts w:eastAsia="Calibri"/>
                <w:b/>
                <w:bCs/>
                <w:i/>
                <w:sz w:val="16"/>
                <w:szCs w:val="24"/>
              </w:rPr>
            </w:pPr>
            <w:r w:rsidRPr="006D217C">
              <w:rPr>
                <w:rFonts w:eastAsia="Calibri"/>
                <w:b/>
                <w:bCs/>
                <w:i/>
                <w:sz w:val="16"/>
                <w:szCs w:val="24"/>
              </w:rPr>
              <w:t xml:space="preserve">Total </w:t>
            </w:r>
          </w:p>
        </w:tc>
      </w:tr>
      <w:tr w:rsidR="008A5262" w:rsidRPr="006D217C" w14:paraId="3BE2AF38" w14:textId="77777777" w:rsidTr="006D217C">
        <w:tc>
          <w:tcPr>
            <w:tcW w:w="1514" w:type="dxa"/>
            <w:shd w:val="clear" w:color="auto" w:fill="auto"/>
          </w:tcPr>
          <w:p w14:paraId="5B411293" w14:textId="77777777" w:rsidR="00146BDA" w:rsidRPr="006D217C" w:rsidRDefault="00146BDA" w:rsidP="006D217C">
            <w:pPr>
              <w:suppressAutoHyphens w:val="0"/>
              <w:kinsoku/>
              <w:overflowPunct/>
              <w:autoSpaceDE/>
              <w:autoSpaceDN/>
              <w:adjustRightInd/>
              <w:snapToGrid/>
              <w:spacing w:before="40" w:after="40" w:line="220" w:lineRule="exact"/>
              <w:contextualSpacing/>
              <w:rPr>
                <w:rFonts w:eastAsia="Calibri"/>
                <w:sz w:val="18"/>
                <w:szCs w:val="24"/>
              </w:rPr>
            </w:pPr>
            <w:r w:rsidRPr="006D217C">
              <w:rPr>
                <w:rFonts w:eastAsia="Calibri"/>
                <w:sz w:val="18"/>
                <w:szCs w:val="24"/>
              </w:rPr>
              <w:t xml:space="preserve">Nombre de cas </w:t>
            </w:r>
          </w:p>
        </w:tc>
        <w:tc>
          <w:tcPr>
            <w:tcW w:w="1464" w:type="dxa"/>
            <w:shd w:val="clear" w:color="auto" w:fill="auto"/>
            <w:vAlign w:val="bottom"/>
          </w:tcPr>
          <w:p w14:paraId="6A7284CA" w14:textId="7A402F79" w:rsidR="00146BDA" w:rsidRPr="006D217C" w:rsidRDefault="00146BDA" w:rsidP="006D217C">
            <w:pPr>
              <w:suppressAutoHyphens w:val="0"/>
              <w:kinsoku/>
              <w:overflowPunct/>
              <w:autoSpaceDE/>
              <w:autoSpaceDN/>
              <w:adjustRightInd/>
              <w:snapToGrid/>
              <w:spacing w:before="40" w:after="40" w:line="220" w:lineRule="exact"/>
              <w:contextualSpacing/>
              <w:jc w:val="right"/>
              <w:rPr>
                <w:rFonts w:eastAsia="Calibri"/>
                <w:sz w:val="18"/>
                <w:szCs w:val="24"/>
              </w:rPr>
            </w:pPr>
            <w:r w:rsidRPr="006D217C">
              <w:rPr>
                <w:rFonts w:eastAsia="Calibri"/>
                <w:sz w:val="18"/>
                <w:szCs w:val="24"/>
              </w:rPr>
              <w:t>64</w:t>
            </w:r>
          </w:p>
        </w:tc>
        <w:tc>
          <w:tcPr>
            <w:tcW w:w="1464" w:type="dxa"/>
            <w:shd w:val="clear" w:color="auto" w:fill="auto"/>
            <w:vAlign w:val="bottom"/>
          </w:tcPr>
          <w:p w14:paraId="465D2F18" w14:textId="77777777" w:rsidR="00146BDA" w:rsidRPr="006D217C" w:rsidRDefault="00146BDA" w:rsidP="006D217C">
            <w:pPr>
              <w:suppressAutoHyphens w:val="0"/>
              <w:kinsoku/>
              <w:overflowPunct/>
              <w:autoSpaceDE/>
              <w:autoSpaceDN/>
              <w:adjustRightInd/>
              <w:snapToGrid/>
              <w:spacing w:before="40" w:after="40" w:line="220" w:lineRule="exact"/>
              <w:contextualSpacing/>
              <w:jc w:val="right"/>
              <w:rPr>
                <w:rFonts w:eastAsia="Calibri"/>
                <w:sz w:val="18"/>
                <w:szCs w:val="24"/>
              </w:rPr>
            </w:pPr>
            <w:r w:rsidRPr="006D217C">
              <w:rPr>
                <w:rFonts w:eastAsia="Calibri"/>
                <w:sz w:val="18"/>
                <w:szCs w:val="24"/>
              </w:rPr>
              <w:t>180</w:t>
            </w:r>
          </w:p>
        </w:tc>
        <w:tc>
          <w:tcPr>
            <w:tcW w:w="1464" w:type="dxa"/>
            <w:shd w:val="clear" w:color="auto" w:fill="auto"/>
            <w:vAlign w:val="bottom"/>
          </w:tcPr>
          <w:p w14:paraId="7FE49344" w14:textId="0B6A1D09" w:rsidR="00146BDA" w:rsidRPr="006D217C" w:rsidRDefault="00146BDA" w:rsidP="006D217C">
            <w:pPr>
              <w:suppressAutoHyphens w:val="0"/>
              <w:kinsoku/>
              <w:overflowPunct/>
              <w:autoSpaceDE/>
              <w:autoSpaceDN/>
              <w:adjustRightInd/>
              <w:snapToGrid/>
              <w:spacing w:before="40" w:after="40" w:line="220" w:lineRule="exact"/>
              <w:contextualSpacing/>
              <w:jc w:val="right"/>
              <w:rPr>
                <w:rFonts w:eastAsia="Calibri"/>
                <w:sz w:val="18"/>
                <w:szCs w:val="24"/>
              </w:rPr>
            </w:pPr>
            <w:r w:rsidRPr="006D217C">
              <w:rPr>
                <w:rFonts w:eastAsia="Calibri"/>
                <w:sz w:val="18"/>
                <w:szCs w:val="24"/>
              </w:rPr>
              <w:t>180</w:t>
            </w:r>
          </w:p>
        </w:tc>
        <w:tc>
          <w:tcPr>
            <w:tcW w:w="1464" w:type="dxa"/>
            <w:shd w:val="clear" w:color="auto" w:fill="auto"/>
            <w:vAlign w:val="bottom"/>
          </w:tcPr>
          <w:p w14:paraId="7EF298F3" w14:textId="77777777" w:rsidR="00146BDA" w:rsidRPr="006D217C" w:rsidRDefault="00146BDA" w:rsidP="006D217C">
            <w:pPr>
              <w:suppressAutoHyphens w:val="0"/>
              <w:kinsoku/>
              <w:overflowPunct/>
              <w:autoSpaceDE/>
              <w:autoSpaceDN/>
              <w:adjustRightInd/>
              <w:snapToGrid/>
              <w:spacing w:before="40" w:after="40" w:line="220" w:lineRule="exact"/>
              <w:contextualSpacing/>
              <w:jc w:val="right"/>
              <w:rPr>
                <w:rFonts w:eastAsia="Calibri"/>
                <w:b/>
                <w:bCs/>
                <w:sz w:val="18"/>
                <w:szCs w:val="24"/>
              </w:rPr>
            </w:pPr>
            <w:r w:rsidRPr="006D217C">
              <w:rPr>
                <w:rFonts w:eastAsia="Calibri"/>
                <w:b/>
                <w:bCs/>
                <w:sz w:val="18"/>
                <w:szCs w:val="24"/>
              </w:rPr>
              <w:t>424</w:t>
            </w:r>
          </w:p>
        </w:tc>
      </w:tr>
    </w:tbl>
    <w:p w14:paraId="5EDF2C5D" w14:textId="4A89EF8C" w:rsidR="00146BDA" w:rsidRPr="00146BDA" w:rsidRDefault="006D217C" w:rsidP="00832A7B">
      <w:pPr>
        <w:pStyle w:val="Bullet1G"/>
        <w:numPr>
          <w:ilvl w:val="0"/>
          <w:numId w:val="0"/>
        </w:numPr>
        <w:tabs>
          <w:tab w:val="left" w:pos="1701"/>
        </w:tabs>
        <w:spacing w:before="240"/>
        <w:ind w:left="1701" w:hanging="170"/>
        <w:rPr>
          <w:lang w:val="fr-FR"/>
        </w:rPr>
      </w:pPr>
      <w:r w:rsidRPr="00146BDA">
        <w:rPr>
          <w:lang w:val="fr-FR"/>
        </w:rPr>
        <w:t>•</w:t>
      </w:r>
      <w:r w:rsidRPr="00146BDA">
        <w:rPr>
          <w:lang w:val="fr-FR"/>
        </w:rPr>
        <w:tab/>
      </w:r>
      <w:r w:rsidR="00146BDA" w:rsidRPr="00146BDA">
        <w:rPr>
          <w:lang w:val="fr-FR"/>
        </w:rPr>
        <w:t>En 2021, sur les 180 demandeurs d’asile, 50</w:t>
      </w:r>
      <w:r w:rsidR="00923003">
        <w:rPr>
          <w:lang w:val="fr-FR"/>
        </w:rPr>
        <w:t> </w:t>
      </w:r>
      <w:r w:rsidR="00146BDA" w:rsidRPr="00146BDA">
        <w:rPr>
          <w:lang w:val="fr-FR"/>
        </w:rPr>
        <w:t>%, soit 90 requérants ont obtenu le statut de réfugiés, dont 70</w:t>
      </w:r>
      <w:r w:rsidR="00923003">
        <w:rPr>
          <w:lang w:val="fr-FR"/>
        </w:rPr>
        <w:t> </w:t>
      </w:r>
      <w:r w:rsidR="00146BDA" w:rsidRPr="00146BDA">
        <w:rPr>
          <w:lang w:val="fr-FR"/>
        </w:rPr>
        <w:t>% d’hommes et 30</w:t>
      </w:r>
      <w:r w:rsidR="00923003">
        <w:rPr>
          <w:lang w:val="fr-FR"/>
        </w:rPr>
        <w:t> </w:t>
      </w:r>
      <w:r w:rsidR="00146BDA" w:rsidRPr="00146BDA">
        <w:rPr>
          <w:lang w:val="fr-FR"/>
        </w:rPr>
        <w:t>% de femmes. Le tableau n</w:t>
      </w:r>
      <w:r w:rsidR="00923003" w:rsidRPr="006D217C">
        <w:rPr>
          <w:vertAlign w:val="superscript"/>
          <w:lang w:val="fr-FR"/>
        </w:rPr>
        <w:t>o</w:t>
      </w:r>
      <w:r w:rsidR="00923003">
        <w:rPr>
          <w:lang w:val="fr-FR"/>
        </w:rPr>
        <w:t> </w:t>
      </w:r>
      <w:r w:rsidR="00146BDA" w:rsidRPr="00146BDA">
        <w:rPr>
          <w:lang w:val="fr-FR"/>
        </w:rPr>
        <w:t>1 résume les statistiques pour l’année 2021.</w:t>
      </w:r>
    </w:p>
    <w:p w14:paraId="32B5DE0B" w14:textId="51B5E7C9"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En 2020, sur les 180 demandeurs d’asile, 70 requérants ont obtenu le droit d’asile. Le tableau n</w:t>
      </w:r>
      <w:r w:rsidR="00146BDA" w:rsidRPr="006D217C">
        <w:rPr>
          <w:vertAlign w:val="superscript"/>
          <w:lang w:val="fr-FR"/>
        </w:rPr>
        <w:t>o</w:t>
      </w:r>
      <w:r w:rsidR="00923003">
        <w:rPr>
          <w:lang w:val="fr-FR"/>
        </w:rPr>
        <w:t> </w:t>
      </w:r>
      <w:r w:rsidR="00146BDA" w:rsidRPr="00146BDA">
        <w:rPr>
          <w:lang w:val="fr-FR"/>
        </w:rPr>
        <w:t>2 résume les statistiques pour l’année 2020.</w:t>
      </w:r>
    </w:p>
    <w:p w14:paraId="061416A1" w14:textId="5EF0A9FB"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 xml:space="preserve">S’agissant des années 2018 et 2019, l’état actuel des données ne permet pas de produire un tableau statistique. Il convient toutefois de noter que : </w:t>
      </w:r>
    </w:p>
    <w:p w14:paraId="4BB4CEAB" w14:textId="48ED9EC4" w:rsidR="00146BDA" w:rsidRPr="00146BDA" w:rsidRDefault="006D217C" w:rsidP="006D217C">
      <w:pPr>
        <w:pStyle w:val="Bullet2G"/>
        <w:numPr>
          <w:ilvl w:val="0"/>
          <w:numId w:val="0"/>
        </w:numPr>
        <w:tabs>
          <w:tab w:val="left" w:pos="2268"/>
        </w:tabs>
        <w:ind w:left="2268" w:hanging="170"/>
        <w:rPr>
          <w:lang w:val="fr-FR"/>
        </w:rPr>
      </w:pPr>
      <w:r w:rsidRPr="00146BDA">
        <w:rPr>
          <w:lang w:val="fr-FR"/>
        </w:rPr>
        <w:t>•</w:t>
      </w:r>
      <w:r w:rsidRPr="00146BDA">
        <w:rPr>
          <w:lang w:val="fr-FR"/>
        </w:rPr>
        <w:tab/>
      </w:r>
      <w:r w:rsidR="00146BDA" w:rsidRPr="00146BDA">
        <w:rPr>
          <w:lang w:val="fr-FR"/>
        </w:rPr>
        <w:t xml:space="preserve">Sur les 64 requêtes 19 ont fait l’objet d’un avis favorable contre 45 rejets ; </w:t>
      </w:r>
    </w:p>
    <w:p w14:paraId="72694817" w14:textId="64310DDC" w:rsidR="00146BDA" w:rsidRPr="00146BDA" w:rsidRDefault="006D217C" w:rsidP="006D217C">
      <w:pPr>
        <w:pStyle w:val="Bullet2G"/>
        <w:numPr>
          <w:ilvl w:val="0"/>
          <w:numId w:val="0"/>
        </w:numPr>
        <w:tabs>
          <w:tab w:val="left" w:pos="2268"/>
        </w:tabs>
        <w:ind w:left="2268" w:hanging="170"/>
        <w:rPr>
          <w:lang w:val="fr-FR"/>
        </w:rPr>
      </w:pPr>
      <w:r w:rsidRPr="00146BDA">
        <w:rPr>
          <w:lang w:val="fr-FR"/>
        </w:rPr>
        <w:t>•</w:t>
      </w:r>
      <w:r w:rsidRPr="00146BDA">
        <w:rPr>
          <w:lang w:val="fr-FR"/>
        </w:rPr>
        <w:tab/>
      </w:r>
      <w:r w:rsidR="00146BDA" w:rsidRPr="00146BDA">
        <w:rPr>
          <w:lang w:val="fr-FR"/>
        </w:rPr>
        <w:t>Les 19 réfugiés sont répartis comme suit :</w:t>
      </w:r>
    </w:p>
    <w:p w14:paraId="4BFF8F9E" w14:textId="3D8CF8C9" w:rsidR="00146BDA" w:rsidRPr="00146BDA" w:rsidRDefault="006D217C" w:rsidP="006D217C">
      <w:pPr>
        <w:pStyle w:val="Bullet2G"/>
        <w:numPr>
          <w:ilvl w:val="0"/>
          <w:numId w:val="0"/>
        </w:numPr>
        <w:tabs>
          <w:tab w:val="left" w:pos="2268"/>
        </w:tabs>
        <w:ind w:left="2268" w:hanging="170"/>
        <w:rPr>
          <w:lang w:val="fr-FR"/>
        </w:rPr>
      </w:pPr>
      <w:r w:rsidRPr="00146BDA">
        <w:rPr>
          <w:lang w:val="fr-FR"/>
        </w:rPr>
        <w:t>•</w:t>
      </w:r>
      <w:r w:rsidRPr="00146BDA">
        <w:rPr>
          <w:lang w:val="fr-FR"/>
        </w:rPr>
        <w:tab/>
      </w:r>
      <w:r w:rsidR="00146BDA" w:rsidRPr="00146BDA">
        <w:rPr>
          <w:lang w:val="fr-FR"/>
        </w:rPr>
        <w:t xml:space="preserve">16 citoyens centrafricains, dont le pays traverse une crise politico-sécuritaire ; </w:t>
      </w:r>
    </w:p>
    <w:p w14:paraId="26358494" w14:textId="7C009625" w:rsidR="00146BDA" w:rsidRPr="00146BDA" w:rsidRDefault="006D217C" w:rsidP="006D217C">
      <w:pPr>
        <w:pStyle w:val="Bullet2G"/>
        <w:numPr>
          <w:ilvl w:val="0"/>
          <w:numId w:val="0"/>
        </w:numPr>
        <w:tabs>
          <w:tab w:val="left" w:pos="2268"/>
        </w:tabs>
        <w:ind w:left="2268" w:hanging="170"/>
        <w:rPr>
          <w:lang w:val="fr-FR"/>
        </w:rPr>
      </w:pPr>
      <w:r w:rsidRPr="00146BDA">
        <w:rPr>
          <w:lang w:val="fr-FR"/>
        </w:rPr>
        <w:t>•</w:t>
      </w:r>
      <w:r w:rsidRPr="00146BDA">
        <w:rPr>
          <w:lang w:val="fr-FR"/>
        </w:rPr>
        <w:tab/>
      </w:r>
      <w:r w:rsidR="00146BDA" w:rsidRPr="00146BDA">
        <w:rPr>
          <w:lang w:val="fr-FR"/>
        </w:rPr>
        <w:t>2 citoyens burundais ayant quitté leur pays, en raison de la détérioration de la situation politique et sécuritaire consécutive à la réforme constitutionnelle intervenue en 2018</w:t>
      </w:r>
      <w:r w:rsidR="008A5262">
        <w:rPr>
          <w:lang w:val="fr-FR"/>
        </w:rPr>
        <w:t> ;</w:t>
      </w:r>
    </w:p>
    <w:p w14:paraId="6E2BF5FC" w14:textId="62413E51" w:rsidR="00146BDA" w:rsidRPr="00146BDA" w:rsidRDefault="006D217C" w:rsidP="006D217C">
      <w:pPr>
        <w:pStyle w:val="Bullet2G"/>
        <w:numPr>
          <w:ilvl w:val="0"/>
          <w:numId w:val="0"/>
        </w:numPr>
        <w:tabs>
          <w:tab w:val="left" w:pos="2268"/>
        </w:tabs>
        <w:ind w:left="2268" w:hanging="170"/>
        <w:rPr>
          <w:lang w:val="fr-FR"/>
        </w:rPr>
      </w:pPr>
      <w:r w:rsidRPr="00146BDA">
        <w:rPr>
          <w:lang w:val="fr-FR"/>
        </w:rPr>
        <w:t>•</w:t>
      </w:r>
      <w:r w:rsidRPr="00146BDA">
        <w:rPr>
          <w:lang w:val="fr-FR"/>
        </w:rPr>
        <w:tab/>
      </w:r>
      <w:r w:rsidR="00146BDA" w:rsidRPr="00146BDA">
        <w:rPr>
          <w:lang w:val="fr-FR"/>
        </w:rPr>
        <w:t xml:space="preserve">1 citoyen turc, membre du mouvement « </w:t>
      </w:r>
      <w:proofErr w:type="spellStart"/>
      <w:r w:rsidR="00146BDA" w:rsidRPr="00146BDA">
        <w:rPr>
          <w:lang w:val="fr-FR"/>
        </w:rPr>
        <w:t>Hizmet</w:t>
      </w:r>
      <w:proofErr w:type="spellEnd"/>
      <w:r w:rsidR="00146BDA" w:rsidRPr="00146BDA">
        <w:rPr>
          <w:lang w:val="fr-FR"/>
        </w:rPr>
        <w:t xml:space="preserve"> » de </w:t>
      </w:r>
      <w:proofErr w:type="spellStart"/>
      <w:r w:rsidR="00146BDA" w:rsidRPr="00146BDA">
        <w:rPr>
          <w:lang w:val="fr-FR"/>
        </w:rPr>
        <w:t>Fethullah</w:t>
      </w:r>
      <w:proofErr w:type="spellEnd"/>
      <w:r w:rsidR="00146BDA" w:rsidRPr="00146BDA">
        <w:rPr>
          <w:lang w:val="fr-FR"/>
        </w:rPr>
        <w:t xml:space="preserve"> </w:t>
      </w:r>
      <w:proofErr w:type="spellStart"/>
      <w:r w:rsidR="00146BDA" w:rsidRPr="00146BDA">
        <w:rPr>
          <w:lang w:val="fr-FR"/>
        </w:rPr>
        <w:t>Gulen</w:t>
      </w:r>
      <w:proofErr w:type="spellEnd"/>
      <w:r w:rsidR="008A5262">
        <w:rPr>
          <w:lang w:val="fr-FR"/>
        </w:rPr>
        <w:t> ;</w:t>
      </w:r>
    </w:p>
    <w:p w14:paraId="4A56FB23" w14:textId="53403BC1" w:rsidR="00146BDA" w:rsidRPr="005926AE" w:rsidRDefault="006D217C" w:rsidP="006D217C">
      <w:pPr>
        <w:pStyle w:val="Bullet1G"/>
        <w:numPr>
          <w:ilvl w:val="0"/>
          <w:numId w:val="0"/>
        </w:numPr>
        <w:tabs>
          <w:tab w:val="left" w:pos="1701"/>
        </w:tabs>
        <w:ind w:left="1701" w:hanging="170"/>
        <w:rPr>
          <w:lang w:val="fr-FR"/>
        </w:rPr>
      </w:pPr>
      <w:r w:rsidRPr="005926AE">
        <w:rPr>
          <w:lang w:val="fr-FR"/>
        </w:rPr>
        <w:t>•</w:t>
      </w:r>
      <w:r w:rsidRPr="005926AE">
        <w:rPr>
          <w:lang w:val="fr-FR"/>
        </w:rPr>
        <w:tab/>
      </w:r>
      <w:r w:rsidR="00146BDA" w:rsidRPr="00146BDA">
        <w:rPr>
          <w:lang w:val="fr-FR"/>
        </w:rPr>
        <w:t>Au 31 décembre 2021, le nombre total de réfugiés au Sénégal est de 14</w:t>
      </w:r>
      <w:r w:rsidR="008A5262">
        <w:rPr>
          <w:lang w:val="fr-FR"/>
        </w:rPr>
        <w:t> </w:t>
      </w:r>
      <w:r w:rsidR="00146BDA" w:rsidRPr="00146BDA">
        <w:rPr>
          <w:lang w:val="fr-FR"/>
        </w:rPr>
        <w:t>440.</w:t>
      </w:r>
    </w:p>
    <w:p w14:paraId="3FA01FFE" w14:textId="461FFF30" w:rsidR="00146BDA" w:rsidRPr="00146BDA" w:rsidRDefault="00146BDA" w:rsidP="00146BDA">
      <w:pPr>
        <w:pStyle w:val="H23G"/>
      </w:pPr>
      <w:r>
        <w:lastRenderedPageBreak/>
        <w:tab/>
      </w:r>
      <w:r>
        <w:tab/>
      </w:r>
      <w:r w:rsidRPr="006D217C">
        <w:rPr>
          <w:b w:val="0"/>
          <w:bCs/>
        </w:rPr>
        <w:t xml:space="preserve">Tableau </w:t>
      </w:r>
      <w:r w:rsidR="00923003">
        <w:rPr>
          <w:b w:val="0"/>
          <w:bCs/>
        </w:rPr>
        <w:t>n</w:t>
      </w:r>
      <w:r w:rsidR="00923003" w:rsidRPr="006D217C">
        <w:rPr>
          <w:b w:val="0"/>
          <w:bCs/>
          <w:vertAlign w:val="superscript"/>
        </w:rPr>
        <w:t>o</w:t>
      </w:r>
      <w:r w:rsidR="00923003">
        <w:rPr>
          <w:b w:val="0"/>
          <w:bCs/>
        </w:rPr>
        <w:t> </w:t>
      </w:r>
      <w:r w:rsidR="00977818" w:rsidRPr="006D217C">
        <w:rPr>
          <w:b w:val="0"/>
          <w:bCs/>
        </w:rPr>
        <w:t>1</w:t>
      </w:r>
      <w:r w:rsidR="00977818">
        <w:br/>
      </w:r>
      <w:r w:rsidRPr="00146BDA">
        <w:t>Présentation des statistiques de 2021</w:t>
      </w:r>
    </w:p>
    <w:tbl>
      <w:tblPr>
        <w:tblStyle w:val="TableGrid2"/>
        <w:tblW w:w="7370" w:type="dxa"/>
        <w:tblInd w:w="1134" w:type="dxa"/>
        <w:tblLayout w:type="fixed"/>
        <w:tblCellMar>
          <w:left w:w="0" w:type="dxa"/>
          <w:right w:w="0" w:type="dxa"/>
        </w:tblCellMar>
        <w:tblLook w:val="04A0" w:firstRow="1" w:lastRow="0" w:firstColumn="1" w:lastColumn="0" w:noHBand="0" w:noVBand="1"/>
      </w:tblPr>
      <w:tblGrid>
        <w:gridCol w:w="860"/>
        <w:gridCol w:w="651"/>
        <w:gridCol w:w="651"/>
        <w:gridCol w:w="651"/>
        <w:gridCol w:w="651"/>
        <w:gridCol w:w="651"/>
        <w:gridCol w:w="651"/>
        <w:gridCol w:w="651"/>
        <w:gridCol w:w="651"/>
        <w:gridCol w:w="651"/>
        <w:gridCol w:w="651"/>
      </w:tblGrid>
      <w:tr w:rsidR="00C51269" w:rsidRPr="006D217C" w14:paraId="31196C33" w14:textId="77777777" w:rsidTr="006D217C">
        <w:trPr>
          <w:cantSplit/>
          <w:trHeight w:val="1444"/>
          <w:tblHeader/>
        </w:trPr>
        <w:tc>
          <w:tcPr>
            <w:tcW w:w="860" w:type="dxa"/>
            <w:tcBorders>
              <w:top w:val="single" w:sz="4" w:space="0" w:color="auto"/>
              <w:left w:val="nil"/>
              <w:bottom w:val="single" w:sz="12" w:space="0" w:color="auto"/>
              <w:right w:val="nil"/>
              <w:tl2br w:val="single" w:sz="4" w:space="0" w:color="auto"/>
            </w:tcBorders>
            <w:shd w:val="clear" w:color="auto" w:fill="auto"/>
            <w:vAlign w:val="bottom"/>
          </w:tcPr>
          <w:p w14:paraId="2CA0D62B" w14:textId="548DB34C" w:rsidR="00C51269" w:rsidRPr="006D217C" w:rsidRDefault="00C51269" w:rsidP="006D217C">
            <w:pPr>
              <w:suppressAutoHyphens w:val="0"/>
              <w:spacing w:before="80" w:after="80" w:line="200" w:lineRule="exact"/>
              <w:rPr>
                <w:rFonts w:eastAsia="Calibri"/>
                <w:i/>
                <w:spacing w:val="4"/>
                <w:w w:val="103"/>
                <w:kern w:val="14"/>
                <w:sz w:val="14"/>
                <w:szCs w:val="14"/>
              </w:rPr>
            </w:pPr>
            <w:r w:rsidRPr="006D217C">
              <w:rPr>
                <w:rFonts w:eastAsia="Calibri"/>
                <w:i/>
                <w:noProof/>
                <w:spacing w:val="4"/>
                <w:w w:val="103"/>
                <w:kern w:val="14"/>
                <w:sz w:val="14"/>
                <w:szCs w:val="14"/>
                <w:lang w:val="en-GB" w:eastAsia="en-GB"/>
              </w:rPr>
              <mc:AlternateContent>
                <mc:Choice Requires="wps">
                  <w:drawing>
                    <wp:anchor distT="0" distB="0" distL="114300" distR="114300" simplePos="0" relativeHeight="251661312" behindDoc="0" locked="0" layoutInCell="1" allowOverlap="1" wp14:anchorId="0D39BA83" wp14:editId="604EFF5C">
                      <wp:simplePos x="0" y="0"/>
                      <wp:positionH relativeFrom="column">
                        <wp:posOffset>232410</wp:posOffset>
                      </wp:positionH>
                      <wp:positionV relativeFrom="paragraph">
                        <wp:posOffset>-633730</wp:posOffset>
                      </wp:positionV>
                      <wp:extent cx="406400" cy="245110"/>
                      <wp:effectExtent l="0" t="0" r="0" b="2540"/>
                      <wp:wrapNone/>
                      <wp:docPr id="4" name="Zone de texte 1"/>
                      <wp:cNvGraphicFramePr/>
                      <a:graphic xmlns:a="http://schemas.openxmlformats.org/drawingml/2006/main">
                        <a:graphicData uri="http://schemas.microsoft.com/office/word/2010/wordprocessingShape">
                          <wps:wsp>
                            <wps:cNvSpPr txBox="1"/>
                            <wps:spPr>
                              <a:xfrm>
                                <a:off x="0" y="0"/>
                                <a:ext cx="406400" cy="245110"/>
                              </a:xfrm>
                              <a:prstGeom prst="rect">
                                <a:avLst/>
                              </a:prstGeom>
                              <a:solidFill>
                                <a:sysClr val="window" lastClr="FFFFFF"/>
                              </a:solidFill>
                              <a:ln w="6350">
                                <a:noFill/>
                              </a:ln>
                            </wps:spPr>
                            <wps:txbx>
                              <w:txbxContent>
                                <w:p w14:paraId="6C16BEBC" w14:textId="77777777" w:rsidR="00C51269" w:rsidRPr="006D217C" w:rsidRDefault="00C51269" w:rsidP="00146BDA">
                                  <w:pPr>
                                    <w:jc w:val="center"/>
                                    <w:rPr>
                                      <w:i/>
                                      <w:iCs/>
                                      <w:sz w:val="16"/>
                                      <w:szCs w:val="16"/>
                                      <w:lang w:val="fr-CA"/>
                                    </w:rPr>
                                  </w:pPr>
                                  <w:r w:rsidRPr="006D217C">
                                    <w:rPr>
                                      <w:i/>
                                      <w:iCs/>
                                      <w:sz w:val="16"/>
                                      <w:szCs w:val="16"/>
                                      <w:lang w:val="fr-CA"/>
                                    </w:rPr>
                                    <w:t>Sexe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9BA83" id="_x0000_t202" coordsize="21600,21600" o:spt="202" path="m,l,21600r21600,l21600,xe">
                      <v:stroke joinstyle="miter"/>
                      <v:path gradientshapeok="t" o:connecttype="rect"/>
                    </v:shapetype>
                    <v:shape id="Zone de texte 1" o:spid="_x0000_s1026" type="#_x0000_t202" style="position:absolute;margin-left:18.3pt;margin-top:-49.9pt;width:32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" fillcolor="window" stroked="f" strokeweight=".5pt">
                      <v:textbox>
                        <w:txbxContent>
                          <w:p w14:paraId="6C16BEBC" w14:textId="77777777" w:rsidR="00C51269" w:rsidRPr="006D217C" w:rsidRDefault="00C51269" w:rsidP="00146BDA">
                            <w:pPr>
                              <w:jc w:val="center"/>
                              <w:rPr>
                                <w:i/>
                                <w:iCs/>
                                <w:sz w:val="16"/>
                                <w:szCs w:val="16"/>
                                <w:lang w:val="fr-CA"/>
                              </w:rPr>
                            </w:pPr>
                            <w:r w:rsidRPr="006D217C">
                              <w:rPr>
                                <w:i/>
                                <w:iCs/>
                                <w:sz w:val="16"/>
                                <w:szCs w:val="16"/>
                                <w:lang w:val="fr-CA"/>
                              </w:rPr>
                              <w:t>Sexe</w:t>
                            </w:r>
                          </w:p>
                        </w:txbxContent>
                      </v:textbox>
                    </v:shape>
                  </w:pict>
                </mc:Fallback>
              </mc:AlternateContent>
            </w:r>
            <w:r w:rsidRPr="006D217C">
              <w:rPr>
                <w:rFonts w:eastAsia="Calibri"/>
                <w:i/>
                <w:spacing w:val="4"/>
                <w:w w:val="103"/>
                <w:kern w:val="14"/>
                <w:sz w:val="14"/>
                <w:szCs w:val="14"/>
              </w:rPr>
              <w:t>2021</w:t>
            </w:r>
          </w:p>
        </w:tc>
        <w:tc>
          <w:tcPr>
            <w:tcW w:w="651" w:type="dxa"/>
            <w:tcBorders>
              <w:top w:val="single" w:sz="4" w:space="0" w:color="auto"/>
              <w:left w:val="nil"/>
              <w:bottom w:val="single" w:sz="12" w:space="0" w:color="auto"/>
              <w:right w:val="nil"/>
            </w:tcBorders>
            <w:shd w:val="clear" w:color="auto" w:fill="auto"/>
            <w:textDirection w:val="btLr"/>
            <w:vAlign w:val="bottom"/>
          </w:tcPr>
          <w:p w14:paraId="3144FCCC" w14:textId="5B2442CC"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Demandeurs d’asile</w:t>
            </w:r>
          </w:p>
        </w:tc>
        <w:tc>
          <w:tcPr>
            <w:tcW w:w="651" w:type="dxa"/>
            <w:tcBorders>
              <w:top w:val="single" w:sz="4" w:space="0" w:color="auto"/>
              <w:left w:val="nil"/>
              <w:bottom w:val="single" w:sz="12" w:space="0" w:color="auto"/>
              <w:right w:val="nil"/>
            </w:tcBorders>
            <w:shd w:val="clear" w:color="auto" w:fill="auto"/>
            <w:textDirection w:val="btLr"/>
            <w:vAlign w:val="bottom"/>
          </w:tcPr>
          <w:p w14:paraId="3EA2FB65"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Bénéficiaires du Statut de réfugié</w:t>
            </w:r>
          </w:p>
        </w:tc>
        <w:tc>
          <w:tcPr>
            <w:tcW w:w="651" w:type="dxa"/>
            <w:tcBorders>
              <w:top w:val="single" w:sz="4" w:space="0" w:color="auto"/>
              <w:left w:val="nil"/>
              <w:bottom w:val="single" w:sz="12" w:space="0" w:color="auto"/>
              <w:right w:val="nil"/>
            </w:tcBorders>
            <w:shd w:val="clear" w:color="auto" w:fill="auto"/>
            <w:textDirection w:val="btLr"/>
            <w:vAlign w:val="bottom"/>
          </w:tcPr>
          <w:p w14:paraId="0D933101"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Hommes</w:t>
            </w:r>
          </w:p>
        </w:tc>
        <w:tc>
          <w:tcPr>
            <w:tcW w:w="651" w:type="dxa"/>
            <w:tcBorders>
              <w:top w:val="single" w:sz="4" w:space="0" w:color="auto"/>
              <w:left w:val="nil"/>
              <w:bottom w:val="single" w:sz="12" w:space="0" w:color="auto"/>
              <w:right w:val="nil"/>
            </w:tcBorders>
            <w:shd w:val="clear" w:color="auto" w:fill="auto"/>
            <w:textDirection w:val="btLr"/>
            <w:vAlign w:val="bottom"/>
          </w:tcPr>
          <w:p w14:paraId="62CBA8A3"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Femme</w:t>
            </w:r>
          </w:p>
        </w:tc>
        <w:tc>
          <w:tcPr>
            <w:tcW w:w="651" w:type="dxa"/>
            <w:tcBorders>
              <w:top w:val="single" w:sz="4" w:space="0" w:color="auto"/>
              <w:left w:val="nil"/>
              <w:bottom w:val="single" w:sz="12" w:space="0" w:color="auto"/>
              <w:right w:val="nil"/>
            </w:tcBorders>
            <w:shd w:val="clear" w:color="auto" w:fill="auto"/>
            <w:textDirection w:val="btLr"/>
            <w:vAlign w:val="bottom"/>
          </w:tcPr>
          <w:p w14:paraId="3A1154AD"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Adulte</w:t>
            </w:r>
          </w:p>
        </w:tc>
        <w:tc>
          <w:tcPr>
            <w:tcW w:w="651" w:type="dxa"/>
            <w:tcBorders>
              <w:top w:val="single" w:sz="4" w:space="0" w:color="auto"/>
              <w:left w:val="nil"/>
              <w:bottom w:val="single" w:sz="12" w:space="0" w:color="auto"/>
              <w:right w:val="nil"/>
            </w:tcBorders>
            <w:shd w:val="clear" w:color="auto" w:fill="auto"/>
            <w:textDirection w:val="btLr"/>
            <w:vAlign w:val="bottom"/>
          </w:tcPr>
          <w:p w14:paraId="45EA340F"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Mineur</w:t>
            </w:r>
          </w:p>
        </w:tc>
        <w:tc>
          <w:tcPr>
            <w:tcW w:w="651" w:type="dxa"/>
            <w:tcBorders>
              <w:top w:val="single" w:sz="4" w:space="0" w:color="auto"/>
              <w:left w:val="nil"/>
              <w:bottom w:val="single" w:sz="12" w:space="0" w:color="auto"/>
              <w:right w:val="nil"/>
            </w:tcBorders>
            <w:shd w:val="clear" w:color="auto" w:fill="auto"/>
            <w:textDirection w:val="btLr"/>
            <w:vAlign w:val="bottom"/>
          </w:tcPr>
          <w:p w14:paraId="44DBFAAA"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RCA</w:t>
            </w:r>
          </w:p>
        </w:tc>
        <w:tc>
          <w:tcPr>
            <w:tcW w:w="651" w:type="dxa"/>
            <w:tcBorders>
              <w:top w:val="single" w:sz="4" w:space="0" w:color="auto"/>
              <w:left w:val="nil"/>
              <w:bottom w:val="single" w:sz="12" w:space="0" w:color="auto"/>
              <w:right w:val="nil"/>
            </w:tcBorders>
            <w:shd w:val="clear" w:color="auto" w:fill="auto"/>
            <w:textDirection w:val="btLr"/>
            <w:vAlign w:val="bottom"/>
          </w:tcPr>
          <w:p w14:paraId="462C3615"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Autres</w:t>
            </w:r>
          </w:p>
        </w:tc>
        <w:tc>
          <w:tcPr>
            <w:tcW w:w="651" w:type="dxa"/>
            <w:tcBorders>
              <w:top w:val="single" w:sz="4" w:space="0" w:color="auto"/>
              <w:left w:val="nil"/>
              <w:bottom w:val="single" w:sz="12" w:space="0" w:color="auto"/>
              <w:right w:val="nil"/>
            </w:tcBorders>
            <w:shd w:val="clear" w:color="auto" w:fill="auto"/>
            <w:textDirection w:val="btLr"/>
            <w:vAlign w:val="bottom"/>
          </w:tcPr>
          <w:p w14:paraId="292393CE" w14:textId="77777777" w:rsidR="00C51269" w:rsidRPr="006D217C" w:rsidRDefault="00C51269" w:rsidP="00146BDA">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Recours formulés</w:t>
            </w:r>
          </w:p>
        </w:tc>
        <w:tc>
          <w:tcPr>
            <w:tcW w:w="651" w:type="dxa"/>
            <w:tcBorders>
              <w:top w:val="single" w:sz="4" w:space="0" w:color="auto"/>
              <w:left w:val="nil"/>
              <w:bottom w:val="single" w:sz="12" w:space="0" w:color="auto"/>
              <w:right w:val="nil"/>
            </w:tcBorders>
            <w:shd w:val="clear" w:color="auto" w:fill="auto"/>
            <w:textDirection w:val="btLr"/>
            <w:vAlign w:val="bottom"/>
          </w:tcPr>
          <w:p w14:paraId="54EA06F3" w14:textId="02971894" w:rsidR="00C51269" w:rsidRPr="006D217C" w:rsidRDefault="00C51269" w:rsidP="006D217C">
            <w:pPr>
              <w:suppressAutoHyphens w:val="0"/>
              <w:spacing w:before="80" w:after="80" w:line="200" w:lineRule="exact"/>
              <w:ind w:left="113" w:right="113"/>
              <w:rPr>
                <w:rFonts w:eastAsia="Calibri"/>
                <w:i/>
                <w:spacing w:val="4"/>
                <w:w w:val="103"/>
                <w:kern w:val="14"/>
                <w:sz w:val="14"/>
                <w:szCs w:val="14"/>
              </w:rPr>
            </w:pPr>
            <w:r w:rsidRPr="006D217C">
              <w:rPr>
                <w:rFonts w:eastAsia="Calibri"/>
                <w:i/>
                <w:spacing w:val="4"/>
                <w:w w:val="103"/>
                <w:kern w:val="14"/>
                <w:sz w:val="14"/>
                <w:szCs w:val="14"/>
              </w:rPr>
              <w:t xml:space="preserve">Bénéficiaires du Statut de réfugié en raison des guerres </w:t>
            </w:r>
          </w:p>
        </w:tc>
      </w:tr>
      <w:tr w:rsidR="00146BDA" w:rsidRPr="00146BDA" w14:paraId="55AE12FE" w14:textId="77777777" w:rsidTr="006D217C">
        <w:tc>
          <w:tcPr>
            <w:tcW w:w="860" w:type="dxa"/>
            <w:tcBorders>
              <w:top w:val="single" w:sz="12" w:space="0" w:color="auto"/>
              <w:left w:val="nil"/>
              <w:bottom w:val="nil"/>
              <w:right w:val="nil"/>
            </w:tcBorders>
            <w:shd w:val="clear" w:color="auto" w:fill="auto"/>
          </w:tcPr>
          <w:p w14:paraId="12CCB33F" w14:textId="0D87B543"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Janvier</w:t>
            </w:r>
          </w:p>
        </w:tc>
        <w:tc>
          <w:tcPr>
            <w:tcW w:w="651" w:type="dxa"/>
            <w:tcBorders>
              <w:top w:val="single" w:sz="12" w:space="0" w:color="auto"/>
              <w:left w:val="nil"/>
              <w:bottom w:val="nil"/>
              <w:right w:val="nil"/>
            </w:tcBorders>
            <w:shd w:val="clear" w:color="auto" w:fill="auto"/>
            <w:vAlign w:val="bottom"/>
          </w:tcPr>
          <w:p w14:paraId="52053AD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single" w:sz="12" w:space="0" w:color="auto"/>
              <w:left w:val="nil"/>
              <w:bottom w:val="nil"/>
              <w:right w:val="nil"/>
            </w:tcBorders>
            <w:shd w:val="clear" w:color="auto" w:fill="auto"/>
            <w:vAlign w:val="bottom"/>
          </w:tcPr>
          <w:p w14:paraId="2DB065B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single" w:sz="12" w:space="0" w:color="auto"/>
              <w:left w:val="nil"/>
              <w:bottom w:val="nil"/>
              <w:right w:val="nil"/>
            </w:tcBorders>
            <w:shd w:val="clear" w:color="auto" w:fill="auto"/>
            <w:vAlign w:val="bottom"/>
          </w:tcPr>
          <w:p w14:paraId="6339E142"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4</w:t>
            </w:r>
          </w:p>
        </w:tc>
        <w:tc>
          <w:tcPr>
            <w:tcW w:w="651" w:type="dxa"/>
            <w:tcBorders>
              <w:top w:val="single" w:sz="12" w:space="0" w:color="auto"/>
              <w:left w:val="nil"/>
              <w:bottom w:val="nil"/>
              <w:right w:val="nil"/>
            </w:tcBorders>
            <w:shd w:val="clear" w:color="auto" w:fill="auto"/>
            <w:vAlign w:val="bottom"/>
          </w:tcPr>
          <w:p w14:paraId="3E83966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2</w:t>
            </w:r>
          </w:p>
        </w:tc>
        <w:tc>
          <w:tcPr>
            <w:tcW w:w="651" w:type="dxa"/>
            <w:tcBorders>
              <w:top w:val="single" w:sz="12" w:space="0" w:color="auto"/>
              <w:left w:val="nil"/>
              <w:bottom w:val="nil"/>
              <w:right w:val="nil"/>
            </w:tcBorders>
            <w:shd w:val="clear" w:color="auto" w:fill="auto"/>
            <w:vAlign w:val="bottom"/>
          </w:tcPr>
          <w:p w14:paraId="592D460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single" w:sz="12" w:space="0" w:color="auto"/>
              <w:left w:val="nil"/>
              <w:bottom w:val="nil"/>
              <w:right w:val="nil"/>
            </w:tcBorders>
            <w:shd w:val="clear" w:color="auto" w:fill="auto"/>
            <w:vAlign w:val="bottom"/>
          </w:tcPr>
          <w:p w14:paraId="38E37FBC"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single" w:sz="12" w:space="0" w:color="auto"/>
              <w:left w:val="nil"/>
              <w:bottom w:val="nil"/>
              <w:right w:val="nil"/>
            </w:tcBorders>
            <w:shd w:val="clear" w:color="auto" w:fill="auto"/>
            <w:vAlign w:val="bottom"/>
          </w:tcPr>
          <w:p w14:paraId="0AA8344E"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single" w:sz="12" w:space="0" w:color="auto"/>
              <w:left w:val="nil"/>
              <w:bottom w:val="nil"/>
              <w:right w:val="nil"/>
            </w:tcBorders>
            <w:shd w:val="clear" w:color="auto" w:fill="auto"/>
            <w:vAlign w:val="bottom"/>
          </w:tcPr>
          <w:p w14:paraId="71EB421D"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single" w:sz="12" w:space="0" w:color="auto"/>
              <w:left w:val="nil"/>
              <w:bottom w:val="nil"/>
              <w:right w:val="nil"/>
            </w:tcBorders>
            <w:shd w:val="clear" w:color="auto" w:fill="auto"/>
            <w:vAlign w:val="bottom"/>
          </w:tcPr>
          <w:p w14:paraId="6954521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single" w:sz="12" w:space="0" w:color="auto"/>
              <w:left w:val="nil"/>
              <w:bottom w:val="nil"/>
              <w:right w:val="nil"/>
            </w:tcBorders>
            <w:shd w:val="clear" w:color="auto" w:fill="auto"/>
            <w:vAlign w:val="bottom"/>
          </w:tcPr>
          <w:p w14:paraId="62DD0FA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r>
      <w:tr w:rsidR="00146BDA" w:rsidRPr="00146BDA" w14:paraId="00CD9CA2" w14:textId="77777777" w:rsidTr="006D217C">
        <w:tc>
          <w:tcPr>
            <w:tcW w:w="860" w:type="dxa"/>
            <w:tcBorders>
              <w:top w:val="nil"/>
              <w:left w:val="nil"/>
              <w:bottom w:val="nil"/>
              <w:right w:val="nil"/>
            </w:tcBorders>
            <w:shd w:val="clear" w:color="auto" w:fill="auto"/>
          </w:tcPr>
          <w:p w14:paraId="121B8340" w14:textId="79968562"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Février</w:t>
            </w:r>
          </w:p>
        </w:tc>
        <w:tc>
          <w:tcPr>
            <w:tcW w:w="651" w:type="dxa"/>
            <w:tcBorders>
              <w:top w:val="nil"/>
              <w:left w:val="nil"/>
              <w:bottom w:val="nil"/>
              <w:right w:val="nil"/>
            </w:tcBorders>
            <w:shd w:val="clear" w:color="auto" w:fill="auto"/>
            <w:vAlign w:val="bottom"/>
          </w:tcPr>
          <w:p w14:paraId="4486F41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nil"/>
              <w:left w:val="nil"/>
              <w:bottom w:val="nil"/>
              <w:right w:val="nil"/>
            </w:tcBorders>
            <w:shd w:val="clear" w:color="auto" w:fill="auto"/>
            <w:vAlign w:val="bottom"/>
          </w:tcPr>
          <w:p w14:paraId="084EAE9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12</w:t>
            </w:r>
          </w:p>
        </w:tc>
        <w:tc>
          <w:tcPr>
            <w:tcW w:w="651" w:type="dxa"/>
            <w:tcBorders>
              <w:top w:val="nil"/>
              <w:left w:val="nil"/>
              <w:bottom w:val="nil"/>
              <w:right w:val="nil"/>
            </w:tcBorders>
            <w:shd w:val="clear" w:color="auto" w:fill="auto"/>
            <w:vAlign w:val="bottom"/>
          </w:tcPr>
          <w:p w14:paraId="4D8B712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797FB5E8"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4</w:t>
            </w:r>
          </w:p>
        </w:tc>
        <w:tc>
          <w:tcPr>
            <w:tcW w:w="651" w:type="dxa"/>
            <w:tcBorders>
              <w:top w:val="nil"/>
              <w:left w:val="nil"/>
              <w:bottom w:val="nil"/>
              <w:right w:val="nil"/>
            </w:tcBorders>
            <w:shd w:val="clear" w:color="auto" w:fill="auto"/>
            <w:vAlign w:val="bottom"/>
          </w:tcPr>
          <w:p w14:paraId="33728AF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12</w:t>
            </w:r>
          </w:p>
        </w:tc>
        <w:tc>
          <w:tcPr>
            <w:tcW w:w="651" w:type="dxa"/>
            <w:tcBorders>
              <w:top w:val="nil"/>
              <w:left w:val="nil"/>
              <w:bottom w:val="nil"/>
              <w:right w:val="nil"/>
            </w:tcBorders>
            <w:shd w:val="clear" w:color="auto" w:fill="auto"/>
            <w:vAlign w:val="bottom"/>
          </w:tcPr>
          <w:p w14:paraId="4C498E4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3CE4194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12</w:t>
            </w:r>
          </w:p>
        </w:tc>
        <w:tc>
          <w:tcPr>
            <w:tcW w:w="651" w:type="dxa"/>
            <w:tcBorders>
              <w:top w:val="nil"/>
              <w:left w:val="nil"/>
              <w:bottom w:val="nil"/>
              <w:right w:val="nil"/>
            </w:tcBorders>
            <w:shd w:val="clear" w:color="auto" w:fill="auto"/>
            <w:vAlign w:val="bottom"/>
          </w:tcPr>
          <w:p w14:paraId="15A995D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25E596D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73D9ACF8"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12</w:t>
            </w:r>
          </w:p>
        </w:tc>
      </w:tr>
      <w:tr w:rsidR="00146BDA" w:rsidRPr="00146BDA" w14:paraId="621D4D15" w14:textId="77777777" w:rsidTr="006D217C">
        <w:tc>
          <w:tcPr>
            <w:tcW w:w="860" w:type="dxa"/>
            <w:tcBorders>
              <w:top w:val="nil"/>
              <w:left w:val="nil"/>
              <w:bottom w:val="nil"/>
              <w:right w:val="nil"/>
            </w:tcBorders>
            <w:shd w:val="clear" w:color="auto" w:fill="auto"/>
          </w:tcPr>
          <w:p w14:paraId="6AFEB41D" w14:textId="01B81AE2"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Mars</w:t>
            </w:r>
          </w:p>
        </w:tc>
        <w:tc>
          <w:tcPr>
            <w:tcW w:w="651" w:type="dxa"/>
            <w:tcBorders>
              <w:top w:val="nil"/>
              <w:left w:val="nil"/>
              <w:bottom w:val="nil"/>
              <w:right w:val="nil"/>
            </w:tcBorders>
            <w:shd w:val="clear" w:color="auto" w:fill="auto"/>
            <w:vAlign w:val="bottom"/>
          </w:tcPr>
          <w:p w14:paraId="48509E6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nil"/>
              <w:left w:val="nil"/>
              <w:bottom w:val="nil"/>
              <w:right w:val="nil"/>
            </w:tcBorders>
            <w:shd w:val="clear" w:color="auto" w:fill="auto"/>
            <w:vAlign w:val="bottom"/>
          </w:tcPr>
          <w:p w14:paraId="57D9503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nil"/>
              <w:right w:val="nil"/>
            </w:tcBorders>
            <w:shd w:val="clear" w:color="auto" w:fill="auto"/>
            <w:vAlign w:val="bottom"/>
          </w:tcPr>
          <w:p w14:paraId="46E86CA2"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7</w:t>
            </w:r>
          </w:p>
        </w:tc>
        <w:tc>
          <w:tcPr>
            <w:tcW w:w="651" w:type="dxa"/>
            <w:tcBorders>
              <w:top w:val="nil"/>
              <w:left w:val="nil"/>
              <w:bottom w:val="nil"/>
              <w:right w:val="nil"/>
            </w:tcBorders>
            <w:shd w:val="clear" w:color="auto" w:fill="auto"/>
            <w:vAlign w:val="bottom"/>
          </w:tcPr>
          <w:p w14:paraId="5D9C645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2</w:t>
            </w:r>
          </w:p>
        </w:tc>
        <w:tc>
          <w:tcPr>
            <w:tcW w:w="651" w:type="dxa"/>
            <w:tcBorders>
              <w:top w:val="nil"/>
              <w:left w:val="nil"/>
              <w:bottom w:val="nil"/>
              <w:right w:val="nil"/>
            </w:tcBorders>
            <w:shd w:val="clear" w:color="auto" w:fill="auto"/>
            <w:vAlign w:val="bottom"/>
          </w:tcPr>
          <w:p w14:paraId="53C1F6C8"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nil"/>
              <w:right w:val="nil"/>
            </w:tcBorders>
            <w:shd w:val="clear" w:color="auto" w:fill="auto"/>
            <w:vAlign w:val="bottom"/>
          </w:tcPr>
          <w:p w14:paraId="532531B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54F047BD"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20FD01D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w:t>
            </w:r>
          </w:p>
        </w:tc>
        <w:tc>
          <w:tcPr>
            <w:tcW w:w="651" w:type="dxa"/>
            <w:tcBorders>
              <w:top w:val="nil"/>
              <w:left w:val="nil"/>
              <w:bottom w:val="nil"/>
              <w:right w:val="nil"/>
            </w:tcBorders>
            <w:shd w:val="clear" w:color="auto" w:fill="auto"/>
            <w:vAlign w:val="bottom"/>
          </w:tcPr>
          <w:p w14:paraId="253C695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19A1754A"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r>
      <w:tr w:rsidR="00146BDA" w:rsidRPr="00146BDA" w14:paraId="232F011C" w14:textId="77777777" w:rsidTr="006D217C">
        <w:tc>
          <w:tcPr>
            <w:tcW w:w="860" w:type="dxa"/>
            <w:tcBorders>
              <w:top w:val="nil"/>
              <w:left w:val="nil"/>
              <w:bottom w:val="nil"/>
              <w:right w:val="nil"/>
            </w:tcBorders>
            <w:shd w:val="clear" w:color="auto" w:fill="auto"/>
          </w:tcPr>
          <w:p w14:paraId="1922F71F" w14:textId="11B37B07"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 xml:space="preserve">Avril </w:t>
            </w:r>
          </w:p>
        </w:tc>
        <w:tc>
          <w:tcPr>
            <w:tcW w:w="651" w:type="dxa"/>
            <w:tcBorders>
              <w:top w:val="nil"/>
              <w:left w:val="nil"/>
              <w:bottom w:val="nil"/>
              <w:right w:val="nil"/>
            </w:tcBorders>
            <w:shd w:val="clear" w:color="auto" w:fill="auto"/>
            <w:vAlign w:val="bottom"/>
          </w:tcPr>
          <w:p w14:paraId="6D6F279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nil"/>
              <w:left w:val="nil"/>
              <w:bottom w:val="nil"/>
              <w:right w:val="nil"/>
            </w:tcBorders>
            <w:shd w:val="clear" w:color="auto" w:fill="auto"/>
            <w:vAlign w:val="bottom"/>
          </w:tcPr>
          <w:p w14:paraId="5C4EC90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nil"/>
              <w:left w:val="nil"/>
              <w:bottom w:val="nil"/>
              <w:right w:val="nil"/>
            </w:tcBorders>
            <w:shd w:val="clear" w:color="auto" w:fill="auto"/>
            <w:vAlign w:val="bottom"/>
          </w:tcPr>
          <w:p w14:paraId="5584325E"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3</w:t>
            </w:r>
          </w:p>
        </w:tc>
        <w:tc>
          <w:tcPr>
            <w:tcW w:w="651" w:type="dxa"/>
            <w:tcBorders>
              <w:top w:val="nil"/>
              <w:left w:val="nil"/>
              <w:bottom w:val="nil"/>
              <w:right w:val="nil"/>
            </w:tcBorders>
            <w:shd w:val="clear" w:color="auto" w:fill="auto"/>
            <w:vAlign w:val="bottom"/>
          </w:tcPr>
          <w:p w14:paraId="4B8D2BE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3</w:t>
            </w:r>
          </w:p>
        </w:tc>
        <w:tc>
          <w:tcPr>
            <w:tcW w:w="651" w:type="dxa"/>
            <w:tcBorders>
              <w:top w:val="nil"/>
              <w:left w:val="nil"/>
              <w:bottom w:val="nil"/>
              <w:right w:val="nil"/>
            </w:tcBorders>
            <w:shd w:val="clear" w:color="auto" w:fill="auto"/>
            <w:vAlign w:val="bottom"/>
          </w:tcPr>
          <w:p w14:paraId="01D9D1AD"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nil"/>
              <w:left w:val="nil"/>
              <w:bottom w:val="nil"/>
              <w:right w:val="nil"/>
            </w:tcBorders>
            <w:shd w:val="clear" w:color="auto" w:fill="auto"/>
            <w:vAlign w:val="bottom"/>
          </w:tcPr>
          <w:p w14:paraId="1C4D996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6802460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nil"/>
              <w:left w:val="nil"/>
              <w:bottom w:val="nil"/>
              <w:right w:val="nil"/>
            </w:tcBorders>
            <w:shd w:val="clear" w:color="auto" w:fill="auto"/>
            <w:vAlign w:val="bottom"/>
          </w:tcPr>
          <w:p w14:paraId="3A44797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6FF3BF29"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74F9834C"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r>
      <w:tr w:rsidR="00146BDA" w:rsidRPr="00146BDA" w14:paraId="57F9C6E7" w14:textId="77777777" w:rsidTr="006D217C">
        <w:tc>
          <w:tcPr>
            <w:tcW w:w="860" w:type="dxa"/>
            <w:tcBorders>
              <w:top w:val="nil"/>
              <w:left w:val="nil"/>
              <w:bottom w:val="nil"/>
              <w:right w:val="nil"/>
            </w:tcBorders>
            <w:shd w:val="clear" w:color="auto" w:fill="auto"/>
          </w:tcPr>
          <w:p w14:paraId="5D4A4472" w14:textId="2535D0C7"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Mai-juin</w:t>
            </w:r>
          </w:p>
        </w:tc>
        <w:tc>
          <w:tcPr>
            <w:tcW w:w="651" w:type="dxa"/>
            <w:tcBorders>
              <w:top w:val="nil"/>
              <w:left w:val="nil"/>
              <w:bottom w:val="nil"/>
              <w:right w:val="nil"/>
            </w:tcBorders>
            <w:shd w:val="clear" w:color="auto" w:fill="auto"/>
            <w:vAlign w:val="bottom"/>
          </w:tcPr>
          <w:p w14:paraId="0530A8E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30</w:t>
            </w:r>
          </w:p>
        </w:tc>
        <w:tc>
          <w:tcPr>
            <w:tcW w:w="651" w:type="dxa"/>
            <w:tcBorders>
              <w:top w:val="nil"/>
              <w:left w:val="nil"/>
              <w:bottom w:val="nil"/>
              <w:right w:val="nil"/>
            </w:tcBorders>
            <w:shd w:val="clear" w:color="auto" w:fill="auto"/>
            <w:vAlign w:val="bottom"/>
          </w:tcPr>
          <w:p w14:paraId="36CB5C9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18</w:t>
            </w:r>
          </w:p>
        </w:tc>
        <w:tc>
          <w:tcPr>
            <w:tcW w:w="651" w:type="dxa"/>
            <w:tcBorders>
              <w:top w:val="nil"/>
              <w:left w:val="nil"/>
              <w:bottom w:val="nil"/>
              <w:right w:val="nil"/>
            </w:tcBorders>
            <w:shd w:val="clear" w:color="auto" w:fill="auto"/>
            <w:vAlign w:val="bottom"/>
          </w:tcPr>
          <w:p w14:paraId="32ABBDB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14</w:t>
            </w:r>
          </w:p>
        </w:tc>
        <w:tc>
          <w:tcPr>
            <w:tcW w:w="651" w:type="dxa"/>
            <w:tcBorders>
              <w:top w:val="nil"/>
              <w:left w:val="nil"/>
              <w:bottom w:val="nil"/>
              <w:right w:val="nil"/>
            </w:tcBorders>
            <w:shd w:val="clear" w:color="auto" w:fill="auto"/>
            <w:vAlign w:val="bottom"/>
          </w:tcPr>
          <w:p w14:paraId="0199B31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4</w:t>
            </w:r>
          </w:p>
        </w:tc>
        <w:tc>
          <w:tcPr>
            <w:tcW w:w="651" w:type="dxa"/>
            <w:tcBorders>
              <w:top w:val="nil"/>
              <w:left w:val="nil"/>
              <w:bottom w:val="nil"/>
              <w:right w:val="nil"/>
            </w:tcBorders>
            <w:shd w:val="clear" w:color="auto" w:fill="auto"/>
            <w:vAlign w:val="bottom"/>
          </w:tcPr>
          <w:p w14:paraId="0077D67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18</w:t>
            </w:r>
          </w:p>
        </w:tc>
        <w:tc>
          <w:tcPr>
            <w:tcW w:w="651" w:type="dxa"/>
            <w:tcBorders>
              <w:top w:val="nil"/>
              <w:left w:val="nil"/>
              <w:bottom w:val="nil"/>
              <w:right w:val="nil"/>
            </w:tcBorders>
            <w:shd w:val="clear" w:color="auto" w:fill="auto"/>
            <w:vAlign w:val="bottom"/>
          </w:tcPr>
          <w:p w14:paraId="106A6E2B"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5E1120AD"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18</w:t>
            </w:r>
          </w:p>
        </w:tc>
        <w:tc>
          <w:tcPr>
            <w:tcW w:w="651" w:type="dxa"/>
            <w:tcBorders>
              <w:top w:val="nil"/>
              <w:left w:val="nil"/>
              <w:bottom w:val="nil"/>
              <w:right w:val="nil"/>
            </w:tcBorders>
            <w:shd w:val="clear" w:color="auto" w:fill="auto"/>
            <w:vAlign w:val="bottom"/>
          </w:tcPr>
          <w:p w14:paraId="521F6F1E"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1AF6A10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028C35D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18</w:t>
            </w:r>
          </w:p>
        </w:tc>
      </w:tr>
      <w:tr w:rsidR="00146BDA" w:rsidRPr="00146BDA" w14:paraId="2A4DA4E0" w14:textId="77777777" w:rsidTr="006D217C">
        <w:tc>
          <w:tcPr>
            <w:tcW w:w="860" w:type="dxa"/>
            <w:tcBorders>
              <w:top w:val="nil"/>
              <w:left w:val="nil"/>
              <w:bottom w:val="nil"/>
              <w:right w:val="nil"/>
            </w:tcBorders>
            <w:shd w:val="clear" w:color="auto" w:fill="auto"/>
          </w:tcPr>
          <w:p w14:paraId="2450714D" w14:textId="6C478B6F"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Juillet</w:t>
            </w:r>
          </w:p>
        </w:tc>
        <w:tc>
          <w:tcPr>
            <w:tcW w:w="651" w:type="dxa"/>
            <w:tcBorders>
              <w:top w:val="nil"/>
              <w:left w:val="nil"/>
              <w:bottom w:val="nil"/>
              <w:right w:val="nil"/>
            </w:tcBorders>
            <w:shd w:val="clear" w:color="auto" w:fill="auto"/>
            <w:vAlign w:val="bottom"/>
          </w:tcPr>
          <w:p w14:paraId="3D17583C"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nil"/>
              <w:left w:val="nil"/>
              <w:bottom w:val="nil"/>
              <w:right w:val="nil"/>
            </w:tcBorders>
            <w:shd w:val="clear" w:color="auto" w:fill="auto"/>
            <w:vAlign w:val="bottom"/>
          </w:tcPr>
          <w:p w14:paraId="43A0D7A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0C7E040D"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6</w:t>
            </w:r>
          </w:p>
        </w:tc>
        <w:tc>
          <w:tcPr>
            <w:tcW w:w="651" w:type="dxa"/>
            <w:tcBorders>
              <w:top w:val="nil"/>
              <w:left w:val="nil"/>
              <w:bottom w:val="nil"/>
              <w:right w:val="nil"/>
            </w:tcBorders>
            <w:shd w:val="clear" w:color="auto" w:fill="auto"/>
            <w:vAlign w:val="bottom"/>
          </w:tcPr>
          <w:p w14:paraId="596E2D2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2</w:t>
            </w:r>
          </w:p>
        </w:tc>
        <w:tc>
          <w:tcPr>
            <w:tcW w:w="651" w:type="dxa"/>
            <w:tcBorders>
              <w:top w:val="nil"/>
              <w:left w:val="nil"/>
              <w:bottom w:val="nil"/>
              <w:right w:val="nil"/>
            </w:tcBorders>
            <w:shd w:val="clear" w:color="auto" w:fill="auto"/>
            <w:vAlign w:val="bottom"/>
          </w:tcPr>
          <w:p w14:paraId="72C7277A"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5D426C41"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583FDA0B"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249CCF6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2ECE9D5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47768EB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r>
      <w:tr w:rsidR="00146BDA" w:rsidRPr="00146BDA" w14:paraId="479276BF" w14:textId="77777777" w:rsidTr="006D217C">
        <w:tc>
          <w:tcPr>
            <w:tcW w:w="860" w:type="dxa"/>
            <w:tcBorders>
              <w:top w:val="nil"/>
              <w:left w:val="nil"/>
              <w:bottom w:val="nil"/>
              <w:right w:val="nil"/>
            </w:tcBorders>
            <w:shd w:val="clear" w:color="auto" w:fill="auto"/>
          </w:tcPr>
          <w:p w14:paraId="7FBAE729" w14:textId="1E87F379"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Ao</w:t>
            </w:r>
            <w:r>
              <w:rPr>
                <w:rFonts w:eastAsia="Calibri"/>
                <w:sz w:val="18"/>
                <w:szCs w:val="24"/>
              </w:rPr>
              <w:t>û</w:t>
            </w:r>
            <w:r w:rsidRPr="00146BDA">
              <w:rPr>
                <w:rFonts w:eastAsia="Calibri"/>
                <w:sz w:val="18"/>
                <w:szCs w:val="24"/>
              </w:rPr>
              <w:t>t-sept</w:t>
            </w:r>
          </w:p>
        </w:tc>
        <w:tc>
          <w:tcPr>
            <w:tcW w:w="651" w:type="dxa"/>
            <w:tcBorders>
              <w:top w:val="nil"/>
              <w:left w:val="nil"/>
              <w:bottom w:val="nil"/>
              <w:right w:val="nil"/>
            </w:tcBorders>
            <w:shd w:val="clear" w:color="auto" w:fill="auto"/>
            <w:vAlign w:val="bottom"/>
          </w:tcPr>
          <w:p w14:paraId="4042FC2B"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30</w:t>
            </w:r>
          </w:p>
        </w:tc>
        <w:tc>
          <w:tcPr>
            <w:tcW w:w="651" w:type="dxa"/>
            <w:tcBorders>
              <w:top w:val="nil"/>
              <w:left w:val="nil"/>
              <w:bottom w:val="nil"/>
              <w:right w:val="nil"/>
            </w:tcBorders>
            <w:shd w:val="clear" w:color="auto" w:fill="auto"/>
            <w:vAlign w:val="bottom"/>
          </w:tcPr>
          <w:p w14:paraId="64D0C33A"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nil"/>
              <w:right w:val="nil"/>
            </w:tcBorders>
            <w:shd w:val="clear" w:color="auto" w:fill="auto"/>
            <w:vAlign w:val="bottom"/>
          </w:tcPr>
          <w:p w14:paraId="37DE7E75"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7</w:t>
            </w:r>
          </w:p>
        </w:tc>
        <w:tc>
          <w:tcPr>
            <w:tcW w:w="651" w:type="dxa"/>
            <w:tcBorders>
              <w:top w:val="nil"/>
              <w:left w:val="nil"/>
              <w:bottom w:val="nil"/>
              <w:right w:val="nil"/>
            </w:tcBorders>
            <w:shd w:val="clear" w:color="auto" w:fill="auto"/>
            <w:vAlign w:val="bottom"/>
          </w:tcPr>
          <w:p w14:paraId="6DA6280A"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2</w:t>
            </w:r>
          </w:p>
        </w:tc>
        <w:tc>
          <w:tcPr>
            <w:tcW w:w="651" w:type="dxa"/>
            <w:tcBorders>
              <w:top w:val="nil"/>
              <w:left w:val="nil"/>
              <w:bottom w:val="nil"/>
              <w:right w:val="nil"/>
            </w:tcBorders>
            <w:shd w:val="clear" w:color="auto" w:fill="auto"/>
            <w:vAlign w:val="bottom"/>
          </w:tcPr>
          <w:p w14:paraId="1A5B0A29"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nil"/>
              <w:right w:val="nil"/>
            </w:tcBorders>
            <w:shd w:val="clear" w:color="auto" w:fill="auto"/>
            <w:vAlign w:val="bottom"/>
          </w:tcPr>
          <w:p w14:paraId="31A18A8E"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1D4D444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c>
          <w:tcPr>
            <w:tcW w:w="651" w:type="dxa"/>
            <w:tcBorders>
              <w:top w:val="nil"/>
              <w:left w:val="nil"/>
              <w:bottom w:val="nil"/>
              <w:right w:val="nil"/>
            </w:tcBorders>
            <w:shd w:val="clear" w:color="auto" w:fill="auto"/>
            <w:vAlign w:val="bottom"/>
          </w:tcPr>
          <w:p w14:paraId="38401CD9"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w:t>
            </w:r>
          </w:p>
        </w:tc>
        <w:tc>
          <w:tcPr>
            <w:tcW w:w="651" w:type="dxa"/>
            <w:tcBorders>
              <w:top w:val="nil"/>
              <w:left w:val="nil"/>
              <w:bottom w:val="nil"/>
              <w:right w:val="nil"/>
            </w:tcBorders>
            <w:shd w:val="clear" w:color="auto" w:fill="auto"/>
            <w:vAlign w:val="bottom"/>
          </w:tcPr>
          <w:p w14:paraId="0E9F8342"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187B26F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8</w:t>
            </w:r>
          </w:p>
        </w:tc>
      </w:tr>
      <w:tr w:rsidR="00146BDA" w:rsidRPr="00146BDA" w14:paraId="03CDC3B7" w14:textId="77777777" w:rsidTr="006D217C">
        <w:tc>
          <w:tcPr>
            <w:tcW w:w="860" w:type="dxa"/>
            <w:tcBorders>
              <w:top w:val="nil"/>
              <w:left w:val="nil"/>
              <w:bottom w:val="nil"/>
              <w:right w:val="nil"/>
            </w:tcBorders>
            <w:shd w:val="clear" w:color="auto" w:fill="auto"/>
          </w:tcPr>
          <w:p w14:paraId="58E24CE2" w14:textId="19A9A820" w:rsidR="00146BDA" w:rsidRPr="00146BDA" w:rsidRDefault="00977818" w:rsidP="00146BDA">
            <w:pPr>
              <w:suppressAutoHyphens w:val="0"/>
              <w:spacing w:before="40" w:after="40" w:line="220" w:lineRule="exact"/>
              <w:rPr>
                <w:rFonts w:eastAsia="Calibri"/>
                <w:sz w:val="18"/>
                <w:szCs w:val="24"/>
              </w:rPr>
            </w:pPr>
            <w:proofErr w:type="spellStart"/>
            <w:r w:rsidRPr="00146BDA">
              <w:rPr>
                <w:rFonts w:eastAsia="Calibri"/>
                <w:sz w:val="18"/>
                <w:szCs w:val="24"/>
              </w:rPr>
              <w:t>Oct-nov</w:t>
            </w:r>
            <w:proofErr w:type="spellEnd"/>
          </w:p>
        </w:tc>
        <w:tc>
          <w:tcPr>
            <w:tcW w:w="651" w:type="dxa"/>
            <w:tcBorders>
              <w:top w:val="nil"/>
              <w:left w:val="nil"/>
              <w:bottom w:val="nil"/>
              <w:right w:val="nil"/>
            </w:tcBorders>
            <w:shd w:val="clear" w:color="auto" w:fill="auto"/>
            <w:vAlign w:val="bottom"/>
          </w:tcPr>
          <w:p w14:paraId="7CAC6F9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30</w:t>
            </w:r>
          </w:p>
        </w:tc>
        <w:tc>
          <w:tcPr>
            <w:tcW w:w="651" w:type="dxa"/>
            <w:tcBorders>
              <w:top w:val="nil"/>
              <w:left w:val="nil"/>
              <w:bottom w:val="nil"/>
              <w:right w:val="nil"/>
            </w:tcBorders>
            <w:shd w:val="clear" w:color="auto" w:fill="auto"/>
            <w:vAlign w:val="bottom"/>
          </w:tcPr>
          <w:p w14:paraId="7E41C67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13</w:t>
            </w:r>
          </w:p>
        </w:tc>
        <w:tc>
          <w:tcPr>
            <w:tcW w:w="651" w:type="dxa"/>
            <w:tcBorders>
              <w:top w:val="nil"/>
              <w:left w:val="nil"/>
              <w:bottom w:val="nil"/>
              <w:right w:val="nil"/>
            </w:tcBorders>
            <w:shd w:val="clear" w:color="auto" w:fill="auto"/>
            <w:vAlign w:val="bottom"/>
          </w:tcPr>
          <w:p w14:paraId="3C6903D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nil"/>
              <w:right w:val="nil"/>
            </w:tcBorders>
            <w:shd w:val="clear" w:color="auto" w:fill="auto"/>
            <w:vAlign w:val="bottom"/>
          </w:tcPr>
          <w:p w14:paraId="23C4A213"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4</w:t>
            </w:r>
          </w:p>
        </w:tc>
        <w:tc>
          <w:tcPr>
            <w:tcW w:w="651" w:type="dxa"/>
            <w:tcBorders>
              <w:top w:val="nil"/>
              <w:left w:val="nil"/>
              <w:bottom w:val="nil"/>
              <w:right w:val="nil"/>
            </w:tcBorders>
            <w:shd w:val="clear" w:color="auto" w:fill="auto"/>
            <w:vAlign w:val="bottom"/>
          </w:tcPr>
          <w:p w14:paraId="498A865F"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13</w:t>
            </w:r>
          </w:p>
        </w:tc>
        <w:tc>
          <w:tcPr>
            <w:tcW w:w="651" w:type="dxa"/>
            <w:tcBorders>
              <w:top w:val="nil"/>
              <w:left w:val="nil"/>
              <w:bottom w:val="nil"/>
              <w:right w:val="nil"/>
            </w:tcBorders>
            <w:shd w:val="clear" w:color="auto" w:fill="auto"/>
            <w:vAlign w:val="bottom"/>
          </w:tcPr>
          <w:p w14:paraId="6251D1B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77E62B58"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13</w:t>
            </w:r>
          </w:p>
        </w:tc>
        <w:tc>
          <w:tcPr>
            <w:tcW w:w="651" w:type="dxa"/>
            <w:tcBorders>
              <w:top w:val="nil"/>
              <w:left w:val="nil"/>
              <w:bottom w:val="nil"/>
              <w:right w:val="nil"/>
            </w:tcBorders>
            <w:shd w:val="clear" w:color="auto" w:fill="auto"/>
            <w:vAlign w:val="bottom"/>
          </w:tcPr>
          <w:p w14:paraId="5419CA13"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7C6A258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nil"/>
              <w:right w:val="nil"/>
            </w:tcBorders>
            <w:shd w:val="clear" w:color="auto" w:fill="auto"/>
            <w:vAlign w:val="bottom"/>
          </w:tcPr>
          <w:p w14:paraId="0F2E71BB"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13</w:t>
            </w:r>
          </w:p>
        </w:tc>
      </w:tr>
      <w:tr w:rsidR="00146BDA" w:rsidRPr="00146BDA" w14:paraId="0C4EFB5E" w14:textId="77777777" w:rsidTr="006D217C">
        <w:tc>
          <w:tcPr>
            <w:tcW w:w="860" w:type="dxa"/>
            <w:tcBorders>
              <w:top w:val="nil"/>
              <w:left w:val="nil"/>
              <w:bottom w:val="single" w:sz="4" w:space="0" w:color="auto"/>
              <w:right w:val="nil"/>
            </w:tcBorders>
            <w:shd w:val="clear" w:color="auto" w:fill="auto"/>
          </w:tcPr>
          <w:p w14:paraId="07DA007A" w14:textId="60941E87" w:rsidR="00146BDA" w:rsidRPr="00146BDA" w:rsidRDefault="00977818" w:rsidP="00146BDA">
            <w:pPr>
              <w:suppressAutoHyphens w:val="0"/>
              <w:spacing w:before="40" w:after="40" w:line="220" w:lineRule="exact"/>
              <w:rPr>
                <w:rFonts w:eastAsia="Calibri"/>
                <w:sz w:val="18"/>
                <w:szCs w:val="24"/>
              </w:rPr>
            </w:pPr>
            <w:r w:rsidRPr="00146BDA">
              <w:rPr>
                <w:rFonts w:eastAsia="Calibri"/>
                <w:sz w:val="18"/>
                <w:szCs w:val="24"/>
              </w:rPr>
              <w:t>Décembre</w:t>
            </w:r>
          </w:p>
        </w:tc>
        <w:tc>
          <w:tcPr>
            <w:tcW w:w="651" w:type="dxa"/>
            <w:tcBorders>
              <w:top w:val="nil"/>
              <w:left w:val="nil"/>
              <w:bottom w:val="single" w:sz="4" w:space="0" w:color="auto"/>
              <w:right w:val="nil"/>
            </w:tcBorders>
            <w:shd w:val="clear" w:color="auto" w:fill="auto"/>
            <w:vAlign w:val="bottom"/>
          </w:tcPr>
          <w:p w14:paraId="5150F640"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15</w:t>
            </w:r>
          </w:p>
        </w:tc>
        <w:tc>
          <w:tcPr>
            <w:tcW w:w="651" w:type="dxa"/>
            <w:tcBorders>
              <w:top w:val="nil"/>
              <w:left w:val="nil"/>
              <w:bottom w:val="single" w:sz="4" w:space="0" w:color="auto"/>
              <w:right w:val="nil"/>
            </w:tcBorders>
            <w:shd w:val="clear" w:color="auto" w:fill="auto"/>
            <w:vAlign w:val="bottom"/>
          </w:tcPr>
          <w:p w14:paraId="2A03DC5A"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single" w:sz="4" w:space="0" w:color="auto"/>
              <w:right w:val="nil"/>
            </w:tcBorders>
            <w:shd w:val="clear" w:color="auto" w:fill="auto"/>
            <w:vAlign w:val="bottom"/>
          </w:tcPr>
          <w:p w14:paraId="71294022"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5</w:t>
            </w:r>
          </w:p>
        </w:tc>
        <w:tc>
          <w:tcPr>
            <w:tcW w:w="651" w:type="dxa"/>
            <w:tcBorders>
              <w:top w:val="nil"/>
              <w:left w:val="nil"/>
              <w:bottom w:val="single" w:sz="4" w:space="0" w:color="auto"/>
              <w:right w:val="nil"/>
            </w:tcBorders>
            <w:shd w:val="clear" w:color="auto" w:fill="auto"/>
            <w:vAlign w:val="bottom"/>
          </w:tcPr>
          <w:p w14:paraId="568E5794"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4</w:t>
            </w:r>
          </w:p>
        </w:tc>
        <w:tc>
          <w:tcPr>
            <w:tcW w:w="651" w:type="dxa"/>
            <w:tcBorders>
              <w:top w:val="nil"/>
              <w:left w:val="nil"/>
              <w:bottom w:val="single" w:sz="4" w:space="0" w:color="auto"/>
              <w:right w:val="nil"/>
            </w:tcBorders>
            <w:shd w:val="clear" w:color="auto" w:fill="auto"/>
            <w:vAlign w:val="bottom"/>
          </w:tcPr>
          <w:p w14:paraId="2DC2B317"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single" w:sz="4" w:space="0" w:color="auto"/>
              <w:right w:val="nil"/>
            </w:tcBorders>
            <w:shd w:val="clear" w:color="auto" w:fill="auto"/>
            <w:vAlign w:val="bottom"/>
          </w:tcPr>
          <w:p w14:paraId="215D4988"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single" w:sz="4" w:space="0" w:color="auto"/>
              <w:right w:val="nil"/>
            </w:tcBorders>
            <w:shd w:val="clear" w:color="auto" w:fill="auto"/>
            <w:vAlign w:val="bottom"/>
          </w:tcPr>
          <w:p w14:paraId="12DAA786"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c>
          <w:tcPr>
            <w:tcW w:w="651" w:type="dxa"/>
            <w:tcBorders>
              <w:top w:val="nil"/>
              <w:left w:val="nil"/>
              <w:bottom w:val="single" w:sz="4" w:space="0" w:color="auto"/>
              <w:right w:val="nil"/>
            </w:tcBorders>
            <w:shd w:val="clear" w:color="auto" w:fill="auto"/>
            <w:vAlign w:val="bottom"/>
          </w:tcPr>
          <w:p w14:paraId="69596D3C"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single" w:sz="4" w:space="0" w:color="auto"/>
              <w:right w:val="nil"/>
            </w:tcBorders>
            <w:shd w:val="clear" w:color="auto" w:fill="auto"/>
            <w:vAlign w:val="bottom"/>
          </w:tcPr>
          <w:p w14:paraId="26C0816C"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X</w:t>
            </w:r>
          </w:p>
        </w:tc>
        <w:tc>
          <w:tcPr>
            <w:tcW w:w="651" w:type="dxa"/>
            <w:tcBorders>
              <w:top w:val="nil"/>
              <w:left w:val="nil"/>
              <w:bottom w:val="single" w:sz="4" w:space="0" w:color="auto"/>
              <w:right w:val="nil"/>
            </w:tcBorders>
            <w:shd w:val="clear" w:color="auto" w:fill="auto"/>
            <w:vAlign w:val="bottom"/>
          </w:tcPr>
          <w:p w14:paraId="4231D1EB" w14:textId="77777777" w:rsidR="00146BDA" w:rsidRPr="00146BDA" w:rsidRDefault="00146BDA" w:rsidP="00146BDA">
            <w:pPr>
              <w:suppressAutoHyphens w:val="0"/>
              <w:spacing w:before="40" w:after="40" w:line="220" w:lineRule="exact"/>
              <w:jc w:val="right"/>
              <w:rPr>
                <w:rFonts w:eastAsia="Calibri"/>
                <w:sz w:val="18"/>
                <w:szCs w:val="24"/>
              </w:rPr>
            </w:pPr>
            <w:r w:rsidRPr="00146BDA">
              <w:rPr>
                <w:rFonts w:eastAsia="Calibri"/>
                <w:sz w:val="18"/>
                <w:szCs w:val="24"/>
              </w:rPr>
              <w:t>9</w:t>
            </w:r>
          </w:p>
        </w:tc>
      </w:tr>
      <w:tr w:rsidR="00146BDA" w:rsidRPr="006D217C" w14:paraId="049924C3" w14:textId="77777777" w:rsidTr="006D217C">
        <w:tc>
          <w:tcPr>
            <w:tcW w:w="860" w:type="dxa"/>
            <w:tcBorders>
              <w:top w:val="single" w:sz="4" w:space="0" w:color="auto"/>
              <w:left w:val="nil"/>
              <w:bottom w:val="single" w:sz="4" w:space="0" w:color="auto"/>
              <w:right w:val="nil"/>
            </w:tcBorders>
            <w:shd w:val="clear" w:color="auto" w:fill="auto"/>
          </w:tcPr>
          <w:p w14:paraId="4D0DF434" w14:textId="570800EF" w:rsidR="00146BDA" w:rsidRPr="006D217C" w:rsidRDefault="00977818" w:rsidP="006D217C">
            <w:pPr>
              <w:suppressAutoHyphens w:val="0"/>
              <w:spacing w:before="80" w:after="80" w:line="220" w:lineRule="exact"/>
              <w:ind w:left="283"/>
              <w:rPr>
                <w:rFonts w:eastAsia="Calibri"/>
                <w:b/>
                <w:sz w:val="18"/>
                <w:szCs w:val="24"/>
              </w:rPr>
            </w:pPr>
            <w:r w:rsidRPr="006D217C">
              <w:rPr>
                <w:rFonts w:eastAsia="Calibri"/>
                <w:b/>
                <w:sz w:val="18"/>
                <w:szCs w:val="24"/>
              </w:rPr>
              <w:t>Total</w:t>
            </w:r>
          </w:p>
        </w:tc>
        <w:tc>
          <w:tcPr>
            <w:tcW w:w="651" w:type="dxa"/>
            <w:tcBorders>
              <w:top w:val="single" w:sz="4" w:space="0" w:color="auto"/>
              <w:left w:val="nil"/>
              <w:bottom w:val="single" w:sz="4" w:space="0" w:color="auto"/>
              <w:right w:val="nil"/>
            </w:tcBorders>
            <w:shd w:val="clear" w:color="auto" w:fill="auto"/>
            <w:vAlign w:val="bottom"/>
          </w:tcPr>
          <w:p w14:paraId="2B5E4B6E"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180</w:t>
            </w:r>
          </w:p>
        </w:tc>
        <w:tc>
          <w:tcPr>
            <w:tcW w:w="651" w:type="dxa"/>
            <w:tcBorders>
              <w:top w:val="single" w:sz="4" w:space="0" w:color="auto"/>
              <w:left w:val="nil"/>
              <w:bottom w:val="single" w:sz="4" w:space="0" w:color="auto"/>
              <w:right w:val="nil"/>
            </w:tcBorders>
            <w:shd w:val="clear" w:color="auto" w:fill="auto"/>
            <w:vAlign w:val="bottom"/>
          </w:tcPr>
          <w:p w14:paraId="5B807AF3"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90</w:t>
            </w:r>
          </w:p>
        </w:tc>
        <w:tc>
          <w:tcPr>
            <w:tcW w:w="651" w:type="dxa"/>
            <w:tcBorders>
              <w:top w:val="single" w:sz="4" w:space="0" w:color="auto"/>
              <w:left w:val="nil"/>
              <w:bottom w:val="single" w:sz="4" w:space="0" w:color="auto"/>
              <w:right w:val="nil"/>
            </w:tcBorders>
            <w:shd w:val="clear" w:color="auto" w:fill="auto"/>
            <w:vAlign w:val="bottom"/>
          </w:tcPr>
          <w:p w14:paraId="6AF99AC2"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63</w:t>
            </w:r>
          </w:p>
        </w:tc>
        <w:tc>
          <w:tcPr>
            <w:tcW w:w="651" w:type="dxa"/>
            <w:tcBorders>
              <w:top w:val="single" w:sz="4" w:space="0" w:color="auto"/>
              <w:left w:val="nil"/>
              <w:bottom w:val="single" w:sz="4" w:space="0" w:color="auto"/>
              <w:right w:val="nil"/>
            </w:tcBorders>
            <w:shd w:val="clear" w:color="auto" w:fill="auto"/>
            <w:vAlign w:val="bottom"/>
          </w:tcPr>
          <w:p w14:paraId="04B3068E"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27</w:t>
            </w:r>
          </w:p>
        </w:tc>
        <w:tc>
          <w:tcPr>
            <w:tcW w:w="651" w:type="dxa"/>
            <w:tcBorders>
              <w:top w:val="single" w:sz="4" w:space="0" w:color="auto"/>
              <w:left w:val="nil"/>
              <w:bottom w:val="single" w:sz="4" w:space="0" w:color="auto"/>
              <w:right w:val="nil"/>
            </w:tcBorders>
            <w:shd w:val="clear" w:color="auto" w:fill="auto"/>
            <w:vAlign w:val="bottom"/>
          </w:tcPr>
          <w:p w14:paraId="630F35A6"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90</w:t>
            </w:r>
          </w:p>
        </w:tc>
        <w:tc>
          <w:tcPr>
            <w:tcW w:w="651" w:type="dxa"/>
            <w:tcBorders>
              <w:top w:val="single" w:sz="4" w:space="0" w:color="auto"/>
              <w:left w:val="nil"/>
              <w:bottom w:val="single" w:sz="4" w:space="0" w:color="auto"/>
              <w:right w:val="nil"/>
            </w:tcBorders>
            <w:shd w:val="clear" w:color="auto" w:fill="auto"/>
            <w:vAlign w:val="bottom"/>
          </w:tcPr>
          <w:p w14:paraId="598A06C2"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X</w:t>
            </w:r>
          </w:p>
        </w:tc>
        <w:tc>
          <w:tcPr>
            <w:tcW w:w="651" w:type="dxa"/>
            <w:tcBorders>
              <w:top w:val="single" w:sz="4" w:space="0" w:color="auto"/>
              <w:left w:val="nil"/>
              <w:bottom w:val="single" w:sz="4" w:space="0" w:color="auto"/>
              <w:right w:val="nil"/>
            </w:tcBorders>
            <w:shd w:val="clear" w:color="auto" w:fill="auto"/>
            <w:vAlign w:val="bottom"/>
          </w:tcPr>
          <w:p w14:paraId="1F321812"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88</w:t>
            </w:r>
          </w:p>
        </w:tc>
        <w:tc>
          <w:tcPr>
            <w:tcW w:w="651" w:type="dxa"/>
            <w:tcBorders>
              <w:top w:val="single" w:sz="4" w:space="0" w:color="auto"/>
              <w:left w:val="nil"/>
              <w:bottom w:val="single" w:sz="4" w:space="0" w:color="auto"/>
              <w:right w:val="nil"/>
            </w:tcBorders>
            <w:shd w:val="clear" w:color="auto" w:fill="auto"/>
            <w:vAlign w:val="bottom"/>
          </w:tcPr>
          <w:p w14:paraId="5FD22AFA"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X</w:t>
            </w:r>
          </w:p>
        </w:tc>
        <w:tc>
          <w:tcPr>
            <w:tcW w:w="651" w:type="dxa"/>
            <w:tcBorders>
              <w:top w:val="single" w:sz="4" w:space="0" w:color="auto"/>
              <w:left w:val="nil"/>
              <w:bottom w:val="single" w:sz="4" w:space="0" w:color="auto"/>
              <w:right w:val="nil"/>
            </w:tcBorders>
            <w:shd w:val="clear" w:color="auto" w:fill="auto"/>
            <w:vAlign w:val="bottom"/>
          </w:tcPr>
          <w:p w14:paraId="1CC79AC1"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X</w:t>
            </w:r>
          </w:p>
        </w:tc>
        <w:tc>
          <w:tcPr>
            <w:tcW w:w="651" w:type="dxa"/>
            <w:tcBorders>
              <w:top w:val="single" w:sz="4" w:space="0" w:color="auto"/>
              <w:left w:val="nil"/>
              <w:bottom w:val="single" w:sz="4" w:space="0" w:color="auto"/>
              <w:right w:val="nil"/>
            </w:tcBorders>
            <w:shd w:val="clear" w:color="auto" w:fill="auto"/>
            <w:vAlign w:val="bottom"/>
          </w:tcPr>
          <w:p w14:paraId="3088A11A" w14:textId="77777777"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88</w:t>
            </w:r>
          </w:p>
        </w:tc>
      </w:tr>
      <w:tr w:rsidR="00146BDA" w:rsidRPr="006D217C" w14:paraId="59930EDA" w14:textId="77777777" w:rsidTr="006D217C">
        <w:tc>
          <w:tcPr>
            <w:tcW w:w="860" w:type="dxa"/>
            <w:tcBorders>
              <w:top w:val="single" w:sz="4" w:space="0" w:color="auto"/>
              <w:left w:val="nil"/>
              <w:bottom w:val="single" w:sz="12" w:space="0" w:color="auto"/>
              <w:right w:val="nil"/>
            </w:tcBorders>
            <w:shd w:val="clear" w:color="auto" w:fill="auto"/>
          </w:tcPr>
          <w:p w14:paraId="0223F6CE" w14:textId="713B7A3B" w:rsidR="00146BDA" w:rsidRPr="006D217C" w:rsidRDefault="00977818" w:rsidP="006D217C">
            <w:pPr>
              <w:suppressAutoHyphens w:val="0"/>
              <w:spacing w:before="80" w:after="80" w:line="220" w:lineRule="exact"/>
              <w:ind w:left="283"/>
              <w:rPr>
                <w:rFonts w:eastAsia="Calibri"/>
                <w:b/>
                <w:sz w:val="18"/>
                <w:szCs w:val="24"/>
              </w:rPr>
            </w:pPr>
            <w:r w:rsidRPr="006D217C">
              <w:rPr>
                <w:rFonts w:eastAsia="Calibri"/>
                <w:b/>
                <w:sz w:val="18"/>
                <w:szCs w:val="24"/>
              </w:rPr>
              <w:t>Total en %</w:t>
            </w:r>
          </w:p>
        </w:tc>
        <w:tc>
          <w:tcPr>
            <w:tcW w:w="651" w:type="dxa"/>
            <w:tcBorders>
              <w:top w:val="single" w:sz="4" w:space="0" w:color="auto"/>
              <w:left w:val="nil"/>
              <w:bottom w:val="single" w:sz="12" w:space="0" w:color="auto"/>
              <w:right w:val="nil"/>
            </w:tcBorders>
            <w:shd w:val="clear" w:color="auto" w:fill="auto"/>
            <w:vAlign w:val="bottom"/>
          </w:tcPr>
          <w:p w14:paraId="38BFE586" w14:textId="74C3E695"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100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34D5115C" w14:textId="1A71D78B"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50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6D07D26E" w14:textId="1C66BB40"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70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6020C842" w14:textId="2C2A523B"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30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64AF8762" w14:textId="6EA15BF3"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100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3CE99AA9" w14:textId="3F517429"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68DF19FD" w14:textId="32E21E8A"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98</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51F4DB85" w14:textId="27BA5F36"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2</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39966AA3" w14:textId="33E3749B"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0</w:t>
            </w:r>
            <w:r w:rsidR="00D06DFE">
              <w:rPr>
                <w:rFonts w:eastAsia="Calibri"/>
                <w:b/>
                <w:sz w:val="18"/>
                <w:szCs w:val="24"/>
              </w:rPr>
              <w:t xml:space="preserve"> </w:t>
            </w:r>
            <w:r w:rsidRPr="006D217C">
              <w:rPr>
                <w:rFonts w:eastAsia="Calibri"/>
                <w:b/>
                <w:sz w:val="18"/>
                <w:szCs w:val="24"/>
              </w:rPr>
              <w:t>%</w:t>
            </w:r>
          </w:p>
        </w:tc>
        <w:tc>
          <w:tcPr>
            <w:tcW w:w="651" w:type="dxa"/>
            <w:tcBorders>
              <w:top w:val="single" w:sz="4" w:space="0" w:color="auto"/>
              <w:left w:val="nil"/>
              <w:bottom w:val="single" w:sz="12" w:space="0" w:color="auto"/>
              <w:right w:val="nil"/>
            </w:tcBorders>
            <w:shd w:val="clear" w:color="auto" w:fill="auto"/>
            <w:vAlign w:val="bottom"/>
          </w:tcPr>
          <w:p w14:paraId="5A85C994" w14:textId="37FD3DEB" w:rsidR="00146BDA" w:rsidRPr="006D217C" w:rsidRDefault="00146BDA" w:rsidP="006D217C">
            <w:pPr>
              <w:suppressAutoHyphens w:val="0"/>
              <w:spacing w:before="80" w:after="80" w:line="220" w:lineRule="exact"/>
              <w:jc w:val="right"/>
              <w:rPr>
                <w:rFonts w:eastAsia="Calibri"/>
                <w:b/>
                <w:sz w:val="18"/>
                <w:szCs w:val="24"/>
              </w:rPr>
            </w:pPr>
            <w:r w:rsidRPr="006D217C">
              <w:rPr>
                <w:rFonts w:eastAsia="Calibri"/>
                <w:b/>
                <w:sz w:val="18"/>
                <w:szCs w:val="24"/>
              </w:rPr>
              <w:t>98</w:t>
            </w:r>
            <w:r w:rsidR="00D06DFE">
              <w:rPr>
                <w:rFonts w:eastAsia="Calibri"/>
                <w:b/>
                <w:sz w:val="18"/>
                <w:szCs w:val="24"/>
              </w:rPr>
              <w:t xml:space="preserve"> </w:t>
            </w:r>
            <w:r w:rsidRPr="006D217C">
              <w:rPr>
                <w:rFonts w:eastAsia="Calibri"/>
                <w:b/>
                <w:sz w:val="18"/>
                <w:szCs w:val="24"/>
              </w:rPr>
              <w:t>%</w:t>
            </w:r>
          </w:p>
        </w:tc>
      </w:tr>
    </w:tbl>
    <w:p w14:paraId="0297F8CA" w14:textId="6F1E4771" w:rsidR="00146BDA" w:rsidRPr="00146BDA" w:rsidRDefault="00146BDA" w:rsidP="00146BDA">
      <w:pPr>
        <w:pStyle w:val="H23G"/>
      </w:pPr>
      <w:r>
        <w:tab/>
      </w:r>
      <w:r>
        <w:tab/>
      </w:r>
      <w:r w:rsidRPr="006D217C">
        <w:rPr>
          <w:b w:val="0"/>
          <w:bCs/>
        </w:rPr>
        <w:t xml:space="preserve">Tableau </w:t>
      </w:r>
      <w:r w:rsidR="00923003">
        <w:rPr>
          <w:b w:val="0"/>
          <w:bCs/>
        </w:rPr>
        <w:t>n</w:t>
      </w:r>
      <w:r w:rsidR="00923003" w:rsidRPr="006D217C">
        <w:rPr>
          <w:b w:val="0"/>
          <w:bCs/>
          <w:vertAlign w:val="superscript"/>
        </w:rPr>
        <w:t>o</w:t>
      </w:r>
      <w:r w:rsidR="00923003">
        <w:rPr>
          <w:b w:val="0"/>
          <w:bCs/>
        </w:rPr>
        <w:t> </w:t>
      </w:r>
      <w:r w:rsidRPr="006D217C">
        <w:rPr>
          <w:b w:val="0"/>
          <w:bCs/>
        </w:rPr>
        <w:t>2</w:t>
      </w:r>
      <w:r w:rsidR="002F6E06">
        <w:br/>
        <w:t>P</w:t>
      </w:r>
      <w:r w:rsidRPr="00146BDA">
        <w:t>résentation des statistiques pour l’année 2020</w:t>
      </w:r>
    </w:p>
    <w:tbl>
      <w:tblPr>
        <w:tblW w:w="7370" w:type="dxa"/>
        <w:tblInd w:w="1134" w:type="dxa"/>
        <w:tblLayout w:type="fixed"/>
        <w:tblCellMar>
          <w:left w:w="0" w:type="dxa"/>
          <w:right w:w="0" w:type="dxa"/>
        </w:tblCellMar>
        <w:tblLook w:val="04A0" w:firstRow="1" w:lastRow="0" w:firstColumn="1" w:lastColumn="0" w:noHBand="0" w:noVBand="1"/>
      </w:tblPr>
      <w:tblGrid>
        <w:gridCol w:w="1278"/>
        <w:gridCol w:w="1218"/>
        <w:gridCol w:w="1218"/>
        <w:gridCol w:w="1219"/>
        <w:gridCol w:w="1218"/>
        <w:gridCol w:w="1219"/>
      </w:tblGrid>
      <w:tr w:rsidR="002F6E06" w:rsidRPr="006D217C" w14:paraId="4DE8F8CD" w14:textId="77777777" w:rsidTr="002F6E06">
        <w:trPr>
          <w:tblHeader/>
        </w:trPr>
        <w:tc>
          <w:tcPr>
            <w:tcW w:w="1278" w:type="dxa"/>
            <w:tcBorders>
              <w:top w:val="single" w:sz="4" w:space="0" w:color="auto"/>
              <w:bottom w:val="single" w:sz="12" w:space="0" w:color="auto"/>
            </w:tcBorders>
            <w:shd w:val="clear" w:color="auto" w:fill="auto"/>
            <w:vAlign w:val="bottom"/>
            <w:hideMark/>
          </w:tcPr>
          <w:p w14:paraId="1B30132F" w14:textId="7E5330DA" w:rsidR="00146BDA" w:rsidRPr="006D217C" w:rsidRDefault="002F6E06" w:rsidP="006D217C">
            <w:pPr>
              <w:suppressAutoHyphens w:val="0"/>
              <w:spacing w:before="80" w:after="80" w:line="200" w:lineRule="exact"/>
              <w:rPr>
                <w:rFonts w:eastAsia="Times New Roman"/>
                <w:bCs/>
                <w:i/>
                <w:sz w:val="16"/>
                <w:szCs w:val="24"/>
                <w:lang w:eastAsia="fr-FR"/>
              </w:rPr>
            </w:pPr>
            <w:r w:rsidRPr="006D217C">
              <w:rPr>
                <w:rFonts w:eastAsia="Times New Roman"/>
                <w:bCs/>
                <w:i/>
                <w:sz w:val="16"/>
                <w:szCs w:val="24"/>
                <w:lang w:eastAsia="fr-FR"/>
              </w:rPr>
              <w:t>Mois</w:t>
            </w:r>
          </w:p>
        </w:tc>
        <w:tc>
          <w:tcPr>
            <w:tcW w:w="1218" w:type="dxa"/>
            <w:tcBorders>
              <w:top w:val="single" w:sz="4" w:space="0" w:color="auto"/>
              <w:bottom w:val="single" w:sz="12" w:space="0" w:color="auto"/>
            </w:tcBorders>
            <w:shd w:val="clear" w:color="auto" w:fill="auto"/>
            <w:vAlign w:val="bottom"/>
            <w:hideMark/>
          </w:tcPr>
          <w:p w14:paraId="1E5CB597" w14:textId="78FD1D38" w:rsidR="00146BDA" w:rsidRPr="006D217C" w:rsidRDefault="002F6E06" w:rsidP="006D217C">
            <w:pPr>
              <w:suppressAutoHyphens w:val="0"/>
              <w:spacing w:before="80" w:after="80" w:line="200" w:lineRule="exact"/>
              <w:jc w:val="right"/>
              <w:rPr>
                <w:rFonts w:eastAsia="Times New Roman"/>
                <w:bCs/>
                <w:i/>
                <w:sz w:val="16"/>
                <w:szCs w:val="24"/>
                <w:lang w:eastAsia="fr-FR"/>
              </w:rPr>
            </w:pPr>
            <w:r w:rsidRPr="006D217C">
              <w:rPr>
                <w:rFonts w:eastAsia="Times New Roman"/>
                <w:bCs/>
                <w:i/>
                <w:sz w:val="16"/>
                <w:szCs w:val="24"/>
                <w:lang w:eastAsia="fr-FR"/>
              </w:rPr>
              <w:t xml:space="preserve">Nbre </w:t>
            </w:r>
            <w:r>
              <w:rPr>
                <w:rFonts w:eastAsia="Times New Roman"/>
                <w:bCs/>
                <w:i/>
                <w:sz w:val="16"/>
                <w:szCs w:val="24"/>
                <w:lang w:eastAsia="fr-FR"/>
              </w:rPr>
              <w:t>de r</w:t>
            </w:r>
            <w:r w:rsidRPr="006D217C">
              <w:rPr>
                <w:rFonts w:eastAsia="Times New Roman"/>
                <w:bCs/>
                <w:i/>
                <w:sz w:val="16"/>
                <w:szCs w:val="24"/>
                <w:lang w:eastAsia="fr-FR"/>
              </w:rPr>
              <w:t>equêtes examinées</w:t>
            </w:r>
          </w:p>
        </w:tc>
        <w:tc>
          <w:tcPr>
            <w:tcW w:w="1218" w:type="dxa"/>
            <w:tcBorders>
              <w:top w:val="single" w:sz="4" w:space="0" w:color="auto"/>
              <w:bottom w:val="single" w:sz="12" w:space="0" w:color="auto"/>
            </w:tcBorders>
            <w:shd w:val="clear" w:color="auto" w:fill="auto"/>
            <w:vAlign w:val="bottom"/>
            <w:hideMark/>
          </w:tcPr>
          <w:p w14:paraId="65AF1F38" w14:textId="2156E35C" w:rsidR="00146BDA" w:rsidRPr="006D217C" w:rsidRDefault="002F6E06" w:rsidP="006D217C">
            <w:pPr>
              <w:suppressAutoHyphens w:val="0"/>
              <w:spacing w:before="80" w:after="80" w:line="200" w:lineRule="exact"/>
              <w:jc w:val="right"/>
              <w:rPr>
                <w:rFonts w:eastAsia="Times New Roman"/>
                <w:bCs/>
                <w:i/>
                <w:sz w:val="16"/>
                <w:szCs w:val="24"/>
                <w:lang w:eastAsia="fr-FR"/>
              </w:rPr>
            </w:pPr>
            <w:r w:rsidRPr="006D217C">
              <w:rPr>
                <w:rFonts w:eastAsia="Times New Roman"/>
                <w:bCs/>
                <w:i/>
                <w:sz w:val="16"/>
                <w:szCs w:val="24"/>
                <w:lang w:eastAsia="fr-FR"/>
              </w:rPr>
              <w:t xml:space="preserve">Nbre d’avis favorables </w:t>
            </w:r>
          </w:p>
        </w:tc>
        <w:tc>
          <w:tcPr>
            <w:tcW w:w="1219" w:type="dxa"/>
            <w:tcBorders>
              <w:top w:val="single" w:sz="4" w:space="0" w:color="auto"/>
              <w:bottom w:val="single" w:sz="12" w:space="0" w:color="auto"/>
            </w:tcBorders>
            <w:shd w:val="clear" w:color="auto" w:fill="auto"/>
            <w:vAlign w:val="bottom"/>
            <w:hideMark/>
          </w:tcPr>
          <w:p w14:paraId="0A4D9E7C" w14:textId="12840A8A" w:rsidR="00146BDA" w:rsidRPr="006D217C" w:rsidRDefault="002F6E06" w:rsidP="006D217C">
            <w:pPr>
              <w:suppressAutoHyphens w:val="0"/>
              <w:spacing w:before="80" w:after="80" w:line="200" w:lineRule="exact"/>
              <w:jc w:val="right"/>
              <w:rPr>
                <w:rFonts w:eastAsia="Times New Roman"/>
                <w:bCs/>
                <w:i/>
                <w:sz w:val="16"/>
                <w:szCs w:val="24"/>
                <w:lang w:eastAsia="fr-FR"/>
              </w:rPr>
            </w:pPr>
            <w:r w:rsidRPr="006D217C">
              <w:rPr>
                <w:rFonts w:eastAsia="Times New Roman"/>
                <w:bCs/>
                <w:i/>
                <w:sz w:val="16"/>
                <w:szCs w:val="24"/>
                <w:lang w:eastAsia="fr-FR"/>
              </w:rPr>
              <w:t>Nbre d’avis défavorables</w:t>
            </w:r>
          </w:p>
        </w:tc>
        <w:tc>
          <w:tcPr>
            <w:tcW w:w="1218" w:type="dxa"/>
            <w:tcBorders>
              <w:top w:val="single" w:sz="4" w:space="0" w:color="auto"/>
              <w:bottom w:val="single" w:sz="12" w:space="0" w:color="auto"/>
            </w:tcBorders>
            <w:shd w:val="clear" w:color="auto" w:fill="auto"/>
            <w:vAlign w:val="bottom"/>
            <w:hideMark/>
          </w:tcPr>
          <w:p w14:paraId="5EC5A72E" w14:textId="1E4FA43F" w:rsidR="00146BDA" w:rsidRPr="006D217C" w:rsidRDefault="002F6E06" w:rsidP="006D217C">
            <w:pPr>
              <w:suppressAutoHyphens w:val="0"/>
              <w:spacing w:before="80" w:after="80" w:line="200" w:lineRule="exact"/>
              <w:jc w:val="right"/>
              <w:rPr>
                <w:rFonts w:eastAsia="Times New Roman"/>
                <w:bCs/>
                <w:i/>
                <w:sz w:val="16"/>
                <w:szCs w:val="24"/>
                <w:lang w:eastAsia="fr-FR"/>
              </w:rPr>
            </w:pPr>
            <w:r w:rsidRPr="006D217C">
              <w:rPr>
                <w:rFonts w:eastAsia="Times New Roman"/>
                <w:bCs/>
                <w:i/>
                <w:sz w:val="16"/>
                <w:szCs w:val="24"/>
                <w:lang w:eastAsia="fr-FR"/>
              </w:rPr>
              <w:t xml:space="preserve">Nbre de </w:t>
            </w:r>
            <w:r>
              <w:rPr>
                <w:rFonts w:eastAsia="Times New Roman"/>
                <w:bCs/>
                <w:i/>
                <w:sz w:val="16"/>
                <w:szCs w:val="24"/>
                <w:lang w:eastAsia="fr-FR"/>
              </w:rPr>
              <w:br/>
            </w:r>
            <w:r w:rsidRPr="006D217C">
              <w:rPr>
                <w:rFonts w:eastAsia="Times New Roman"/>
                <w:bCs/>
                <w:i/>
                <w:sz w:val="16"/>
                <w:szCs w:val="24"/>
                <w:lang w:eastAsia="fr-FR"/>
              </w:rPr>
              <w:t>renvois</w:t>
            </w:r>
          </w:p>
        </w:tc>
        <w:tc>
          <w:tcPr>
            <w:tcW w:w="1219" w:type="dxa"/>
            <w:tcBorders>
              <w:top w:val="single" w:sz="4" w:space="0" w:color="auto"/>
              <w:bottom w:val="single" w:sz="12" w:space="0" w:color="auto"/>
            </w:tcBorders>
            <w:shd w:val="clear" w:color="auto" w:fill="auto"/>
            <w:vAlign w:val="bottom"/>
            <w:hideMark/>
          </w:tcPr>
          <w:p w14:paraId="5FAB6906" w14:textId="0403D731" w:rsidR="00146BDA" w:rsidRPr="006D217C" w:rsidRDefault="002F6E06" w:rsidP="006D217C">
            <w:pPr>
              <w:suppressAutoHyphens w:val="0"/>
              <w:spacing w:before="80" w:after="80" w:line="200" w:lineRule="exact"/>
              <w:jc w:val="right"/>
              <w:rPr>
                <w:rFonts w:eastAsia="Times New Roman"/>
                <w:bCs/>
                <w:i/>
                <w:sz w:val="16"/>
                <w:szCs w:val="24"/>
                <w:lang w:eastAsia="fr-FR"/>
              </w:rPr>
            </w:pPr>
            <w:r w:rsidRPr="006D217C">
              <w:rPr>
                <w:rFonts w:eastAsia="Times New Roman"/>
                <w:bCs/>
                <w:i/>
                <w:sz w:val="16"/>
                <w:szCs w:val="24"/>
                <w:lang w:eastAsia="fr-FR"/>
              </w:rPr>
              <w:t xml:space="preserve">Nbre de cas </w:t>
            </w:r>
            <w:r w:rsidR="00977818">
              <w:rPr>
                <w:rFonts w:eastAsia="Times New Roman"/>
                <w:bCs/>
                <w:i/>
                <w:sz w:val="16"/>
                <w:szCs w:val="24"/>
                <w:lang w:eastAsia="fr-FR"/>
              </w:rPr>
              <w:br/>
            </w:r>
            <w:r w:rsidRPr="006D217C">
              <w:rPr>
                <w:rFonts w:eastAsia="Times New Roman"/>
                <w:bCs/>
                <w:i/>
                <w:sz w:val="16"/>
                <w:szCs w:val="24"/>
                <w:lang w:eastAsia="fr-FR"/>
              </w:rPr>
              <w:t>sans objet</w:t>
            </w:r>
          </w:p>
        </w:tc>
      </w:tr>
      <w:tr w:rsidR="002F6E06" w:rsidRPr="006D217C" w14:paraId="5B02ACE2" w14:textId="77777777" w:rsidTr="006D217C">
        <w:tc>
          <w:tcPr>
            <w:tcW w:w="1278" w:type="dxa"/>
            <w:tcBorders>
              <w:top w:val="single" w:sz="12" w:space="0" w:color="auto"/>
            </w:tcBorders>
            <w:shd w:val="clear" w:color="auto" w:fill="auto"/>
            <w:noWrap/>
            <w:hideMark/>
          </w:tcPr>
          <w:p w14:paraId="7D9DA058" w14:textId="26A1FF1F"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Janvier 2020</w:t>
            </w:r>
          </w:p>
        </w:tc>
        <w:tc>
          <w:tcPr>
            <w:tcW w:w="1218" w:type="dxa"/>
            <w:tcBorders>
              <w:top w:val="single" w:sz="12" w:space="0" w:color="auto"/>
            </w:tcBorders>
            <w:shd w:val="clear" w:color="auto" w:fill="auto"/>
            <w:noWrap/>
            <w:vAlign w:val="bottom"/>
            <w:hideMark/>
          </w:tcPr>
          <w:p w14:paraId="231D41F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12</w:t>
            </w:r>
          </w:p>
        </w:tc>
        <w:tc>
          <w:tcPr>
            <w:tcW w:w="1218" w:type="dxa"/>
            <w:tcBorders>
              <w:top w:val="single" w:sz="12" w:space="0" w:color="auto"/>
            </w:tcBorders>
            <w:shd w:val="clear" w:color="auto" w:fill="auto"/>
            <w:noWrap/>
            <w:vAlign w:val="bottom"/>
            <w:hideMark/>
          </w:tcPr>
          <w:p w14:paraId="3477524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2</w:t>
            </w:r>
          </w:p>
        </w:tc>
        <w:tc>
          <w:tcPr>
            <w:tcW w:w="1219" w:type="dxa"/>
            <w:tcBorders>
              <w:top w:val="single" w:sz="12" w:space="0" w:color="auto"/>
            </w:tcBorders>
            <w:shd w:val="clear" w:color="auto" w:fill="auto"/>
            <w:noWrap/>
            <w:vAlign w:val="bottom"/>
            <w:hideMark/>
          </w:tcPr>
          <w:p w14:paraId="609D441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3</w:t>
            </w:r>
          </w:p>
        </w:tc>
        <w:tc>
          <w:tcPr>
            <w:tcW w:w="1218" w:type="dxa"/>
            <w:tcBorders>
              <w:top w:val="single" w:sz="12" w:space="0" w:color="auto"/>
            </w:tcBorders>
            <w:shd w:val="clear" w:color="auto" w:fill="auto"/>
            <w:noWrap/>
            <w:vAlign w:val="bottom"/>
            <w:hideMark/>
          </w:tcPr>
          <w:p w14:paraId="0C490FD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6</w:t>
            </w:r>
          </w:p>
        </w:tc>
        <w:tc>
          <w:tcPr>
            <w:tcW w:w="1219" w:type="dxa"/>
            <w:tcBorders>
              <w:top w:val="single" w:sz="12" w:space="0" w:color="auto"/>
            </w:tcBorders>
            <w:shd w:val="clear" w:color="auto" w:fill="auto"/>
            <w:noWrap/>
            <w:vAlign w:val="bottom"/>
            <w:hideMark/>
          </w:tcPr>
          <w:p w14:paraId="69F0EEB6"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r>
      <w:tr w:rsidR="002F6E06" w:rsidRPr="006D217C" w14:paraId="0DA9C7FA" w14:textId="77777777" w:rsidTr="006D217C">
        <w:tc>
          <w:tcPr>
            <w:tcW w:w="1278" w:type="dxa"/>
            <w:shd w:val="clear" w:color="auto" w:fill="auto"/>
            <w:noWrap/>
            <w:hideMark/>
          </w:tcPr>
          <w:p w14:paraId="10AF421B" w14:textId="6E950DA5"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Février 2020</w:t>
            </w:r>
          </w:p>
        </w:tc>
        <w:tc>
          <w:tcPr>
            <w:tcW w:w="1218" w:type="dxa"/>
            <w:shd w:val="clear" w:color="auto" w:fill="auto"/>
            <w:noWrap/>
            <w:vAlign w:val="bottom"/>
            <w:hideMark/>
          </w:tcPr>
          <w:p w14:paraId="2E87BDC8"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18</w:t>
            </w:r>
          </w:p>
        </w:tc>
        <w:tc>
          <w:tcPr>
            <w:tcW w:w="1218" w:type="dxa"/>
            <w:shd w:val="clear" w:color="auto" w:fill="auto"/>
            <w:noWrap/>
            <w:vAlign w:val="bottom"/>
            <w:hideMark/>
          </w:tcPr>
          <w:p w14:paraId="28886F6F"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2</w:t>
            </w:r>
          </w:p>
        </w:tc>
        <w:tc>
          <w:tcPr>
            <w:tcW w:w="1219" w:type="dxa"/>
            <w:shd w:val="clear" w:color="auto" w:fill="auto"/>
            <w:noWrap/>
            <w:vAlign w:val="bottom"/>
            <w:hideMark/>
          </w:tcPr>
          <w:p w14:paraId="1527BDA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11</w:t>
            </w:r>
          </w:p>
        </w:tc>
        <w:tc>
          <w:tcPr>
            <w:tcW w:w="1218" w:type="dxa"/>
            <w:shd w:val="clear" w:color="auto" w:fill="auto"/>
            <w:noWrap/>
            <w:vAlign w:val="bottom"/>
            <w:hideMark/>
          </w:tcPr>
          <w:p w14:paraId="30A2AE31"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4</w:t>
            </w:r>
          </w:p>
        </w:tc>
        <w:tc>
          <w:tcPr>
            <w:tcW w:w="1219" w:type="dxa"/>
            <w:shd w:val="clear" w:color="auto" w:fill="auto"/>
            <w:noWrap/>
            <w:vAlign w:val="bottom"/>
            <w:hideMark/>
          </w:tcPr>
          <w:p w14:paraId="6C016C6F"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r>
      <w:tr w:rsidR="002F6E06" w:rsidRPr="006D217C" w14:paraId="7F129622" w14:textId="77777777" w:rsidTr="006D217C">
        <w:tc>
          <w:tcPr>
            <w:tcW w:w="1278" w:type="dxa"/>
            <w:shd w:val="clear" w:color="auto" w:fill="auto"/>
            <w:noWrap/>
            <w:hideMark/>
          </w:tcPr>
          <w:p w14:paraId="456979CB" w14:textId="402C18E9"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Mars 2020</w:t>
            </w:r>
          </w:p>
        </w:tc>
        <w:tc>
          <w:tcPr>
            <w:tcW w:w="1218" w:type="dxa"/>
            <w:shd w:val="clear" w:color="auto" w:fill="auto"/>
            <w:noWrap/>
            <w:vAlign w:val="bottom"/>
            <w:hideMark/>
          </w:tcPr>
          <w:p w14:paraId="7A722E85"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096F92F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8</w:t>
            </w:r>
          </w:p>
        </w:tc>
        <w:tc>
          <w:tcPr>
            <w:tcW w:w="1219" w:type="dxa"/>
            <w:shd w:val="clear" w:color="auto" w:fill="auto"/>
            <w:noWrap/>
            <w:vAlign w:val="bottom"/>
            <w:hideMark/>
          </w:tcPr>
          <w:p w14:paraId="1866B25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5</w:t>
            </w:r>
          </w:p>
        </w:tc>
        <w:tc>
          <w:tcPr>
            <w:tcW w:w="1218" w:type="dxa"/>
            <w:shd w:val="clear" w:color="auto" w:fill="auto"/>
            <w:noWrap/>
            <w:vAlign w:val="bottom"/>
            <w:hideMark/>
          </w:tcPr>
          <w:p w14:paraId="36D3FFC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2</w:t>
            </w:r>
          </w:p>
        </w:tc>
        <w:tc>
          <w:tcPr>
            <w:tcW w:w="1219" w:type="dxa"/>
            <w:shd w:val="clear" w:color="auto" w:fill="auto"/>
            <w:noWrap/>
            <w:vAlign w:val="bottom"/>
            <w:hideMark/>
          </w:tcPr>
          <w:p w14:paraId="7E0774A3"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1141718F" w14:textId="77777777" w:rsidTr="006D217C">
        <w:tc>
          <w:tcPr>
            <w:tcW w:w="1278" w:type="dxa"/>
            <w:shd w:val="clear" w:color="auto" w:fill="auto"/>
            <w:noWrap/>
            <w:hideMark/>
          </w:tcPr>
          <w:p w14:paraId="07169F8D" w14:textId="6A0DFC8C"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Avril 2020</w:t>
            </w:r>
          </w:p>
        </w:tc>
        <w:tc>
          <w:tcPr>
            <w:tcW w:w="1218" w:type="dxa"/>
            <w:shd w:val="clear" w:color="auto" w:fill="auto"/>
            <w:noWrap/>
            <w:vAlign w:val="bottom"/>
            <w:hideMark/>
          </w:tcPr>
          <w:p w14:paraId="09F387D1"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5EAE1B1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6</w:t>
            </w:r>
          </w:p>
        </w:tc>
        <w:tc>
          <w:tcPr>
            <w:tcW w:w="1219" w:type="dxa"/>
            <w:shd w:val="clear" w:color="auto" w:fill="auto"/>
            <w:noWrap/>
            <w:vAlign w:val="bottom"/>
            <w:hideMark/>
          </w:tcPr>
          <w:p w14:paraId="58531E98"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9</w:t>
            </w:r>
          </w:p>
        </w:tc>
        <w:tc>
          <w:tcPr>
            <w:tcW w:w="1218" w:type="dxa"/>
            <w:shd w:val="clear" w:color="auto" w:fill="auto"/>
            <w:noWrap/>
            <w:vAlign w:val="bottom"/>
            <w:hideMark/>
          </w:tcPr>
          <w:p w14:paraId="07C99F1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c>
          <w:tcPr>
            <w:tcW w:w="1219" w:type="dxa"/>
            <w:shd w:val="clear" w:color="auto" w:fill="auto"/>
            <w:noWrap/>
            <w:vAlign w:val="bottom"/>
            <w:hideMark/>
          </w:tcPr>
          <w:p w14:paraId="5CE9D29B"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66C36763" w14:textId="77777777" w:rsidTr="006D217C">
        <w:tc>
          <w:tcPr>
            <w:tcW w:w="1278" w:type="dxa"/>
            <w:shd w:val="clear" w:color="auto" w:fill="auto"/>
            <w:noWrap/>
            <w:hideMark/>
          </w:tcPr>
          <w:p w14:paraId="16AE27FC" w14:textId="18D67A5B"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Mai 2020</w:t>
            </w:r>
          </w:p>
        </w:tc>
        <w:tc>
          <w:tcPr>
            <w:tcW w:w="1218" w:type="dxa"/>
            <w:shd w:val="clear" w:color="auto" w:fill="auto"/>
            <w:noWrap/>
            <w:vAlign w:val="bottom"/>
            <w:hideMark/>
          </w:tcPr>
          <w:p w14:paraId="3240A865"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7588E6DB"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2</w:t>
            </w:r>
          </w:p>
        </w:tc>
        <w:tc>
          <w:tcPr>
            <w:tcW w:w="1219" w:type="dxa"/>
            <w:shd w:val="clear" w:color="auto" w:fill="auto"/>
            <w:noWrap/>
            <w:vAlign w:val="bottom"/>
            <w:hideMark/>
          </w:tcPr>
          <w:p w14:paraId="200D5A4B"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9</w:t>
            </w:r>
          </w:p>
        </w:tc>
        <w:tc>
          <w:tcPr>
            <w:tcW w:w="1218" w:type="dxa"/>
            <w:shd w:val="clear" w:color="auto" w:fill="auto"/>
            <w:noWrap/>
            <w:vAlign w:val="bottom"/>
            <w:hideMark/>
          </w:tcPr>
          <w:p w14:paraId="3B4DB71A"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c>
          <w:tcPr>
            <w:tcW w:w="1219" w:type="dxa"/>
            <w:shd w:val="clear" w:color="auto" w:fill="auto"/>
            <w:noWrap/>
            <w:vAlign w:val="bottom"/>
            <w:hideMark/>
          </w:tcPr>
          <w:p w14:paraId="2F7641B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3</w:t>
            </w:r>
          </w:p>
        </w:tc>
      </w:tr>
      <w:tr w:rsidR="002F6E06" w:rsidRPr="006D217C" w14:paraId="1581B9B1" w14:textId="77777777" w:rsidTr="006D217C">
        <w:tc>
          <w:tcPr>
            <w:tcW w:w="1278" w:type="dxa"/>
            <w:shd w:val="clear" w:color="auto" w:fill="auto"/>
            <w:noWrap/>
            <w:hideMark/>
          </w:tcPr>
          <w:p w14:paraId="7162285D" w14:textId="3D330751"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Juin 2020</w:t>
            </w:r>
          </w:p>
        </w:tc>
        <w:tc>
          <w:tcPr>
            <w:tcW w:w="1218" w:type="dxa"/>
            <w:shd w:val="clear" w:color="auto" w:fill="auto"/>
            <w:noWrap/>
            <w:vAlign w:val="bottom"/>
            <w:hideMark/>
          </w:tcPr>
          <w:p w14:paraId="5DB36B19"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47208CE7"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4</w:t>
            </w:r>
          </w:p>
        </w:tc>
        <w:tc>
          <w:tcPr>
            <w:tcW w:w="1219" w:type="dxa"/>
            <w:shd w:val="clear" w:color="auto" w:fill="auto"/>
            <w:noWrap/>
            <w:vAlign w:val="bottom"/>
            <w:hideMark/>
          </w:tcPr>
          <w:p w14:paraId="46CA463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10</w:t>
            </w:r>
          </w:p>
        </w:tc>
        <w:tc>
          <w:tcPr>
            <w:tcW w:w="1218" w:type="dxa"/>
            <w:shd w:val="clear" w:color="auto" w:fill="auto"/>
            <w:noWrap/>
            <w:vAlign w:val="bottom"/>
            <w:hideMark/>
          </w:tcPr>
          <w:p w14:paraId="58F3C28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c>
          <w:tcPr>
            <w:tcW w:w="1219" w:type="dxa"/>
            <w:shd w:val="clear" w:color="auto" w:fill="auto"/>
            <w:noWrap/>
            <w:vAlign w:val="bottom"/>
            <w:hideMark/>
          </w:tcPr>
          <w:p w14:paraId="1A7BABF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25089D0A" w14:textId="77777777" w:rsidTr="006D217C">
        <w:tc>
          <w:tcPr>
            <w:tcW w:w="1278" w:type="dxa"/>
            <w:shd w:val="clear" w:color="auto" w:fill="auto"/>
            <w:noWrap/>
            <w:hideMark/>
          </w:tcPr>
          <w:p w14:paraId="2CBD784B" w14:textId="1C9DD73D"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Juillet 2020</w:t>
            </w:r>
          </w:p>
        </w:tc>
        <w:tc>
          <w:tcPr>
            <w:tcW w:w="1218" w:type="dxa"/>
            <w:shd w:val="clear" w:color="auto" w:fill="auto"/>
            <w:noWrap/>
            <w:vAlign w:val="bottom"/>
            <w:hideMark/>
          </w:tcPr>
          <w:p w14:paraId="7BBCA989"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0FC0FA3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4</w:t>
            </w:r>
          </w:p>
        </w:tc>
        <w:tc>
          <w:tcPr>
            <w:tcW w:w="1219" w:type="dxa"/>
            <w:shd w:val="clear" w:color="auto" w:fill="auto"/>
            <w:noWrap/>
            <w:vAlign w:val="bottom"/>
            <w:hideMark/>
          </w:tcPr>
          <w:p w14:paraId="794CA73C"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10</w:t>
            </w:r>
          </w:p>
        </w:tc>
        <w:tc>
          <w:tcPr>
            <w:tcW w:w="1218" w:type="dxa"/>
            <w:shd w:val="clear" w:color="auto" w:fill="auto"/>
            <w:noWrap/>
            <w:vAlign w:val="bottom"/>
            <w:hideMark/>
          </w:tcPr>
          <w:p w14:paraId="0CB8A807"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c>
          <w:tcPr>
            <w:tcW w:w="1219" w:type="dxa"/>
            <w:shd w:val="clear" w:color="auto" w:fill="auto"/>
            <w:noWrap/>
            <w:vAlign w:val="bottom"/>
            <w:hideMark/>
          </w:tcPr>
          <w:p w14:paraId="2312D881"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46BE16DF" w14:textId="77777777" w:rsidTr="006D217C">
        <w:tc>
          <w:tcPr>
            <w:tcW w:w="1278" w:type="dxa"/>
            <w:shd w:val="clear" w:color="auto" w:fill="auto"/>
            <w:noWrap/>
            <w:hideMark/>
          </w:tcPr>
          <w:p w14:paraId="567D49BF" w14:textId="67397803"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Ao</w:t>
            </w:r>
            <w:r>
              <w:rPr>
                <w:rFonts w:eastAsia="Times New Roman"/>
                <w:bCs/>
                <w:sz w:val="18"/>
                <w:szCs w:val="24"/>
                <w:lang w:eastAsia="fr-FR"/>
              </w:rPr>
              <w:t>û</w:t>
            </w:r>
            <w:r w:rsidRPr="006D217C">
              <w:rPr>
                <w:rFonts w:eastAsia="Times New Roman"/>
                <w:bCs/>
                <w:sz w:val="18"/>
                <w:szCs w:val="24"/>
                <w:lang w:eastAsia="fr-FR"/>
              </w:rPr>
              <w:t>t 2020</w:t>
            </w:r>
          </w:p>
        </w:tc>
        <w:tc>
          <w:tcPr>
            <w:tcW w:w="1218" w:type="dxa"/>
            <w:shd w:val="clear" w:color="auto" w:fill="auto"/>
            <w:noWrap/>
            <w:vAlign w:val="bottom"/>
            <w:hideMark/>
          </w:tcPr>
          <w:p w14:paraId="1F82F84F"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7E7CB2F5"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4</w:t>
            </w:r>
          </w:p>
        </w:tc>
        <w:tc>
          <w:tcPr>
            <w:tcW w:w="1219" w:type="dxa"/>
            <w:shd w:val="clear" w:color="auto" w:fill="auto"/>
            <w:noWrap/>
            <w:vAlign w:val="bottom"/>
            <w:hideMark/>
          </w:tcPr>
          <w:p w14:paraId="10EA4D0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10</w:t>
            </w:r>
          </w:p>
        </w:tc>
        <w:tc>
          <w:tcPr>
            <w:tcW w:w="1218" w:type="dxa"/>
            <w:shd w:val="clear" w:color="auto" w:fill="auto"/>
            <w:noWrap/>
            <w:vAlign w:val="bottom"/>
            <w:hideMark/>
          </w:tcPr>
          <w:p w14:paraId="079AC2D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c>
          <w:tcPr>
            <w:tcW w:w="1219" w:type="dxa"/>
            <w:shd w:val="clear" w:color="auto" w:fill="auto"/>
            <w:noWrap/>
            <w:vAlign w:val="bottom"/>
            <w:hideMark/>
          </w:tcPr>
          <w:p w14:paraId="57327BA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78458ADF" w14:textId="77777777" w:rsidTr="006D217C">
        <w:tc>
          <w:tcPr>
            <w:tcW w:w="1278" w:type="dxa"/>
            <w:shd w:val="clear" w:color="auto" w:fill="auto"/>
            <w:noWrap/>
            <w:hideMark/>
          </w:tcPr>
          <w:p w14:paraId="0580501E" w14:textId="237EBA1D"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Septembre 2020</w:t>
            </w:r>
          </w:p>
        </w:tc>
        <w:tc>
          <w:tcPr>
            <w:tcW w:w="1218" w:type="dxa"/>
            <w:shd w:val="clear" w:color="auto" w:fill="auto"/>
            <w:noWrap/>
            <w:vAlign w:val="bottom"/>
            <w:hideMark/>
          </w:tcPr>
          <w:p w14:paraId="268E3FFA"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3A3932B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12</w:t>
            </w:r>
          </w:p>
        </w:tc>
        <w:tc>
          <w:tcPr>
            <w:tcW w:w="1219" w:type="dxa"/>
            <w:shd w:val="clear" w:color="auto" w:fill="auto"/>
            <w:noWrap/>
            <w:vAlign w:val="bottom"/>
            <w:hideMark/>
          </w:tcPr>
          <w:p w14:paraId="3F5A4DBF"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3</w:t>
            </w:r>
          </w:p>
        </w:tc>
        <w:tc>
          <w:tcPr>
            <w:tcW w:w="1218" w:type="dxa"/>
            <w:shd w:val="clear" w:color="auto" w:fill="auto"/>
            <w:noWrap/>
            <w:vAlign w:val="bottom"/>
            <w:hideMark/>
          </w:tcPr>
          <w:p w14:paraId="066580F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c>
          <w:tcPr>
            <w:tcW w:w="1219" w:type="dxa"/>
            <w:shd w:val="clear" w:color="auto" w:fill="auto"/>
            <w:noWrap/>
            <w:vAlign w:val="bottom"/>
            <w:hideMark/>
          </w:tcPr>
          <w:p w14:paraId="7F123343"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5E2BA7DE" w14:textId="77777777" w:rsidTr="006D217C">
        <w:tc>
          <w:tcPr>
            <w:tcW w:w="1278" w:type="dxa"/>
            <w:shd w:val="clear" w:color="auto" w:fill="auto"/>
            <w:noWrap/>
            <w:hideMark/>
          </w:tcPr>
          <w:p w14:paraId="1EED7ED5" w14:textId="2E344F9B"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Octobre 2020</w:t>
            </w:r>
          </w:p>
        </w:tc>
        <w:tc>
          <w:tcPr>
            <w:tcW w:w="1218" w:type="dxa"/>
            <w:shd w:val="clear" w:color="auto" w:fill="auto"/>
            <w:noWrap/>
            <w:vAlign w:val="bottom"/>
            <w:hideMark/>
          </w:tcPr>
          <w:p w14:paraId="1827619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39D67CEC"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4</w:t>
            </w:r>
          </w:p>
        </w:tc>
        <w:tc>
          <w:tcPr>
            <w:tcW w:w="1219" w:type="dxa"/>
            <w:shd w:val="clear" w:color="auto" w:fill="auto"/>
            <w:noWrap/>
            <w:vAlign w:val="bottom"/>
            <w:hideMark/>
          </w:tcPr>
          <w:p w14:paraId="748338A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11</w:t>
            </w:r>
          </w:p>
        </w:tc>
        <w:tc>
          <w:tcPr>
            <w:tcW w:w="1218" w:type="dxa"/>
            <w:shd w:val="clear" w:color="auto" w:fill="auto"/>
            <w:noWrap/>
            <w:vAlign w:val="bottom"/>
            <w:hideMark/>
          </w:tcPr>
          <w:p w14:paraId="692082F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c>
          <w:tcPr>
            <w:tcW w:w="1219" w:type="dxa"/>
            <w:shd w:val="clear" w:color="auto" w:fill="auto"/>
            <w:noWrap/>
            <w:vAlign w:val="bottom"/>
            <w:hideMark/>
          </w:tcPr>
          <w:p w14:paraId="1F4CBE4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18A0A81B" w14:textId="77777777" w:rsidTr="006D217C">
        <w:tc>
          <w:tcPr>
            <w:tcW w:w="1278" w:type="dxa"/>
            <w:shd w:val="clear" w:color="auto" w:fill="auto"/>
            <w:noWrap/>
            <w:hideMark/>
          </w:tcPr>
          <w:p w14:paraId="4BD3CAD6" w14:textId="2543743E"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Novembre 2020</w:t>
            </w:r>
          </w:p>
        </w:tc>
        <w:tc>
          <w:tcPr>
            <w:tcW w:w="1218" w:type="dxa"/>
            <w:shd w:val="clear" w:color="auto" w:fill="auto"/>
            <w:noWrap/>
            <w:vAlign w:val="bottom"/>
            <w:hideMark/>
          </w:tcPr>
          <w:p w14:paraId="17194FC2"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41157B0D"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14</w:t>
            </w:r>
          </w:p>
        </w:tc>
        <w:tc>
          <w:tcPr>
            <w:tcW w:w="1219" w:type="dxa"/>
            <w:shd w:val="clear" w:color="auto" w:fill="auto"/>
            <w:noWrap/>
            <w:vAlign w:val="bottom"/>
            <w:hideMark/>
          </w:tcPr>
          <w:p w14:paraId="701E76B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w:t>
            </w:r>
          </w:p>
        </w:tc>
        <w:tc>
          <w:tcPr>
            <w:tcW w:w="1218" w:type="dxa"/>
            <w:shd w:val="clear" w:color="auto" w:fill="auto"/>
            <w:noWrap/>
            <w:vAlign w:val="bottom"/>
            <w:hideMark/>
          </w:tcPr>
          <w:p w14:paraId="5BBC3D6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c>
          <w:tcPr>
            <w:tcW w:w="1219" w:type="dxa"/>
            <w:shd w:val="clear" w:color="auto" w:fill="auto"/>
            <w:noWrap/>
            <w:vAlign w:val="bottom"/>
            <w:hideMark/>
          </w:tcPr>
          <w:p w14:paraId="5F8BFE1E"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3A40F54C" w14:textId="77777777" w:rsidTr="006D217C">
        <w:tc>
          <w:tcPr>
            <w:tcW w:w="1278" w:type="dxa"/>
            <w:shd w:val="clear" w:color="auto" w:fill="auto"/>
            <w:noWrap/>
            <w:hideMark/>
          </w:tcPr>
          <w:p w14:paraId="665DDA2A" w14:textId="22BDFBB6" w:rsidR="00146BDA" w:rsidRPr="006D217C" w:rsidRDefault="002F6E06" w:rsidP="006D217C">
            <w:pPr>
              <w:suppressAutoHyphens w:val="0"/>
              <w:spacing w:before="40" w:after="40" w:line="220" w:lineRule="exact"/>
              <w:rPr>
                <w:rFonts w:eastAsia="Times New Roman"/>
                <w:bCs/>
                <w:sz w:val="18"/>
                <w:szCs w:val="24"/>
                <w:lang w:eastAsia="fr-FR"/>
              </w:rPr>
            </w:pPr>
            <w:r w:rsidRPr="006D217C">
              <w:rPr>
                <w:rFonts w:eastAsia="Times New Roman"/>
                <w:bCs/>
                <w:sz w:val="18"/>
                <w:szCs w:val="24"/>
                <w:lang w:eastAsia="fr-FR"/>
              </w:rPr>
              <w:t>Décembre 2020</w:t>
            </w:r>
          </w:p>
        </w:tc>
        <w:tc>
          <w:tcPr>
            <w:tcW w:w="1218" w:type="dxa"/>
            <w:shd w:val="clear" w:color="auto" w:fill="auto"/>
            <w:noWrap/>
            <w:vAlign w:val="bottom"/>
            <w:hideMark/>
          </w:tcPr>
          <w:p w14:paraId="39876C9A"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15</w:t>
            </w:r>
          </w:p>
        </w:tc>
        <w:tc>
          <w:tcPr>
            <w:tcW w:w="1218" w:type="dxa"/>
            <w:shd w:val="clear" w:color="auto" w:fill="auto"/>
            <w:noWrap/>
            <w:vAlign w:val="bottom"/>
            <w:hideMark/>
          </w:tcPr>
          <w:p w14:paraId="1B5E26A4"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8</w:t>
            </w:r>
          </w:p>
        </w:tc>
        <w:tc>
          <w:tcPr>
            <w:tcW w:w="1219" w:type="dxa"/>
            <w:shd w:val="clear" w:color="auto" w:fill="auto"/>
            <w:noWrap/>
            <w:vAlign w:val="bottom"/>
            <w:hideMark/>
          </w:tcPr>
          <w:p w14:paraId="05FD1B20"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7</w:t>
            </w:r>
          </w:p>
        </w:tc>
        <w:tc>
          <w:tcPr>
            <w:tcW w:w="1218" w:type="dxa"/>
            <w:shd w:val="clear" w:color="auto" w:fill="auto"/>
            <w:noWrap/>
            <w:vAlign w:val="bottom"/>
            <w:hideMark/>
          </w:tcPr>
          <w:p w14:paraId="5A066148"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c>
          <w:tcPr>
            <w:tcW w:w="1219" w:type="dxa"/>
            <w:shd w:val="clear" w:color="auto" w:fill="auto"/>
            <w:noWrap/>
            <w:vAlign w:val="bottom"/>
            <w:hideMark/>
          </w:tcPr>
          <w:p w14:paraId="41CEEC03" w14:textId="77777777" w:rsidR="00146BDA" w:rsidRPr="006D217C" w:rsidRDefault="00146BDA" w:rsidP="006D217C">
            <w:pPr>
              <w:suppressAutoHyphens w:val="0"/>
              <w:spacing w:before="40" w:after="40" w:line="220" w:lineRule="exact"/>
              <w:jc w:val="right"/>
              <w:rPr>
                <w:rFonts w:eastAsia="Times New Roman"/>
                <w:sz w:val="18"/>
                <w:szCs w:val="24"/>
                <w:lang w:eastAsia="fr-FR"/>
              </w:rPr>
            </w:pPr>
            <w:r w:rsidRPr="006D217C">
              <w:rPr>
                <w:rFonts w:eastAsia="Times New Roman"/>
                <w:sz w:val="18"/>
                <w:szCs w:val="24"/>
                <w:lang w:eastAsia="fr-FR"/>
              </w:rPr>
              <w:t>0</w:t>
            </w:r>
          </w:p>
        </w:tc>
      </w:tr>
      <w:tr w:rsidR="002F6E06" w:rsidRPr="006D217C" w14:paraId="7820D8D8" w14:textId="77777777" w:rsidTr="002F6E06">
        <w:tc>
          <w:tcPr>
            <w:tcW w:w="1278" w:type="dxa"/>
            <w:tcBorders>
              <w:top w:val="single" w:sz="4" w:space="0" w:color="auto"/>
              <w:bottom w:val="single" w:sz="12" w:space="0" w:color="auto"/>
            </w:tcBorders>
            <w:shd w:val="clear" w:color="auto" w:fill="auto"/>
            <w:noWrap/>
            <w:hideMark/>
          </w:tcPr>
          <w:p w14:paraId="5FBA9D09" w14:textId="4E09EA81" w:rsidR="00146BDA" w:rsidRPr="006D217C" w:rsidRDefault="002F6E06" w:rsidP="006D217C">
            <w:pPr>
              <w:suppressAutoHyphens w:val="0"/>
              <w:spacing w:before="80" w:after="80" w:line="220" w:lineRule="exact"/>
              <w:ind w:left="283"/>
              <w:rPr>
                <w:rFonts w:eastAsia="Times New Roman"/>
                <w:b/>
                <w:bCs/>
                <w:iCs/>
                <w:sz w:val="18"/>
                <w:szCs w:val="24"/>
                <w:lang w:eastAsia="fr-FR"/>
              </w:rPr>
            </w:pPr>
            <w:r w:rsidRPr="006D217C">
              <w:rPr>
                <w:rFonts w:eastAsia="Times New Roman"/>
                <w:b/>
                <w:bCs/>
                <w:iCs/>
                <w:sz w:val="18"/>
                <w:szCs w:val="24"/>
                <w:lang w:eastAsia="fr-FR"/>
              </w:rPr>
              <w:t>Total</w:t>
            </w:r>
          </w:p>
        </w:tc>
        <w:tc>
          <w:tcPr>
            <w:tcW w:w="1218" w:type="dxa"/>
            <w:tcBorders>
              <w:top w:val="single" w:sz="4" w:space="0" w:color="auto"/>
              <w:bottom w:val="single" w:sz="12" w:space="0" w:color="auto"/>
            </w:tcBorders>
            <w:shd w:val="clear" w:color="auto" w:fill="auto"/>
            <w:noWrap/>
            <w:vAlign w:val="bottom"/>
            <w:hideMark/>
          </w:tcPr>
          <w:p w14:paraId="15274DCB"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180</w:t>
            </w:r>
          </w:p>
        </w:tc>
        <w:tc>
          <w:tcPr>
            <w:tcW w:w="1218" w:type="dxa"/>
            <w:tcBorders>
              <w:top w:val="single" w:sz="4" w:space="0" w:color="auto"/>
              <w:bottom w:val="single" w:sz="12" w:space="0" w:color="auto"/>
            </w:tcBorders>
            <w:shd w:val="clear" w:color="auto" w:fill="auto"/>
            <w:noWrap/>
            <w:vAlign w:val="bottom"/>
            <w:hideMark/>
          </w:tcPr>
          <w:p w14:paraId="1FE03153"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70</w:t>
            </w:r>
          </w:p>
        </w:tc>
        <w:tc>
          <w:tcPr>
            <w:tcW w:w="1219" w:type="dxa"/>
            <w:tcBorders>
              <w:top w:val="single" w:sz="4" w:space="0" w:color="auto"/>
              <w:bottom w:val="single" w:sz="12" w:space="0" w:color="auto"/>
            </w:tcBorders>
            <w:shd w:val="clear" w:color="auto" w:fill="auto"/>
            <w:noWrap/>
            <w:vAlign w:val="bottom"/>
            <w:hideMark/>
          </w:tcPr>
          <w:p w14:paraId="76D1090D"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89</w:t>
            </w:r>
          </w:p>
        </w:tc>
        <w:tc>
          <w:tcPr>
            <w:tcW w:w="1218" w:type="dxa"/>
            <w:tcBorders>
              <w:top w:val="single" w:sz="4" w:space="0" w:color="auto"/>
              <w:bottom w:val="single" w:sz="12" w:space="0" w:color="auto"/>
            </w:tcBorders>
            <w:shd w:val="clear" w:color="auto" w:fill="auto"/>
            <w:noWrap/>
            <w:vAlign w:val="bottom"/>
            <w:hideMark/>
          </w:tcPr>
          <w:p w14:paraId="4C553800"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16</w:t>
            </w:r>
          </w:p>
        </w:tc>
        <w:tc>
          <w:tcPr>
            <w:tcW w:w="1219" w:type="dxa"/>
            <w:tcBorders>
              <w:top w:val="single" w:sz="4" w:space="0" w:color="auto"/>
              <w:bottom w:val="single" w:sz="12" w:space="0" w:color="auto"/>
            </w:tcBorders>
            <w:shd w:val="clear" w:color="auto" w:fill="auto"/>
            <w:noWrap/>
            <w:vAlign w:val="bottom"/>
            <w:hideMark/>
          </w:tcPr>
          <w:p w14:paraId="7C5230A3"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5</w:t>
            </w:r>
          </w:p>
        </w:tc>
      </w:tr>
      <w:tr w:rsidR="002F6E06" w:rsidRPr="006D217C" w14:paraId="5B61983B" w14:textId="77777777" w:rsidTr="002F6E06">
        <w:tc>
          <w:tcPr>
            <w:tcW w:w="1278" w:type="dxa"/>
            <w:tcBorders>
              <w:top w:val="single" w:sz="4" w:space="0" w:color="auto"/>
              <w:bottom w:val="single" w:sz="12" w:space="0" w:color="auto"/>
            </w:tcBorders>
            <w:shd w:val="clear" w:color="auto" w:fill="auto"/>
            <w:noWrap/>
            <w:hideMark/>
          </w:tcPr>
          <w:p w14:paraId="785AA3FD" w14:textId="69C9FFFA" w:rsidR="00146BDA" w:rsidRPr="006D217C" w:rsidRDefault="002F6E06" w:rsidP="006D217C">
            <w:pPr>
              <w:suppressAutoHyphens w:val="0"/>
              <w:spacing w:before="80" w:after="80" w:line="220" w:lineRule="exact"/>
              <w:ind w:left="283"/>
              <w:rPr>
                <w:rFonts w:eastAsia="Times New Roman"/>
                <w:b/>
                <w:bCs/>
                <w:iCs/>
                <w:sz w:val="18"/>
                <w:szCs w:val="24"/>
                <w:lang w:eastAsia="fr-FR"/>
              </w:rPr>
            </w:pPr>
            <w:r w:rsidRPr="006D217C">
              <w:rPr>
                <w:rFonts w:eastAsia="Times New Roman"/>
                <w:b/>
                <w:bCs/>
                <w:iCs/>
                <w:sz w:val="18"/>
                <w:szCs w:val="24"/>
                <w:lang w:eastAsia="fr-FR"/>
              </w:rPr>
              <w:t>Pourcentage</w:t>
            </w:r>
          </w:p>
        </w:tc>
        <w:tc>
          <w:tcPr>
            <w:tcW w:w="1218" w:type="dxa"/>
            <w:tcBorders>
              <w:top w:val="single" w:sz="4" w:space="0" w:color="auto"/>
              <w:bottom w:val="single" w:sz="12" w:space="0" w:color="auto"/>
            </w:tcBorders>
            <w:shd w:val="clear" w:color="auto" w:fill="auto"/>
            <w:noWrap/>
            <w:vAlign w:val="bottom"/>
            <w:hideMark/>
          </w:tcPr>
          <w:p w14:paraId="485216A0" w14:textId="77777777" w:rsidR="00146BDA" w:rsidRPr="006D217C" w:rsidRDefault="00146BDA" w:rsidP="006D217C">
            <w:pPr>
              <w:suppressAutoHyphens w:val="0"/>
              <w:spacing w:before="80" w:after="80" w:line="220" w:lineRule="exact"/>
              <w:jc w:val="right"/>
              <w:rPr>
                <w:rFonts w:eastAsia="Times New Roman"/>
                <w:b/>
                <w:iCs/>
                <w:sz w:val="18"/>
                <w:szCs w:val="24"/>
                <w:lang w:eastAsia="fr-FR"/>
              </w:rPr>
            </w:pPr>
            <w:r w:rsidRPr="006D217C">
              <w:rPr>
                <w:rFonts w:eastAsia="Times New Roman"/>
                <w:b/>
                <w:iCs/>
                <w:sz w:val="18"/>
                <w:szCs w:val="24"/>
                <w:lang w:eastAsia="fr-FR"/>
              </w:rPr>
              <w:t> </w:t>
            </w:r>
          </w:p>
        </w:tc>
        <w:tc>
          <w:tcPr>
            <w:tcW w:w="1218" w:type="dxa"/>
            <w:tcBorders>
              <w:top w:val="single" w:sz="4" w:space="0" w:color="auto"/>
              <w:bottom w:val="single" w:sz="12" w:space="0" w:color="auto"/>
            </w:tcBorders>
            <w:shd w:val="clear" w:color="auto" w:fill="auto"/>
            <w:noWrap/>
            <w:vAlign w:val="bottom"/>
            <w:hideMark/>
          </w:tcPr>
          <w:p w14:paraId="103AD052"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39</w:t>
            </w:r>
          </w:p>
        </w:tc>
        <w:tc>
          <w:tcPr>
            <w:tcW w:w="1219" w:type="dxa"/>
            <w:tcBorders>
              <w:top w:val="single" w:sz="4" w:space="0" w:color="auto"/>
              <w:bottom w:val="single" w:sz="12" w:space="0" w:color="auto"/>
            </w:tcBorders>
            <w:shd w:val="clear" w:color="auto" w:fill="auto"/>
            <w:noWrap/>
            <w:vAlign w:val="bottom"/>
            <w:hideMark/>
          </w:tcPr>
          <w:p w14:paraId="3B568540"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49</w:t>
            </w:r>
          </w:p>
        </w:tc>
        <w:tc>
          <w:tcPr>
            <w:tcW w:w="1218" w:type="dxa"/>
            <w:tcBorders>
              <w:top w:val="single" w:sz="4" w:space="0" w:color="auto"/>
              <w:bottom w:val="single" w:sz="12" w:space="0" w:color="auto"/>
            </w:tcBorders>
            <w:shd w:val="clear" w:color="auto" w:fill="auto"/>
            <w:noWrap/>
            <w:vAlign w:val="bottom"/>
            <w:hideMark/>
          </w:tcPr>
          <w:p w14:paraId="0142A938"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9</w:t>
            </w:r>
          </w:p>
        </w:tc>
        <w:tc>
          <w:tcPr>
            <w:tcW w:w="1219" w:type="dxa"/>
            <w:tcBorders>
              <w:top w:val="single" w:sz="4" w:space="0" w:color="auto"/>
              <w:bottom w:val="single" w:sz="12" w:space="0" w:color="auto"/>
            </w:tcBorders>
            <w:shd w:val="clear" w:color="auto" w:fill="auto"/>
            <w:noWrap/>
            <w:vAlign w:val="bottom"/>
            <w:hideMark/>
          </w:tcPr>
          <w:p w14:paraId="756268F6" w14:textId="77777777" w:rsidR="00146BDA" w:rsidRPr="006D217C" w:rsidRDefault="00146BDA" w:rsidP="006D217C">
            <w:pPr>
              <w:suppressAutoHyphens w:val="0"/>
              <w:spacing w:before="80" w:after="80" w:line="220" w:lineRule="exact"/>
              <w:jc w:val="right"/>
              <w:rPr>
                <w:rFonts w:eastAsia="Times New Roman"/>
                <w:b/>
                <w:bCs/>
                <w:iCs/>
                <w:sz w:val="18"/>
                <w:szCs w:val="24"/>
                <w:lang w:eastAsia="fr-FR"/>
              </w:rPr>
            </w:pPr>
            <w:r w:rsidRPr="006D217C">
              <w:rPr>
                <w:rFonts w:eastAsia="Times New Roman"/>
                <w:b/>
                <w:bCs/>
                <w:iCs/>
                <w:sz w:val="18"/>
                <w:szCs w:val="24"/>
                <w:lang w:eastAsia="fr-FR"/>
              </w:rPr>
              <w:t>3</w:t>
            </w:r>
          </w:p>
        </w:tc>
      </w:tr>
    </w:tbl>
    <w:p w14:paraId="07EA3924" w14:textId="15560E43" w:rsidR="00794E0E" w:rsidRDefault="00B54287" w:rsidP="00B54287">
      <w:pPr>
        <w:pStyle w:val="H23G"/>
        <w:rPr>
          <w:rFonts w:eastAsia="Calibri"/>
          <w:bCs/>
          <w:iCs/>
          <w:color w:val="000000"/>
          <w:sz w:val="24"/>
          <w:szCs w:val="24"/>
          <w:lang w:val="fr-FR"/>
        </w:rPr>
      </w:pPr>
      <w:r>
        <w:tab/>
      </w:r>
      <w:r>
        <w:tab/>
        <w:t>Réponse au paragraphe 10 c) et d) de la liste de points</w:t>
      </w:r>
      <w:r w:rsidRPr="00146BDA">
        <w:rPr>
          <w:rFonts w:eastAsia="Calibri"/>
          <w:bCs/>
          <w:iCs/>
          <w:color w:val="000000"/>
          <w:sz w:val="24"/>
          <w:szCs w:val="24"/>
          <w:lang w:val="fr-FR"/>
        </w:rPr>
        <w:t xml:space="preserve"> </w:t>
      </w:r>
    </w:p>
    <w:p w14:paraId="1EBAE0ED" w14:textId="6374839E" w:rsidR="00146BDA" w:rsidRDefault="00146BDA" w:rsidP="005926AE">
      <w:pPr>
        <w:pStyle w:val="SingleTxtG"/>
        <w:rPr>
          <w:lang w:val="fr-FR"/>
        </w:rPr>
      </w:pPr>
      <w:r w:rsidRPr="00146BDA">
        <w:rPr>
          <w:lang w:val="fr-FR"/>
        </w:rPr>
        <w:t>78.</w:t>
      </w:r>
      <w:r w:rsidRPr="00146BDA">
        <w:rPr>
          <w:lang w:val="fr-FR"/>
        </w:rPr>
        <w:tab/>
        <w:t xml:space="preserve">Les données statistiques concernant le nombre de personnes extradées, expulsées ou renvoyées ainsi </w:t>
      </w:r>
      <w:r w:rsidRPr="005926AE">
        <w:t>que</w:t>
      </w:r>
      <w:r w:rsidRPr="00146BDA">
        <w:rPr>
          <w:lang w:val="fr-FR"/>
        </w:rPr>
        <w:t xml:space="preserve"> celles relatives au nombre de recours contre les décisions d’expulsion ne sont pas disponibles.</w:t>
      </w:r>
    </w:p>
    <w:p w14:paraId="2C23EACA" w14:textId="09170154" w:rsidR="00146BDA" w:rsidRPr="00146BDA" w:rsidRDefault="00B54287" w:rsidP="00B54287">
      <w:pPr>
        <w:pStyle w:val="H23G"/>
        <w:rPr>
          <w:rFonts w:eastAsia="Calibri"/>
          <w:sz w:val="24"/>
          <w:szCs w:val="24"/>
          <w:lang w:eastAsia="es-ES"/>
        </w:rPr>
      </w:pPr>
      <w:r>
        <w:tab/>
      </w:r>
      <w:r>
        <w:tab/>
        <w:t>Réponse au paragraphe 10 a) et b) de la liste de points</w:t>
      </w:r>
      <w:r w:rsidR="00146BDA" w:rsidRPr="00146BDA">
        <w:rPr>
          <w:rFonts w:eastAsia="Calibri"/>
          <w:sz w:val="24"/>
          <w:szCs w:val="24"/>
          <w:lang w:val="fr-FR"/>
        </w:rPr>
        <w:t xml:space="preserve"> </w:t>
      </w:r>
    </w:p>
    <w:p w14:paraId="78F308A4" w14:textId="64FA4483" w:rsidR="00146BDA" w:rsidRPr="00146BDA" w:rsidRDefault="00146BDA" w:rsidP="005926AE">
      <w:pPr>
        <w:pStyle w:val="SingleTxtG"/>
        <w:rPr>
          <w:lang w:val="fr-FR"/>
        </w:rPr>
      </w:pPr>
      <w:r w:rsidRPr="00146BDA">
        <w:rPr>
          <w:lang w:val="fr-FR"/>
        </w:rPr>
        <w:t>79.</w:t>
      </w:r>
      <w:r w:rsidRPr="00146BDA">
        <w:rPr>
          <w:lang w:val="fr-FR"/>
        </w:rPr>
        <w:tab/>
        <w:t xml:space="preserve">S’agissant des mesures prises pour une meilleure protection des réfugiés et des apatrides, la loi </w:t>
      </w:r>
      <w:r w:rsidR="002F6E06">
        <w:rPr>
          <w:lang w:val="fr-FR"/>
        </w:rPr>
        <w:t>n</w:t>
      </w:r>
      <w:r w:rsidR="002F6E06" w:rsidRPr="005A743A">
        <w:rPr>
          <w:vertAlign w:val="superscript"/>
          <w:lang w:val="fr-FR"/>
        </w:rPr>
        <w:t>o</w:t>
      </w:r>
      <w:r w:rsidR="002F6E06">
        <w:rPr>
          <w:lang w:val="fr-FR"/>
        </w:rPr>
        <w:t> </w:t>
      </w:r>
      <w:r w:rsidRPr="00146BDA">
        <w:rPr>
          <w:lang w:val="fr-FR"/>
        </w:rPr>
        <w:t xml:space="preserve">2022-01 du 14 avril 2022 portant statut des réfugiés et des apatrides </w:t>
      </w:r>
      <w:bookmarkStart w:id="15" w:name="_Hlk102865198"/>
      <w:r w:rsidRPr="00146BDA">
        <w:rPr>
          <w:lang w:val="fr-FR"/>
        </w:rPr>
        <w:t xml:space="preserve">est </w:t>
      </w:r>
      <w:r w:rsidRPr="00146BDA">
        <w:rPr>
          <w:lang w:val="fr-FR"/>
        </w:rPr>
        <w:lastRenderedPageBreak/>
        <w:t>adoptée à l’Assemblée nationale à l’unanimité.</w:t>
      </w:r>
      <w:r>
        <w:rPr>
          <w:lang w:val="fr-FR"/>
        </w:rPr>
        <w:t xml:space="preserve"> </w:t>
      </w:r>
      <w:r w:rsidRPr="00146BDA">
        <w:rPr>
          <w:lang w:val="fr-FR"/>
        </w:rPr>
        <w:t xml:space="preserve">Cette loi, qui a abrogé la loi </w:t>
      </w:r>
      <w:r w:rsidR="002F6E06">
        <w:rPr>
          <w:lang w:val="fr-FR"/>
        </w:rPr>
        <w:t>n</w:t>
      </w:r>
      <w:r w:rsidR="002F6E06" w:rsidRPr="005A743A">
        <w:rPr>
          <w:vertAlign w:val="superscript"/>
          <w:lang w:val="fr-FR"/>
        </w:rPr>
        <w:t>o</w:t>
      </w:r>
      <w:r w:rsidR="002F6E06">
        <w:rPr>
          <w:lang w:val="fr-FR"/>
        </w:rPr>
        <w:t> </w:t>
      </w:r>
      <w:r w:rsidRPr="00146BDA">
        <w:rPr>
          <w:lang w:val="fr-FR"/>
        </w:rPr>
        <w:t>68-027 du 24</w:t>
      </w:r>
      <w:r w:rsidR="002F6E06">
        <w:rPr>
          <w:lang w:val="fr-FR"/>
        </w:rPr>
        <w:t> </w:t>
      </w:r>
      <w:r w:rsidRPr="00146BDA">
        <w:rPr>
          <w:lang w:val="fr-FR"/>
        </w:rPr>
        <w:t xml:space="preserve">juillet 1968 portant statut des réfugiés, comporte d’importantes innovations tendant à rendre le régime des réfugiés conforme à la </w:t>
      </w:r>
      <w:r w:rsidR="00832A7B" w:rsidRPr="00146BDA">
        <w:rPr>
          <w:lang w:val="fr-FR"/>
        </w:rPr>
        <w:t xml:space="preserve">Convention </w:t>
      </w:r>
      <w:r w:rsidRPr="00146BDA">
        <w:rPr>
          <w:lang w:val="fr-FR"/>
        </w:rPr>
        <w:t>de 1951,</w:t>
      </w:r>
      <w:bookmarkEnd w:id="15"/>
      <w:r w:rsidRPr="00146BDA">
        <w:rPr>
          <w:lang w:val="fr-FR"/>
        </w:rPr>
        <w:t xml:space="preserve"> notamment :</w:t>
      </w:r>
    </w:p>
    <w:p w14:paraId="1E9F83CD" w14:textId="35B3F163"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création d’une Commission Nationale de Gestion des Réfugiés et Apatrides (CNGRA) dont le rôle est d’assurer aux demandeurs d’asiles, réfugiés et apatrides une protection juridique et administrative ;</w:t>
      </w:r>
    </w:p>
    <w:p w14:paraId="68900BA3" w14:textId="63D9CDA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 protection des personnes demanderesses au statut de réfugiés qui ne pourraient faire l’objet d’aucune poursuite pénale en entrant dans le territoire national sans autorisation, pourvu qu’elles se présentent, dans un délai raisonnable aux autorités en charge des réfugiés ;</w:t>
      </w:r>
    </w:p>
    <w:p w14:paraId="791B66F2" w14:textId="3A62300A"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L’admission au profit des réfugiés du bénéfice du regroupement familial avec possibilité pour les membres de sa famille de bénéficier également du statut de réfugié ;</w:t>
      </w:r>
    </w:p>
    <w:p w14:paraId="2B493FFC" w14:textId="7AC6DEE7" w:rsidR="00146BDA" w:rsidRPr="00146BDA" w:rsidRDefault="006D217C" w:rsidP="006D217C">
      <w:pPr>
        <w:pStyle w:val="Bullet1G"/>
        <w:numPr>
          <w:ilvl w:val="0"/>
          <w:numId w:val="0"/>
        </w:numPr>
        <w:tabs>
          <w:tab w:val="left" w:pos="1701"/>
        </w:tabs>
        <w:ind w:left="1701" w:hanging="170"/>
        <w:rPr>
          <w:lang w:val="fr-FR"/>
        </w:rPr>
      </w:pPr>
      <w:r w:rsidRPr="00146BDA">
        <w:rPr>
          <w:lang w:val="fr-FR"/>
        </w:rPr>
        <w:t>•</w:t>
      </w:r>
      <w:r w:rsidRPr="00146BDA">
        <w:rPr>
          <w:lang w:val="fr-FR"/>
        </w:rPr>
        <w:tab/>
      </w:r>
      <w:r w:rsidR="00146BDA" w:rsidRPr="00146BDA">
        <w:rPr>
          <w:lang w:val="fr-FR"/>
        </w:rPr>
        <w:t>L’interdiction d’expulser ou de refouler le réfugié sur les frontières d’un territoire ou sa vie serait menacée ;</w:t>
      </w:r>
    </w:p>
    <w:p w14:paraId="4A3AD284" w14:textId="534AE1D7" w:rsidR="00794E0E" w:rsidRDefault="006D217C" w:rsidP="006D217C">
      <w:pPr>
        <w:pStyle w:val="Bullet1G"/>
        <w:numPr>
          <w:ilvl w:val="0"/>
          <w:numId w:val="0"/>
        </w:numPr>
        <w:tabs>
          <w:tab w:val="left" w:pos="1701"/>
        </w:tabs>
        <w:ind w:left="1701" w:hanging="170"/>
        <w:rPr>
          <w:lang w:val="fr-FR"/>
        </w:rPr>
      </w:pPr>
      <w:r>
        <w:rPr>
          <w:lang w:val="fr-FR"/>
        </w:rPr>
        <w:t>•</w:t>
      </w:r>
      <w:r>
        <w:rPr>
          <w:lang w:val="fr-FR"/>
        </w:rPr>
        <w:tab/>
      </w:r>
      <w:r w:rsidR="00146BDA" w:rsidRPr="00146BDA">
        <w:rPr>
          <w:lang w:val="fr-FR"/>
        </w:rPr>
        <w:t xml:space="preserve">Le bénéfice de l’assistance éducative prévue par le Code de procédure pénale pour les mineurs demandeurs au statut de réfugié et leur placement sous la protection de la Commission </w:t>
      </w:r>
      <w:r w:rsidR="002F6E06">
        <w:rPr>
          <w:lang w:val="fr-FR"/>
        </w:rPr>
        <w:t>n</w:t>
      </w:r>
      <w:r w:rsidR="00146BDA" w:rsidRPr="00146BDA">
        <w:rPr>
          <w:lang w:val="fr-FR"/>
        </w:rPr>
        <w:t xml:space="preserve">ationale de </w:t>
      </w:r>
      <w:r w:rsidR="002F6E06">
        <w:rPr>
          <w:lang w:val="fr-FR"/>
        </w:rPr>
        <w:t>g</w:t>
      </w:r>
      <w:r w:rsidR="00146BDA" w:rsidRPr="00146BDA">
        <w:rPr>
          <w:lang w:val="fr-FR"/>
        </w:rPr>
        <w:t xml:space="preserve">estion des </w:t>
      </w:r>
      <w:r w:rsidR="002F6E06">
        <w:rPr>
          <w:lang w:val="fr-FR"/>
        </w:rPr>
        <w:t>r</w:t>
      </w:r>
      <w:r w:rsidR="00146BDA" w:rsidRPr="00146BDA">
        <w:rPr>
          <w:lang w:val="fr-FR"/>
        </w:rPr>
        <w:t xml:space="preserve">éfugiés et </w:t>
      </w:r>
      <w:r w:rsidR="002F6E06">
        <w:rPr>
          <w:lang w:val="fr-FR"/>
        </w:rPr>
        <w:t>a</w:t>
      </w:r>
      <w:r w:rsidR="00146BDA" w:rsidRPr="00146BDA">
        <w:rPr>
          <w:lang w:val="fr-FR"/>
        </w:rPr>
        <w:t>patrides.</w:t>
      </w:r>
    </w:p>
    <w:p w14:paraId="0466BC6C" w14:textId="77777777" w:rsidR="00794E0E" w:rsidRDefault="00146BDA" w:rsidP="005926AE">
      <w:pPr>
        <w:pStyle w:val="SingleTxtG"/>
        <w:rPr>
          <w:lang w:val="fr-FR"/>
        </w:rPr>
      </w:pPr>
      <w:bookmarkStart w:id="16" w:name="_Hlk102865378"/>
      <w:r w:rsidRPr="00146BDA">
        <w:rPr>
          <w:lang w:val="fr-FR"/>
        </w:rPr>
        <w:t>80.</w:t>
      </w:r>
      <w:r w:rsidRPr="00146BDA">
        <w:rPr>
          <w:lang w:val="fr-FR"/>
        </w:rPr>
        <w:tab/>
        <w:t>Cette loi, prévoit un décret d’application en ce qui concerne la procédure d’admission au statut de réfugié. Ce décret aura notamment pour vocation d’établir un traitement plus diligent des demandes d’admission audit statut.</w:t>
      </w:r>
      <w:bookmarkEnd w:id="16"/>
    </w:p>
    <w:p w14:paraId="38A834EF" w14:textId="05868240" w:rsidR="00B54287" w:rsidRDefault="00B54287" w:rsidP="00B54287">
      <w:pPr>
        <w:pStyle w:val="H23G"/>
        <w:rPr>
          <w:rFonts w:eastAsia="Calibri"/>
          <w:bCs/>
          <w:iCs/>
          <w:color w:val="000000"/>
          <w:sz w:val="24"/>
          <w:szCs w:val="24"/>
          <w:lang w:val="fr-FR"/>
        </w:rPr>
      </w:pPr>
      <w:r>
        <w:tab/>
      </w:r>
      <w:r>
        <w:tab/>
        <w:t>Réponse au paragraphe 12 de la liste de points</w:t>
      </w:r>
      <w:r w:rsidRPr="00146BDA">
        <w:rPr>
          <w:rFonts w:eastAsia="Calibri"/>
          <w:bCs/>
          <w:iCs/>
          <w:color w:val="000000"/>
          <w:sz w:val="24"/>
          <w:szCs w:val="24"/>
          <w:lang w:val="fr-FR"/>
        </w:rPr>
        <w:t xml:space="preserve"> </w:t>
      </w:r>
    </w:p>
    <w:p w14:paraId="79130AB3" w14:textId="2015B38D" w:rsidR="00146BDA" w:rsidRPr="00146BDA" w:rsidRDefault="00146BDA" w:rsidP="005926AE">
      <w:pPr>
        <w:pStyle w:val="SingleTxtG"/>
      </w:pPr>
      <w:r w:rsidRPr="00146BDA">
        <w:rPr>
          <w:lang w:val="fr-FR"/>
        </w:rPr>
        <w:t>81.</w:t>
      </w:r>
      <w:r w:rsidR="003562DE">
        <w:rPr>
          <w:lang w:val="fr-FR"/>
        </w:rPr>
        <w:tab/>
      </w:r>
      <w:r w:rsidRPr="00146BDA">
        <w:rPr>
          <w:lang w:val="fr-FR"/>
        </w:rPr>
        <w:t>Depuis 2018, l’</w:t>
      </w:r>
      <w:r w:rsidR="009F3C58">
        <w:rPr>
          <w:lang w:val="fr-FR"/>
        </w:rPr>
        <w:t>État</w:t>
      </w:r>
      <w:r w:rsidRPr="00146BDA">
        <w:rPr>
          <w:lang w:val="fr-FR"/>
        </w:rPr>
        <w:t xml:space="preserve"> du Sénégal n’a pas procédé à des expulsions suite à des assurances diplomatiques.</w:t>
      </w:r>
    </w:p>
    <w:p w14:paraId="6A8E74A1" w14:textId="143F7525" w:rsidR="00146BDA" w:rsidRPr="00146BDA" w:rsidRDefault="00146BDA" w:rsidP="007F5E8F">
      <w:pPr>
        <w:pStyle w:val="H1G"/>
        <w:rPr>
          <w:lang w:val="fr-FR"/>
        </w:rPr>
      </w:pPr>
      <w:r w:rsidRPr="00146BDA">
        <w:rPr>
          <w:i/>
          <w:lang w:val="fr-FR"/>
        </w:rPr>
        <w:tab/>
      </w:r>
      <w:r w:rsidR="00B54287">
        <w:rPr>
          <w:i/>
          <w:lang w:val="fr-FR"/>
        </w:rPr>
        <w:tab/>
      </w:r>
      <w:r w:rsidRPr="00146BDA">
        <w:rPr>
          <w:lang w:val="fr-FR"/>
        </w:rPr>
        <w:t>Articles 5 à 9</w:t>
      </w:r>
    </w:p>
    <w:p w14:paraId="4A68F90F" w14:textId="4BCD025B" w:rsidR="00B54287" w:rsidRDefault="002F6E06" w:rsidP="006D217C">
      <w:pPr>
        <w:pStyle w:val="H23G"/>
        <w:rPr>
          <w:rFonts w:eastAsia="Calibri"/>
          <w:bCs/>
          <w:iCs/>
          <w:color w:val="000000"/>
          <w:sz w:val="24"/>
          <w:szCs w:val="24"/>
          <w:lang w:val="fr-FR"/>
        </w:rPr>
      </w:pPr>
      <w:r>
        <w:tab/>
      </w:r>
      <w:r>
        <w:tab/>
      </w:r>
      <w:r w:rsidR="00B54287">
        <w:t>Réponse au paragraphe 13 de la liste de points</w:t>
      </w:r>
      <w:r w:rsidR="00B54287" w:rsidRPr="00146BDA">
        <w:rPr>
          <w:rFonts w:eastAsia="Calibri"/>
          <w:bCs/>
          <w:iCs/>
          <w:color w:val="000000"/>
          <w:sz w:val="24"/>
          <w:szCs w:val="24"/>
          <w:lang w:val="fr-FR"/>
        </w:rPr>
        <w:t xml:space="preserve"> </w:t>
      </w:r>
    </w:p>
    <w:p w14:paraId="4CE78D79" w14:textId="7B95FD90" w:rsidR="00794E0E" w:rsidRDefault="00146BDA" w:rsidP="005926AE">
      <w:pPr>
        <w:pStyle w:val="SingleTxtG"/>
        <w:rPr>
          <w:lang w:val="fr-FR"/>
        </w:rPr>
      </w:pPr>
      <w:r w:rsidRPr="00146BDA">
        <w:t>82.</w:t>
      </w:r>
      <w:r w:rsidRPr="00146BDA">
        <w:tab/>
        <w:t>Depuis l’examen du précédent rapport, l’</w:t>
      </w:r>
      <w:r w:rsidR="009F3C58">
        <w:t>État</w:t>
      </w:r>
      <w:r w:rsidRPr="00146BDA">
        <w:t xml:space="preserve"> du Sénégal n’a pas encore été saisi de demande d’extradition basée sur des actes de torture. </w:t>
      </w:r>
    </w:p>
    <w:p w14:paraId="0AF815DD" w14:textId="043FB289" w:rsidR="00146BDA" w:rsidRPr="00146BDA" w:rsidRDefault="00146BDA" w:rsidP="007F5E8F">
      <w:pPr>
        <w:pStyle w:val="H1G"/>
        <w:rPr>
          <w:lang w:val="fr-FR"/>
        </w:rPr>
      </w:pPr>
      <w:r w:rsidRPr="00146BDA">
        <w:rPr>
          <w:i/>
          <w:lang w:val="fr-FR"/>
        </w:rPr>
        <w:tab/>
      </w:r>
      <w:r w:rsidR="004B7B07">
        <w:rPr>
          <w:i/>
          <w:lang w:val="fr-FR"/>
        </w:rPr>
        <w:tab/>
      </w:r>
      <w:r w:rsidR="004B7B07">
        <w:rPr>
          <w:i/>
          <w:lang w:val="fr-FR"/>
        </w:rPr>
        <w:tab/>
      </w:r>
      <w:r w:rsidRPr="00146BDA">
        <w:rPr>
          <w:lang w:val="fr-FR"/>
        </w:rPr>
        <w:t>Article 10</w:t>
      </w:r>
    </w:p>
    <w:p w14:paraId="6A6B64AC" w14:textId="1009AB8B" w:rsidR="00146BDA" w:rsidRPr="00146BDA" w:rsidRDefault="004B7B07" w:rsidP="004B7B07">
      <w:pPr>
        <w:pStyle w:val="H23G"/>
        <w:rPr>
          <w:rFonts w:eastAsia="Calibri"/>
          <w:sz w:val="24"/>
          <w:szCs w:val="24"/>
          <w:lang w:val="fr-FR"/>
        </w:rPr>
      </w:pPr>
      <w:r>
        <w:tab/>
      </w:r>
      <w:r>
        <w:tab/>
      </w:r>
      <w:r w:rsidR="00B54287">
        <w:t>Réponse au paragraphe 14 a) à d) de la liste de points</w:t>
      </w:r>
    </w:p>
    <w:p w14:paraId="185B735A" w14:textId="7B479653" w:rsidR="00794E0E" w:rsidRDefault="00146BDA" w:rsidP="005926AE">
      <w:pPr>
        <w:pStyle w:val="SingleTxtG"/>
        <w:rPr>
          <w:lang w:val="fr-FR"/>
        </w:rPr>
      </w:pPr>
      <w:r w:rsidRPr="00146BDA">
        <w:rPr>
          <w:lang w:val="fr-FR"/>
        </w:rPr>
        <w:t>83.</w:t>
      </w:r>
      <w:r w:rsidRPr="00146BDA">
        <w:rPr>
          <w:lang w:val="fr-FR"/>
        </w:rPr>
        <w:tab/>
        <w:t>En ce qui concerne le personnel pénitentiaire, il est formé sur les droits de l’homme en milieu carcéral à l’Ecole nationale d’</w:t>
      </w:r>
      <w:r w:rsidR="002F6E06">
        <w:rPr>
          <w:lang w:val="fr-FR"/>
        </w:rPr>
        <w:t>a</w:t>
      </w:r>
      <w:r w:rsidRPr="00146BDA">
        <w:rPr>
          <w:lang w:val="fr-FR"/>
        </w:rPr>
        <w:t xml:space="preserve">dministration pénitentiaire. Dans ce cours, un accent particulier est mis sur la définition de la torture, les dispositions des textes internationaux sur les droits de l’homme interdisant la torture et autres peines ou traitements cruels, inhumains et dégradants, notamment l’article 5 de la Déclaration universelle des droits de l’homme et l’article 7 du Pacte international relatif aux droits civils et politiques, la convention contre la Torture et autres peines ou traitements cruels, inhumains ou dégradants et son protocole facultatif et les mécanismes internationaux et nationaux de prévention de la torture. Également des renforcements de capacité sont organisés sur les droits et protection des détenus dans le cadre de la formation continue avec l’appui de l’Observateur national des </w:t>
      </w:r>
      <w:r w:rsidR="00AD6876">
        <w:rPr>
          <w:lang w:val="fr-FR"/>
        </w:rPr>
        <w:t>l</w:t>
      </w:r>
      <w:r w:rsidRPr="00146BDA">
        <w:rPr>
          <w:lang w:val="fr-FR"/>
        </w:rPr>
        <w:t xml:space="preserve">ieux de </w:t>
      </w:r>
      <w:r w:rsidR="00AD6876">
        <w:rPr>
          <w:lang w:val="fr-FR"/>
        </w:rPr>
        <w:t>p</w:t>
      </w:r>
      <w:r w:rsidRPr="00146BDA">
        <w:rPr>
          <w:lang w:val="fr-FR"/>
        </w:rPr>
        <w:t xml:space="preserve">rivation de </w:t>
      </w:r>
      <w:r w:rsidR="00AD6876">
        <w:rPr>
          <w:lang w:val="fr-FR"/>
        </w:rPr>
        <w:t>l</w:t>
      </w:r>
      <w:r w:rsidRPr="00146BDA">
        <w:rPr>
          <w:lang w:val="fr-FR"/>
        </w:rPr>
        <w:t xml:space="preserve">iberté et Amnesty </w:t>
      </w:r>
      <w:r w:rsidR="00AD6876">
        <w:rPr>
          <w:lang w:val="fr-FR"/>
        </w:rPr>
        <w:t>I</w:t>
      </w:r>
      <w:r w:rsidRPr="00146BDA">
        <w:rPr>
          <w:lang w:val="fr-FR"/>
        </w:rPr>
        <w:t xml:space="preserve">nternational. </w:t>
      </w:r>
    </w:p>
    <w:p w14:paraId="4782239F" w14:textId="7F783E9A" w:rsidR="00794E0E" w:rsidRDefault="00146BDA" w:rsidP="005926AE">
      <w:pPr>
        <w:pStyle w:val="SingleTxtG"/>
        <w:rPr>
          <w:lang w:val="fr-FR"/>
        </w:rPr>
      </w:pPr>
      <w:r w:rsidRPr="00146BDA">
        <w:rPr>
          <w:lang w:val="fr-FR"/>
        </w:rPr>
        <w:t>84.</w:t>
      </w:r>
      <w:r w:rsidRPr="00146BDA">
        <w:rPr>
          <w:lang w:val="fr-FR"/>
        </w:rPr>
        <w:tab/>
        <w:t xml:space="preserve">En 2022, la Direction des </w:t>
      </w:r>
      <w:r w:rsidR="00AD6876">
        <w:rPr>
          <w:lang w:val="fr-FR"/>
        </w:rPr>
        <w:t>d</w:t>
      </w:r>
      <w:r w:rsidRPr="00146BDA">
        <w:rPr>
          <w:lang w:val="fr-FR"/>
        </w:rPr>
        <w:t xml:space="preserve">roits </w:t>
      </w:r>
      <w:r w:rsidR="00AD6876">
        <w:rPr>
          <w:lang w:val="fr-FR"/>
        </w:rPr>
        <w:t>h</w:t>
      </w:r>
      <w:r w:rsidRPr="00146BDA">
        <w:rPr>
          <w:lang w:val="fr-FR"/>
        </w:rPr>
        <w:t>umains a formé 45 policiers, 45 gendarmes et 30</w:t>
      </w:r>
      <w:r w:rsidR="002F6E06">
        <w:rPr>
          <w:lang w:val="fr-FR"/>
        </w:rPr>
        <w:t> </w:t>
      </w:r>
      <w:r w:rsidRPr="00146BDA">
        <w:rPr>
          <w:lang w:val="fr-FR"/>
        </w:rPr>
        <w:t xml:space="preserve">agents de l’Administration pénitentiaire sur la responsabilité pénale et disciplinaire des agents des forces de l’ordre en cas de torture ou autres traitements cruels, inhumains ou dégradants. </w:t>
      </w:r>
    </w:p>
    <w:p w14:paraId="06EFFC84" w14:textId="76408FD5" w:rsidR="00146BDA" w:rsidRPr="00146BDA" w:rsidRDefault="00146BDA" w:rsidP="005926AE">
      <w:pPr>
        <w:pStyle w:val="SingleTxtG"/>
      </w:pPr>
      <w:r w:rsidRPr="00146BDA">
        <w:t>85.</w:t>
      </w:r>
      <w:r w:rsidRPr="00146BDA">
        <w:tab/>
        <w:t xml:space="preserve">La Convention est prise en compte dans les programmes de formation des forces armées et de sécurité ainsi que dans leurs règles d’engagement. Ainsi, il existe des modules </w:t>
      </w:r>
      <w:r w:rsidRPr="00146BDA">
        <w:lastRenderedPageBreak/>
        <w:t xml:space="preserve">de formation dans les écoles de formation militaires pour les officiers et sous-officiers des armées. Il en est ainsi aussi pour la formation continue où les contingents en partance pour les opérations de maintien de la paix sont systématiquement formés en droit international humanitaire. En plus, les forces de défense et de sécurité reçoivent très souvent des formations en droit dans le cadre d’ateliers et de séminaires de formation. Récemment le Conseil </w:t>
      </w:r>
      <w:r w:rsidR="002F6E06">
        <w:t>c</w:t>
      </w:r>
      <w:r w:rsidRPr="00146BDA">
        <w:t>onsultatif avec la Direction des droits humains a noué des partenariats avec l’Ecole nationale de police en droit de l’</w:t>
      </w:r>
      <w:r w:rsidR="002F6E06">
        <w:t>h</w:t>
      </w:r>
      <w:r w:rsidRPr="00146BDA">
        <w:t xml:space="preserve">omme et Droit International Humanitaire (DIH). </w:t>
      </w:r>
    </w:p>
    <w:p w14:paraId="3FE6F115" w14:textId="211614CD" w:rsidR="00794E0E" w:rsidRDefault="00146BDA" w:rsidP="005926AE">
      <w:pPr>
        <w:pStyle w:val="SingleTxtG"/>
      </w:pPr>
      <w:r w:rsidRPr="00146BDA">
        <w:t>86.</w:t>
      </w:r>
      <w:r w:rsidRPr="00146BDA">
        <w:tab/>
        <w:t xml:space="preserve">En outre, au niveau du Centre de </w:t>
      </w:r>
      <w:r w:rsidR="00C55D22">
        <w:t>f</w:t>
      </w:r>
      <w:r w:rsidRPr="00146BDA">
        <w:t xml:space="preserve">ormation </w:t>
      </w:r>
      <w:r w:rsidR="00C55D22">
        <w:t>j</w:t>
      </w:r>
      <w:r w:rsidRPr="00146BDA">
        <w:t>udiciaire les élèves magistrat sont initiés à des cours de droit de l’</w:t>
      </w:r>
      <w:r w:rsidR="00C55D22">
        <w:t>h</w:t>
      </w:r>
      <w:r w:rsidRPr="00146BDA">
        <w:t>omme.</w:t>
      </w:r>
    </w:p>
    <w:p w14:paraId="4A732FFD" w14:textId="6728ADB3" w:rsidR="00794E0E" w:rsidRDefault="00146BDA" w:rsidP="005926AE">
      <w:pPr>
        <w:pStyle w:val="SingleTxtG"/>
        <w:rPr>
          <w:lang w:val="fr-FR"/>
        </w:rPr>
      </w:pPr>
      <w:r w:rsidRPr="00146BDA">
        <w:rPr>
          <w:lang w:val="fr-FR"/>
        </w:rPr>
        <w:t>87.</w:t>
      </w:r>
      <w:r w:rsidRPr="00146BDA">
        <w:rPr>
          <w:lang w:val="fr-FR"/>
        </w:rPr>
        <w:tab/>
        <w:t>Les fonctionnaires de police bénéficient d’un programme de formation sur les droits humains. C’est d’abord à l’Ecole nationale de police que ce programme de formation démarre avec différents modules notamment les droits de l’</w:t>
      </w:r>
      <w:r w:rsidR="00C55D22">
        <w:rPr>
          <w:lang w:val="fr-FR"/>
        </w:rPr>
        <w:t>h</w:t>
      </w:r>
      <w:r w:rsidRPr="00146BDA">
        <w:rPr>
          <w:lang w:val="fr-FR"/>
        </w:rPr>
        <w:t>omme, la gestion démocratique des foules.</w:t>
      </w:r>
    </w:p>
    <w:p w14:paraId="17FC6F67" w14:textId="16ED2978" w:rsidR="00794E0E" w:rsidRDefault="00146BDA" w:rsidP="005926AE">
      <w:pPr>
        <w:pStyle w:val="SingleTxtG"/>
        <w:rPr>
          <w:lang w:val="fr-FR"/>
        </w:rPr>
      </w:pPr>
      <w:r w:rsidRPr="00146BDA">
        <w:rPr>
          <w:lang w:val="fr-FR"/>
        </w:rPr>
        <w:t>88.</w:t>
      </w:r>
      <w:r w:rsidRPr="00146BDA">
        <w:rPr>
          <w:lang w:val="fr-FR"/>
        </w:rPr>
        <w:tab/>
        <w:t xml:space="preserve">Les agents des forces de l’ordre et de sécurité sont régulièrement sensibilisés sur la responsabilité pénale qu’ils encourent en cas de torture ou de comportement assimilables, conformément aux disposions de l’article 295-1 du </w:t>
      </w:r>
      <w:r w:rsidR="00C55D22" w:rsidRPr="00146BDA">
        <w:rPr>
          <w:lang w:val="fr-FR"/>
        </w:rPr>
        <w:t xml:space="preserve">Code </w:t>
      </w:r>
      <w:r w:rsidRPr="00146BDA">
        <w:rPr>
          <w:lang w:val="fr-FR"/>
        </w:rPr>
        <w:t>pénal sénégalais.</w:t>
      </w:r>
    </w:p>
    <w:p w14:paraId="27EF88F7" w14:textId="77B9B0F2" w:rsidR="00794E0E" w:rsidRDefault="00146BDA" w:rsidP="004B7B07">
      <w:pPr>
        <w:pStyle w:val="SingleTxtG"/>
        <w:rPr>
          <w:lang w:val="fr-FR"/>
        </w:rPr>
      </w:pPr>
      <w:r w:rsidRPr="00146BDA">
        <w:rPr>
          <w:lang w:val="fr-FR"/>
        </w:rPr>
        <w:t>89.</w:t>
      </w:r>
      <w:r w:rsidRPr="00146BDA">
        <w:rPr>
          <w:lang w:val="fr-FR"/>
        </w:rPr>
        <w:tab/>
        <w:t>Durant la carrière, les fonctionnaires de police bénéficient d’un renforcement de capacités sur la protection des mineurs, des victimes de violences basées sur le genre, des personnes vulnérables.</w:t>
      </w:r>
      <w:r w:rsidR="004B7B07">
        <w:rPr>
          <w:lang w:val="fr-FR"/>
        </w:rPr>
        <w:t xml:space="preserve"> </w:t>
      </w:r>
      <w:r w:rsidR="008F2675">
        <w:rPr>
          <w:lang w:val="fr-FR"/>
        </w:rPr>
        <w:t>À</w:t>
      </w:r>
      <w:r w:rsidRPr="00146BDA">
        <w:rPr>
          <w:lang w:val="fr-FR"/>
        </w:rPr>
        <w:t xml:space="preserve"> titre illustratif, un guide pratique a été élaboré en décembre 2019 dans le cadre du Programme de Partenariat de Solution de Développement (PSD) entre le UNDP Séoul Policy Centre et le PNUD Sénégal sur le renforcement des capacités des forces de sécurité dans la prise en charge des victimes de violences basées sur le genre (VGB).</w:t>
      </w:r>
    </w:p>
    <w:p w14:paraId="0B7C9B40" w14:textId="77777777" w:rsidR="00794E0E" w:rsidRDefault="00146BDA" w:rsidP="005926AE">
      <w:pPr>
        <w:pStyle w:val="SingleTxtG"/>
        <w:rPr>
          <w:lang w:val="fr-FR"/>
        </w:rPr>
      </w:pPr>
      <w:r w:rsidRPr="00146BDA">
        <w:rPr>
          <w:lang w:val="fr-FR"/>
        </w:rPr>
        <w:t>90.</w:t>
      </w:r>
      <w:r w:rsidRPr="00146BDA">
        <w:rPr>
          <w:lang w:val="fr-FR"/>
        </w:rPr>
        <w:tab/>
        <w:t>Dans un souci d’efficacité, des services spécialisés ont été créés pour la prise en charge des questions liées aux personnes vulnérables et aux demandes d’asile.</w:t>
      </w:r>
    </w:p>
    <w:p w14:paraId="057D4DCF" w14:textId="1A668B00" w:rsidR="004B7B07" w:rsidRDefault="004B7B07" w:rsidP="004B7B07">
      <w:pPr>
        <w:pStyle w:val="H23G"/>
        <w:rPr>
          <w:rFonts w:eastAsia="Calibri"/>
          <w:bCs/>
          <w:iCs/>
          <w:color w:val="000000"/>
          <w:sz w:val="24"/>
          <w:szCs w:val="24"/>
          <w:lang w:val="fr-FR"/>
        </w:rPr>
      </w:pPr>
      <w:r>
        <w:tab/>
      </w:r>
      <w:r>
        <w:tab/>
        <w:t>Réponse au paragraphe 15 de la liste de points</w:t>
      </w:r>
      <w:r w:rsidRPr="00146BDA">
        <w:rPr>
          <w:rFonts w:eastAsia="Calibri"/>
          <w:bCs/>
          <w:iCs/>
          <w:color w:val="000000"/>
          <w:sz w:val="24"/>
          <w:szCs w:val="24"/>
          <w:lang w:val="fr-FR"/>
        </w:rPr>
        <w:t xml:space="preserve"> </w:t>
      </w:r>
    </w:p>
    <w:p w14:paraId="62F6BE5F" w14:textId="1E1E24FA" w:rsidR="00146BDA" w:rsidRPr="00146BDA" w:rsidRDefault="00146BDA" w:rsidP="005926AE">
      <w:pPr>
        <w:pStyle w:val="SingleTxtG"/>
        <w:rPr>
          <w:lang w:val="fr-FR" w:eastAsia="es-ES"/>
        </w:rPr>
      </w:pPr>
      <w:r w:rsidRPr="00146BDA">
        <w:rPr>
          <w:lang w:val="fr-FR" w:eastAsia="es-ES"/>
        </w:rPr>
        <w:t>91.</w:t>
      </w:r>
      <w:r>
        <w:rPr>
          <w:lang w:val="fr-FR" w:eastAsia="es-ES"/>
        </w:rPr>
        <w:t xml:space="preserve"> </w:t>
      </w:r>
      <w:r w:rsidR="004B7B07">
        <w:rPr>
          <w:lang w:val="fr-FR" w:eastAsia="es-ES"/>
        </w:rPr>
        <w:tab/>
      </w:r>
      <w:r w:rsidRPr="00146BDA">
        <w:rPr>
          <w:lang w:val="fr-FR" w:eastAsia="es-ES"/>
        </w:rPr>
        <w:t>Le Sénégal n’a pas encore initié de programmes de formation sur la détection des séquelles physiques et psychologiques de la torture pour les juges et les procureurs afin d’établir des faits de torture et de vérifier la recevabilité des aveux.</w:t>
      </w:r>
    </w:p>
    <w:p w14:paraId="1E2D0135" w14:textId="624F5BBB" w:rsidR="00146BDA" w:rsidRPr="00146BDA" w:rsidRDefault="004B7B07" w:rsidP="004B7B07">
      <w:pPr>
        <w:pStyle w:val="H23G"/>
        <w:rPr>
          <w:rFonts w:eastAsia="Calibri"/>
          <w:sz w:val="24"/>
          <w:szCs w:val="24"/>
        </w:rPr>
      </w:pPr>
      <w:r>
        <w:tab/>
      </w:r>
      <w:r>
        <w:tab/>
        <w:t>Réponse au paragraphe 16 a) de la liste de points</w:t>
      </w:r>
    </w:p>
    <w:p w14:paraId="3F941536" w14:textId="2529A414" w:rsidR="00146BDA" w:rsidRPr="00146BDA" w:rsidRDefault="00146BDA" w:rsidP="005926AE">
      <w:pPr>
        <w:pStyle w:val="SingleTxtG"/>
        <w:rPr>
          <w:lang w:val="fr-FR"/>
        </w:rPr>
      </w:pPr>
      <w:r w:rsidRPr="00146BDA">
        <w:t>92.</w:t>
      </w:r>
      <w:r w:rsidRPr="00146BDA">
        <w:tab/>
        <w:t xml:space="preserve">Même si aucune disposition du </w:t>
      </w:r>
      <w:r w:rsidR="00C9311F" w:rsidRPr="00146BDA">
        <w:t xml:space="preserve">Code </w:t>
      </w:r>
      <w:r w:rsidRPr="00146BDA">
        <w:t>de procédure pénale ne fixe encore de façon explicite les circonstances pouvant la justifier, la détention provisoire n’est pas automatique et elle ne constitue pas le principe. Les critères classiques dégagés par la jurisprudence s’appliquent dans toute leur rigueur et les juges qui y recourent sont obligés d’exposer les motifs justifiant le placement sous mandat de dépôt (absence de garantie de représentation, risques de représailles, risques de troubles graves à l’ordre public ou d’entrave au rassemblement d’éléments de preuve).</w:t>
      </w:r>
    </w:p>
    <w:p w14:paraId="6C9BA28C" w14:textId="305D7C2A" w:rsidR="00794E0E" w:rsidRDefault="00146BDA" w:rsidP="005926AE">
      <w:pPr>
        <w:pStyle w:val="SingleTxtG"/>
      </w:pPr>
      <w:r w:rsidRPr="00146BDA">
        <w:t>93.</w:t>
      </w:r>
      <w:r w:rsidRPr="00146BDA">
        <w:tab/>
        <w:t>Cette mesure est rigoureusement encadrée et limitée dans le temps. En effet, en matière correctionnelle, pour les infractions dont le maximum de la peine d’emprisonnement prévue est inférieur ou égal à trois (3) ans, l’inculpé régulièrement domicilié dans le ressort de la juridiction saisie ne peut faire l’objet d’une mesure de détention tandis que celui domicilié au Sénégal ne peut être détenu plus de cinq (5) jours.</w:t>
      </w:r>
    </w:p>
    <w:p w14:paraId="08AA0446" w14:textId="0D713585" w:rsidR="00794E0E" w:rsidRDefault="00146BDA" w:rsidP="005926AE">
      <w:pPr>
        <w:pStyle w:val="SingleTxtG"/>
      </w:pPr>
      <w:r w:rsidRPr="00146BDA">
        <w:t>94.</w:t>
      </w:r>
      <w:r w:rsidRPr="00146BDA">
        <w:tab/>
        <w:t>Pour ce qui est des autres délits, le mandat de dépôt délivré conformément aux principes sus-rappelés, n’est valable que pour une durée de six (6) mois non renouvelable et les juges saisis apprécient en tenant compte des circonstances propres à chaque inculpé.</w:t>
      </w:r>
    </w:p>
    <w:p w14:paraId="34ED6A45" w14:textId="77777777" w:rsidR="00794E0E" w:rsidRDefault="00146BDA" w:rsidP="005926AE">
      <w:pPr>
        <w:pStyle w:val="SingleTxtG"/>
      </w:pPr>
      <w:r w:rsidRPr="00146BDA">
        <w:t>95.</w:t>
      </w:r>
      <w:r w:rsidRPr="00146BDA">
        <w:tab/>
        <w:t>C’est dire donc que les magistrats usent aussi des mesures de contrôle judiciaire et de mise en liberté provisoire et il n’est recouru au mandat de dépôt que lorsqu’il apparait que la détention constitue l’unique moyen susceptible de garantir la bonne marche de la procédure.</w:t>
      </w:r>
    </w:p>
    <w:p w14:paraId="4D8355AE" w14:textId="6DF0350D" w:rsidR="00794E0E" w:rsidRDefault="00146BDA" w:rsidP="005926AE">
      <w:pPr>
        <w:pStyle w:val="SingleTxtG"/>
      </w:pPr>
      <w:bookmarkStart w:id="17" w:name="_Hlk102865559"/>
      <w:r w:rsidRPr="00146BDA">
        <w:t>96.</w:t>
      </w:r>
      <w:r w:rsidRPr="00146BDA">
        <w:tab/>
        <w:t xml:space="preserve">C’est d’ailleurs cette volonté de privilégier les alternatives à la détention provisoire qui a notamment conduit le législateur sénégalais à introduire dans le </w:t>
      </w:r>
      <w:r w:rsidR="00C55D22" w:rsidRPr="00146BDA">
        <w:t xml:space="preserve">Code </w:t>
      </w:r>
      <w:r w:rsidRPr="00146BDA">
        <w:t xml:space="preserve">de procédure pénale l’assignation à résidence avec placement sous surveillance électronique, à travers la loi </w:t>
      </w:r>
      <w:r w:rsidR="00C55D22">
        <w:rPr>
          <w:lang w:val="fr-FR"/>
        </w:rPr>
        <w:t>n</w:t>
      </w:r>
      <w:r w:rsidR="00C55D22" w:rsidRPr="005A743A">
        <w:rPr>
          <w:vertAlign w:val="superscript"/>
          <w:lang w:val="fr-FR"/>
        </w:rPr>
        <w:t>o</w:t>
      </w:r>
      <w:r w:rsidR="00C55D22">
        <w:rPr>
          <w:lang w:val="fr-FR"/>
        </w:rPr>
        <w:t> </w:t>
      </w:r>
      <w:r w:rsidRPr="00146BDA">
        <w:t>2020-29 du 17 juillet 2020.</w:t>
      </w:r>
    </w:p>
    <w:p w14:paraId="0E878100" w14:textId="1312A652" w:rsidR="00146BDA" w:rsidRPr="00146BDA" w:rsidRDefault="00146BDA" w:rsidP="005926AE">
      <w:pPr>
        <w:pStyle w:val="SingleTxtG"/>
      </w:pPr>
      <w:r w:rsidRPr="00146BDA">
        <w:lastRenderedPageBreak/>
        <w:t>97.</w:t>
      </w:r>
      <w:r w:rsidRPr="00146BDA">
        <w:tab/>
        <w:t>Il faut par ailleurs souligner que le régime de la détention est en train d’être révisé, pour intégrer toutes les observations pertinentes qui ont pu être recensées. Le projet y relatif est en cours d’élaboration et devrait être finalisé sous peu.</w:t>
      </w:r>
      <w:bookmarkEnd w:id="17"/>
    </w:p>
    <w:p w14:paraId="7F6C95DE" w14:textId="79D886B7" w:rsidR="00146BDA" w:rsidRPr="00146BDA" w:rsidRDefault="004B7B07" w:rsidP="004B7B07">
      <w:pPr>
        <w:pStyle w:val="H23G"/>
        <w:rPr>
          <w:rFonts w:eastAsia="Calibri"/>
          <w:sz w:val="24"/>
          <w:szCs w:val="24"/>
        </w:rPr>
      </w:pPr>
      <w:r>
        <w:tab/>
      </w:r>
      <w:r>
        <w:tab/>
        <w:t>Réponse au paragraphe 16 b) de la liste de points</w:t>
      </w:r>
    </w:p>
    <w:p w14:paraId="03BE60AF" w14:textId="76C255F1" w:rsidR="00146BDA" w:rsidRPr="00146BDA" w:rsidRDefault="00146BDA" w:rsidP="005926AE">
      <w:pPr>
        <w:pStyle w:val="SingleTxtG"/>
      </w:pPr>
      <w:r w:rsidRPr="00146BDA">
        <w:t>98.</w:t>
      </w:r>
      <w:r>
        <w:t xml:space="preserve"> </w:t>
      </w:r>
      <w:r w:rsidR="005926AE">
        <w:tab/>
      </w:r>
      <w:r w:rsidRPr="00146BDA">
        <w:t>Le projet de loi relatif à la Justice juvénile n’a pas encore été voté.</w:t>
      </w:r>
    </w:p>
    <w:p w14:paraId="398FD6F1" w14:textId="0B0121C4" w:rsidR="00146BDA" w:rsidRPr="00146BDA" w:rsidRDefault="00146BDA" w:rsidP="005926AE">
      <w:pPr>
        <w:pStyle w:val="SingleTxtG"/>
        <w:rPr>
          <w:bCs/>
          <w:iCs/>
        </w:rPr>
      </w:pPr>
      <w:r w:rsidRPr="00146BDA">
        <w:t>99.</w:t>
      </w:r>
      <w:r>
        <w:t xml:space="preserve"> </w:t>
      </w:r>
      <w:r w:rsidR="005926AE">
        <w:tab/>
      </w:r>
      <w:r w:rsidRPr="00146BDA">
        <w:t>En ce qui concerne les mesures pour éviter la surpopulation carcérale, l’</w:t>
      </w:r>
      <w:r w:rsidR="009F3C58">
        <w:t>État</w:t>
      </w:r>
      <w:r w:rsidRPr="00146BDA">
        <w:t xml:space="preserve"> du Sénégal à travers la Direction des </w:t>
      </w:r>
      <w:r w:rsidR="00C55D22">
        <w:t>a</w:t>
      </w:r>
      <w:r w:rsidRPr="00146BDA">
        <w:t xml:space="preserve">ffaires </w:t>
      </w:r>
      <w:r w:rsidR="00C55D22">
        <w:t>c</w:t>
      </w:r>
      <w:r w:rsidRPr="00146BDA">
        <w:t xml:space="preserve">riminelles et des </w:t>
      </w:r>
      <w:r w:rsidR="00C55D22">
        <w:t>g</w:t>
      </w:r>
      <w:r w:rsidRPr="00146BDA">
        <w:t xml:space="preserve">râces encourage et favorise </w:t>
      </w:r>
      <w:r w:rsidRPr="00146BDA">
        <w:rPr>
          <w:bCs/>
          <w:iCs/>
          <w:lang w:val="fr-FR"/>
        </w:rPr>
        <w:t>les libérations conditionnelles, les réductions de peine, les grâces. L’introduction dans notre législation du port du bracelet électronique contribue également au désengorgement des lieux de détention. En effet,</w:t>
      </w:r>
      <w:r w:rsidRPr="00146BDA">
        <w:rPr>
          <w:bCs/>
          <w:iCs/>
        </w:rPr>
        <w:t xml:space="preserve"> la réglementation sur la détention provisoire est modifiée par la loi </w:t>
      </w:r>
      <w:r w:rsidR="00C55D22">
        <w:rPr>
          <w:lang w:val="fr-FR"/>
        </w:rPr>
        <w:t>n</w:t>
      </w:r>
      <w:r w:rsidR="00C55D22" w:rsidRPr="005A743A">
        <w:rPr>
          <w:vertAlign w:val="superscript"/>
          <w:lang w:val="fr-FR"/>
        </w:rPr>
        <w:t>o</w:t>
      </w:r>
      <w:r w:rsidR="00C55D22">
        <w:rPr>
          <w:lang w:val="fr-FR"/>
        </w:rPr>
        <w:t> </w:t>
      </w:r>
      <w:r w:rsidRPr="00146BDA">
        <w:rPr>
          <w:bCs/>
          <w:iCs/>
        </w:rPr>
        <w:t xml:space="preserve">2020-28 du 7 juillet 2020 modifiant le Code pénal et consacrant le placement sous surveillance électronique comme mode d’aménagement des peines et l’assignation à résidence avec placement sous surveillance électronique, à travers la loi </w:t>
      </w:r>
      <w:r w:rsidR="00C55D22">
        <w:rPr>
          <w:lang w:val="fr-FR"/>
        </w:rPr>
        <w:t>n</w:t>
      </w:r>
      <w:r w:rsidR="00C55D22" w:rsidRPr="005A743A">
        <w:rPr>
          <w:vertAlign w:val="superscript"/>
          <w:lang w:val="fr-FR"/>
        </w:rPr>
        <w:t>o</w:t>
      </w:r>
      <w:r w:rsidR="00C55D22">
        <w:rPr>
          <w:lang w:val="fr-FR"/>
        </w:rPr>
        <w:t> </w:t>
      </w:r>
      <w:r w:rsidRPr="00146BDA">
        <w:rPr>
          <w:bCs/>
          <w:iCs/>
        </w:rPr>
        <w:t>2020-29 du 17</w:t>
      </w:r>
      <w:r w:rsidR="00C55D22">
        <w:rPr>
          <w:bCs/>
          <w:iCs/>
        </w:rPr>
        <w:t> </w:t>
      </w:r>
      <w:r w:rsidRPr="00146BDA">
        <w:rPr>
          <w:bCs/>
          <w:iCs/>
        </w:rPr>
        <w:t xml:space="preserve">juillet 2020. </w:t>
      </w:r>
    </w:p>
    <w:p w14:paraId="5E35AC52" w14:textId="45790244" w:rsidR="00146BDA" w:rsidRPr="00146BDA" w:rsidRDefault="00146BDA" w:rsidP="005926AE">
      <w:pPr>
        <w:pStyle w:val="SingleTxtG"/>
        <w:rPr>
          <w:lang w:val="fr-FR"/>
        </w:rPr>
      </w:pPr>
      <w:r w:rsidRPr="00146BDA">
        <w:rPr>
          <w:lang w:val="fr-FR"/>
        </w:rPr>
        <w:t>100.</w:t>
      </w:r>
      <w:r>
        <w:rPr>
          <w:lang w:val="fr-FR"/>
        </w:rPr>
        <w:t xml:space="preserve"> </w:t>
      </w:r>
      <w:r w:rsidR="005926AE">
        <w:rPr>
          <w:lang w:val="fr-FR"/>
        </w:rPr>
        <w:tab/>
      </w:r>
      <w:r w:rsidRPr="00146BDA">
        <w:rPr>
          <w:lang w:val="fr-FR"/>
        </w:rPr>
        <w:t>C’est dans cette même dynamique que depuis 2018, l’</w:t>
      </w:r>
      <w:r w:rsidR="009F3C58">
        <w:rPr>
          <w:lang w:val="fr-FR"/>
        </w:rPr>
        <w:t>État</w:t>
      </w:r>
      <w:r w:rsidRPr="00146BDA">
        <w:rPr>
          <w:lang w:val="fr-FR"/>
        </w:rPr>
        <w:t xml:space="preserve"> a procédé à plusieurs recrutements de magistrats, formés et affectés à travers le pays.</w:t>
      </w:r>
    </w:p>
    <w:p w14:paraId="4C20BEA6" w14:textId="0BD865B5" w:rsidR="00146BDA" w:rsidRPr="00146BDA" w:rsidRDefault="00146BDA" w:rsidP="005926AE">
      <w:pPr>
        <w:pStyle w:val="SingleTxtG"/>
        <w:rPr>
          <w:lang w:val="fr-SN"/>
        </w:rPr>
      </w:pPr>
      <w:r w:rsidRPr="00146BDA">
        <w:rPr>
          <w:lang w:val="fr-SN"/>
        </w:rPr>
        <w:t>101.</w:t>
      </w:r>
      <w:r w:rsidRPr="00146BDA">
        <w:rPr>
          <w:lang w:val="fr-SN"/>
        </w:rPr>
        <w:tab/>
        <w:t>Concernant les données statistiques sur le nombre de personnes en détention provisoire et condamnées, ainsi que le taux d’occupation de chaque centre de détention (voir tableau ci-dessous) :</w:t>
      </w:r>
    </w:p>
    <w:p w14:paraId="1F3EBF9F" w14:textId="0F469498" w:rsidR="00146BDA" w:rsidRPr="005926AE" w:rsidRDefault="005926AE" w:rsidP="005926AE">
      <w:pPr>
        <w:pStyle w:val="H23G"/>
        <w:rPr>
          <w:lang w:val="fr-SN"/>
        </w:rPr>
      </w:pPr>
      <w:r w:rsidRPr="005926AE">
        <w:tab/>
      </w:r>
      <w:r w:rsidRPr="005926AE">
        <w:tab/>
      </w:r>
      <w:proofErr w:type="spellStart"/>
      <w:r w:rsidR="00146BDA" w:rsidRPr="005926AE">
        <w:t>Nomb</w:t>
      </w:r>
      <w:proofErr w:type="spellEnd"/>
      <w:r w:rsidR="00146BDA" w:rsidRPr="005926AE">
        <w:rPr>
          <w:lang w:val="fr-SN"/>
        </w:rPr>
        <w:t>re de personne en détention provisoire et condamnées de 2018 à 2021</w:t>
      </w:r>
    </w:p>
    <w:tbl>
      <w:tblPr>
        <w:tblW w:w="7370" w:type="dxa"/>
        <w:tblInd w:w="1134" w:type="dxa"/>
        <w:tblLayout w:type="fixed"/>
        <w:tblCellMar>
          <w:left w:w="0" w:type="dxa"/>
          <w:right w:w="0" w:type="dxa"/>
        </w:tblCellMar>
        <w:tblLook w:val="04A0" w:firstRow="1" w:lastRow="0" w:firstColumn="1" w:lastColumn="0" w:noHBand="0" w:noVBand="1"/>
      </w:tblPr>
      <w:tblGrid>
        <w:gridCol w:w="1795"/>
        <w:gridCol w:w="2781"/>
        <w:gridCol w:w="1779"/>
        <w:gridCol w:w="1015"/>
      </w:tblGrid>
      <w:tr w:rsidR="005926AE" w:rsidRPr="005926AE" w14:paraId="42A2D5B1" w14:textId="77777777" w:rsidTr="00832A7B">
        <w:trPr>
          <w:tblHeader/>
        </w:trPr>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549FE05" w14:textId="77777777" w:rsidR="00146BDA" w:rsidRPr="00146BDA" w:rsidRDefault="00146BDA" w:rsidP="006D217C">
            <w:pPr>
              <w:suppressAutoHyphens w:val="0"/>
              <w:kinsoku/>
              <w:overflowPunct/>
              <w:autoSpaceDE/>
              <w:autoSpaceDN/>
              <w:adjustRightInd/>
              <w:snapToGrid/>
              <w:spacing w:before="80" w:after="80" w:line="200" w:lineRule="exact"/>
              <w:jc w:val="center"/>
              <w:rPr>
                <w:rFonts w:eastAsia="Times New Roman"/>
                <w:i/>
                <w:sz w:val="16"/>
                <w:szCs w:val="24"/>
                <w:lang w:val="en-US"/>
              </w:rPr>
            </w:pPr>
            <w:r w:rsidRPr="00146BDA">
              <w:rPr>
                <w:rFonts w:eastAsia="Times New Roman"/>
                <w:bCs/>
                <w:i/>
                <w:sz w:val="16"/>
                <w:szCs w:val="24"/>
                <w:lang w:val="en-US"/>
              </w:rPr>
              <w:t>31.12.2018</w:t>
            </w:r>
          </w:p>
        </w:tc>
      </w:tr>
      <w:tr w:rsidR="005926AE" w:rsidRPr="00832A7B" w14:paraId="3973A0FB" w14:textId="77777777" w:rsidTr="00832A7B">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7BECB2E6" w14:textId="77777777" w:rsidR="00146BDA" w:rsidRPr="00832A7B" w:rsidRDefault="00146BDA" w:rsidP="00832A7B">
            <w:pPr>
              <w:suppressAutoHyphens w:val="0"/>
              <w:kinsoku/>
              <w:overflowPunct/>
              <w:autoSpaceDE/>
              <w:autoSpaceDN/>
              <w:adjustRightInd/>
              <w:snapToGrid/>
              <w:spacing w:before="80" w:after="80" w:line="200" w:lineRule="exac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Nationalités</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42982C52"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Détenus</w:t>
            </w:r>
            <w:proofErr w:type="spellEnd"/>
            <w:r w:rsidRPr="00832A7B">
              <w:rPr>
                <w:rFonts w:eastAsia="Times New Roman"/>
                <w:i/>
                <w:spacing w:val="4"/>
                <w:w w:val="103"/>
                <w:kern w:val="14"/>
                <w:sz w:val="16"/>
                <w:szCs w:val="24"/>
                <w:lang w:val="en-US"/>
              </w:rPr>
              <w:t xml:space="preserve"> </w:t>
            </w:r>
            <w:proofErr w:type="spellStart"/>
            <w:r w:rsidRPr="00832A7B">
              <w:rPr>
                <w:rFonts w:eastAsia="Times New Roman"/>
                <w:i/>
                <w:spacing w:val="4"/>
                <w:w w:val="103"/>
                <w:kern w:val="14"/>
                <w:sz w:val="16"/>
                <w:szCs w:val="24"/>
                <w:lang w:val="en-US"/>
              </w:rPr>
              <w:t>provisoires</w:t>
            </w:r>
            <w:proofErr w:type="spellEnd"/>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62E92EE9"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Condamnés</w:t>
            </w:r>
            <w:proofErr w:type="spellEnd"/>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26B99AC8"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b/>
                <w:i/>
                <w:spacing w:val="4"/>
                <w:w w:val="103"/>
                <w:kern w:val="14"/>
                <w:sz w:val="16"/>
                <w:szCs w:val="24"/>
                <w:lang w:val="en-US"/>
              </w:rPr>
            </w:pPr>
            <w:r w:rsidRPr="00832A7B">
              <w:rPr>
                <w:rFonts w:eastAsia="Times New Roman"/>
                <w:b/>
                <w:i/>
                <w:spacing w:val="4"/>
                <w:w w:val="103"/>
                <w:kern w:val="14"/>
                <w:sz w:val="16"/>
                <w:szCs w:val="24"/>
                <w:lang w:val="en-US"/>
              </w:rPr>
              <w:t>Total</w:t>
            </w:r>
          </w:p>
        </w:tc>
      </w:tr>
      <w:tr w:rsidR="005926AE" w:rsidRPr="005926AE" w14:paraId="51D040ED" w14:textId="77777777" w:rsidTr="00832A7B">
        <w:tc>
          <w:tcPr>
            <w:tcW w:w="1795" w:type="dxa"/>
            <w:tcBorders>
              <w:top w:val="single" w:sz="12" w:space="0" w:color="auto"/>
            </w:tcBorders>
            <w:shd w:val="clear" w:color="auto" w:fill="auto"/>
            <w:tcMar>
              <w:top w:w="0" w:type="dxa"/>
              <w:left w:w="108" w:type="dxa"/>
              <w:bottom w:w="0" w:type="dxa"/>
              <w:right w:w="108" w:type="dxa"/>
            </w:tcMar>
            <w:hideMark/>
          </w:tcPr>
          <w:p w14:paraId="23F38B1C"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Sénégalais</w:t>
            </w:r>
            <w:proofErr w:type="spellEnd"/>
          </w:p>
        </w:tc>
        <w:tc>
          <w:tcPr>
            <w:tcW w:w="2781" w:type="dxa"/>
            <w:tcBorders>
              <w:top w:val="single" w:sz="12" w:space="0" w:color="auto"/>
            </w:tcBorders>
            <w:shd w:val="clear" w:color="auto" w:fill="auto"/>
            <w:tcMar>
              <w:top w:w="0" w:type="dxa"/>
              <w:left w:w="108" w:type="dxa"/>
              <w:bottom w:w="0" w:type="dxa"/>
              <w:right w:w="108" w:type="dxa"/>
            </w:tcMar>
            <w:hideMark/>
          </w:tcPr>
          <w:p w14:paraId="512C876A"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4173</w:t>
            </w:r>
          </w:p>
        </w:tc>
        <w:tc>
          <w:tcPr>
            <w:tcW w:w="1779" w:type="dxa"/>
            <w:tcBorders>
              <w:top w:val="single" w:sz="12" w:space="0" w:color="auto"/>
            </w:tcBorders>
            <w:shd w:val="clear" w:color="auto" w:fill="auto"/>
            <w:tcMar>
              <w:top w:w="0" w:type="dxa"/>
              <w:left w:w="108" w:type="dxa"/>
              <w:bottom w:w="0" w:type="dxa"/>
              <w:right w:w="108" w:type="dxa"/>
            </w:tcMar>
            <w:hideMark/>
          </w:tcPr>
          <w:p w14:paraId="3453C9F8" w14:textId="3795015B"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w:t>
            </w:r>
            <w:r w:rsidR="00C55D22" w:rsidRPr="006D217C">
              <w:rPr>
                <w:rFonts w:eastAsia="Times New Roman"/>
                <w:sz w:val="18"/>
                <w:szCs w:val="24"/>
                <w:lang w:val="en-US"/>
              </w:rPr>
              <w:t xml:space="preserve"> </w:t>
            </w:r>
            <w:r w:rsidRPr="006D217C">
              <w:rPr>
                <w:rFonts w:eastAsia="Times New Roman"/>
                <w:sz w:val="18"/>
                <w:szCs w:val="24"/>
                <w:lang w:val="en-US"/>
              </w:rPr>
              <w:t>724</w:t>
            </w:r>
          </w:p>
        </w:tc>
        <w:tc>
          <w:tcPr>
            <w:tcW w:w="1015" w:type="dxa"/>
            <w:tcBorders>
              <w:top w:val="single" w:sz="12" w:space="0" w:color="auto"/>
            </w:tcBorders>
            <w:shd w:val="clear" w:color="auto" w:fill="auto"/>
            <w:tcMar>
              <w:top w:w="0" w:type="dxa"/>
              <w:left w:w="108" w:type="dxa"/>
              <w:bottom w:w="0" w:type="dxa"/>
              <w:right w:w="108" w:type="dxa"/>
            </w:tcMar>
            <w:hideMark/>
          </w:tcPr>
          <w:p w14:paraId="0D780E7B" w14:textId="6A61D27A"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9</w:t>
            </w:r>
            <w:r w:rsidR="00C55D22">
              <w:rPr>
                <w:rFonts w:eastAsia="Times New Roman"/>
                <w:b/>
                <w:bCs/>
                <w:sz w:val="18"/>
                <w:szCs w:val="24"/>
                <w:lang w:val="en-US"/>
              </w:rPr>
              <w:t xml:space="preserve"> </w:t>
            </w:r>
            <w:r w:rsidRPr="00146BDA">
              <w:rPr>
                <w:rFonts w:eastAsia="Times New Roman"/>
                <w:b/>
                <w:bCs/>
                <w:sz w:val="18"/>
                <w:szCs w:val="24"/>
                <w:lang w:val="en-US"/>
              </w:rPr>
              <w:t>897</w:t>
            </w:r>
          </w:p>
        </w:tc>
      </w:tr>
      <w:tr w:rsidR="005926AE" w:rsidRPr="005926AE" w14:paraId="2FF8A304" w14:textId="77777777" w:rsidTr="00794E0E">
        <w:tc>
          <w:tcPr>
            <w:tcW w:w="1795" w:type="dxa"/>
            <w:tcBorders>
              <w:bottom w:val="single" w:sz="4" w:space="0" w:color="auto"/>
            </w:tcBorders>
            <w:shd w:val="clear" w:color="auto" w:fill="auto"/>
            <w:tcMar>
              <w:top w:w="0" w:type="dxa"/>
              <w:left w:w="108" w:type="dxa"/>
              <w:bottom w:w="0" w:type="dxa"/>
              <w:right w:w="108" w:type="dxa"/>
            </w:tcMar>
            <w:hideMark/>
          </w:tcPr>
          <w:p w14:paraId="3D579F70"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Etrangers</w:t>
            </w:r>
            <w:proofErr w:type="spellEnd"/>
          </w:p>
        </w:tc>
        <w:tc>
          <w:tcPr>
            <w:tcW w:w="2781" w:type="dxa"/>
            <w:tcBorders>
              <w:bottom w:val="single" w:sz="4" w:space="0" w:color="auto"/>
            </w:tcBorders>
            <w:shd w:val="clear" w:color="auto" w:fill="auto"/>
            <w:tcMar>
              <w:top w:w="0" w:type="dxa"/>
              <w:left w:w="108" w:type="dxa"/>
              <w:bottom w:w="0" w:type="dxa"/>
              <w:right w:w="108" w:type="dxa"/>
            </w:tcMar>
            <w:hideMark/>
          </w:tcPr>
          <w:p w14:paraId="658C4F45"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447</w:t>
            </w:r>
          </w:p>
        </w:tc>
        <w:tc>
          <w:tcPr>
            <w:tcW w:w="1779" w:type="dxa"/>
            <w:tcBorders>
              <w:bottom w:val="single" w:sz="4" w:space="0" w:color="auto"/>
            </w:tcBorders>
            <w:shd w:val="clear" w:color="auto" w:fill="auto"/>
            <w:tcMar>
              <w:top w:w="0" w:type="dxa"/>
              <w:left w:w="108" w:type="dxa"/>
              <w:bottom w:w="0" w:type="dxa"/>
              <w:right w:w="108" w:type="dxa"/>
            </w:tcMar>
            <w:hideMark/>
          </w:tcPr>
          <w:p w14:paraId="52CA0420"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670</w:t>
            </w:r>
          </w:p>
        </w:tc>
        <w:tc>
          <w:tcPr>
            <w:tcW w:w="1015" w:type="dxa"/>
            <w:tcBorders>
              <w:bottom w:val="single" w:sz="4" w:space="0" w:color="auto"/>
            </w:tcBorders>
            <w:shd w:val="clear" w:color="auto" w:fill="auto"/>
            <w:tcMar>
              <w:top w:w="0" w:type="dxa"/>
              <w:left w:w="108" w:type="dxa"/>
              <w:bottom w:w="0" w:type="dxa"/>
              <w:right w:w="108" w:type="dxa"/>
            </w:tcMar>
            <w:hideMark/>
          </w:tcPr>
          <w:p w14:paraId="2B0D1558" w14:textId="05E67D4A"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w:t>
            </w:r>
            <w:r w:rsidR="00C55D22">
              <w:rPr>
                <w:rFonts w:eastAsia="Times New Roman"/>
                <w:b/>
                <w:bCs/>
                <w:sz w:val="18"/>
                <w:szCs w:val="24"/>
                <w:lang w:val="en-US"/>
              </w:rPr>
              <w:t xml:space="preserve"> </w:t>
            </w:r>
            <w:r w:rsidRPr="00146BDA">
              <w:rPr>
                <w:rFonts w:eastAsia="Times New Roman"/>
                <w:b/>
                <w:bCs/>
                <w:sz w:val="18"/>
                <w:szCs w:val="24"/>
                <w:lang w:val="en-US"/>
              </w:rPr>
              <w:t>117</w:t>
            </w:r>
          </w:p>
        </w:tc>
      </w:tr>
      <w:tr w:rsidR="005926AE" w:rsidRPr="006D217C" w14:paraId="106F5644" w14:textId="77777777" w:rsidTr="00794E0E">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7092A651" w14:textId="77777777" w:rsidR="00146BDA" w:rsidRPr="006D217C" w:rsidRDefault="00146BDA" w:rsidP="006D217C">
            <w:pPr>
              <w:suppressAutoHyphens w:val="0"/>
              <w:kinsoku/>
              <w:overflowPunct/>
              <w:autoSpaceDE/>
              <w:autoSpaceDN/>
              <w:adjustRightInd/>
              <w:snapToGrid/>
              <w:spacing w:before="80" w:after="80" w:line="220" w:lineRule="exact"/>
              <w:ind w:left="283"/>
              <w:rPr>
                <w:rFonts w:eastAsia="Times New Roman"/>
                <w:b/>
                <w:sz w:val="18"/>
                <w:szCs w:val="24"/>
                <w:lang w:val="en-US"/>
              </w:rPr>
            </w:pPr>
            <w:proofErr w:type="spellStart"/>
            <w:r w:rsidRPr="006D217C">
              <w:rPr>
                <w:rFonts w:eastAsia="Times New Roman"/>
                <w:b/>
                <w:sz w:val="18"/>
                <w:szCs w:val="24"/>
                <w:lang w:val="en-US"/>
              </w:rPr>
              <w:t>Totaux</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450377C6" w14:textId="669D6400"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4</w:t>
            </w:r>
            <w:r w:rsidR="00C55D22" w:rsidRPr="006D217C">
              <w:rPr>
                <w:rFonts w:eastAsia="Times New Roman"/>
                <w:b/>
                <w:sz w:val="18"/>
                <w:szCs w:val="24"/>
                <w:lang w:val="en-US"/>
              </w:rPr>
              <w:t xml:space="preserve"> </w:t>
            </w:r>
            <w:r w:rsidRPr="006D217C">
              <w:rPr>
                <w:rFonts w:eastAsia="Times New Roman"/>
                <w:b/>
                <w:sz w:val="18"/>
                <w:szCs w:val="24"/>
                <w:lang w:val="en-US"/>
              </w:rPr>
              <w:t>620</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3116B4A2" w14:textId="3F122EAA"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6</w:t>
            </w:r>
            <w:r w:rsidR="00C55D22" w:rsidRPr="006D217C">
              <w:rPr>
                <w:rFonts w:eastAsia="Times New Roman"/>
                <w:b/>
                <w:sz w:val="18"/>
                <w:szCs w:val="24"/>
                <w:lang w:val="en-US"/>
              </w:rPr>
              <w:t xml:space="preserve"> </w:t>
            </w:r>
            <w:r w:rsidRPr="006D217C">
              <w:rPr>
                <w:rFonts w:eastAsia="Times New Roman"/>
                <w:b/>
                <w:sz w:val="18"/>
                <w:szCs w:val="24"/>
                <w:lang w:val="en-US"/>
              </w:rPr>
              <w:t>394</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4F1C6C30" w14:textId="45D48B08"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11</w:t>
            </w:r>
            <w:r w:rsidR="00C55D22" w:rsidRPr="006D217C">
              <w:rPr>
                <w:rFonts w:eastAsia="Times New Roman"/>
                <w:b/>
                <w:sz w:val="18"/>
                <w:szCs w:val="24"/>
                <w:lang w:val="en-US"/>
              </w:rPr>
              <w:t xml:space="preserve"> </w:t>
            </w:r>
            <w:r w:rsidRPr="006D217C">
              <w:rPr>
                <w:rFonts w:eastAsia="Times New Roman"/>
                <w:b/>
                <w:sz w:val="18"/>
                <w:szCs w:val="24"/>
                <w:lang w:val="en-US"/>
              </w:rPr>
              <w:t>014</w:t>
            </w:r>
          </w:p>
        </w:tc>
      </w:tr>
      <w:tr w:rsidR="005926AE" w:rsidRPr="00146BDA" w14:paraId="1CCEA8C1" w14:textId="77777777" w:rsidTr="00832A7B">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1A4D269A" w14:textId="77777777" w:rsidR="00146BDA" w:rsidRPr="00146BDA" w:rsidRDefault="00146BDA" w:rsidP="006D217C">
            <w:pPr>
              <w:suppressAutoHyphens w:val="0"/>
              <w:kinsoku/>
              <w:overflowPunct/>
              <w:autoSpaceDE/>
              <w:autoSpaceDN/>
              <w:adjustRightInd/>
              <w:snapToGrid/>
              <w:spacing w:before="80" w:after="80" w:line="200" w:lineRule="exact"/>
              <w:jc w:val="center"/>
              <w:rPr>
                <w:rFonts w:eastAsia="Times New Roman"/>
                <w:i/>
                <w:spacing w:val="4"/>
                <w:w w:val="103"/>
                <w:kern w:val="14"/>
                <w:sz w:val="16"/>
                <w:szCs w:val="24"/>
                <w:lang w:val="en-US"/>
              </w:rPr>
            </w:pPr>
            <w:r w:rsidRPr="00146BDA">
              <w:rPr>
                <w:rFonts w:eastAsia="Times New Roman"/>
                <w:bCs/>
                <w:i/>
                <w:spacing w:val="4"/>
                <w:w w:val="103"/>
                <w:kern w:val="14"/>
                <w:sz w:val="16"/>
                <w:szCs w:val="24"/>
                <w:lang w:val="en-US"/>
              </w:rPr>
              <w:t>31.12.2019</w:t>
            </w:r>
          </w:p>
        </w:tc>
      </w:tr>
      <w:tr w:rsidR="005926AE" w:rsidRPr="00832A7B" w14:paraId="30CF07DA" w14:textId="77777777" w:rsidTr="00832A7B">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3F2CC08A" w14:textId="77777777" w:rsidR="00146BDA" w:rsidRPr="00832A7B" w:rsidRDefault="00146BDA" w:rsidP="00832A7B">
            <w:pPr>
              <w:suppressAutoHyphens w:val="0"/>
              <w:kinsoku/>
              <w:overflowPunct/>
              <w:autoSpaceDE/>
              <w:autoSpaceDN/>
              <w:adjustRightInd/>
              <w:snapToGrid/>
              <w:spacing w:before="80" w:after="80" w:line="200" w:lineRule="exac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Nationalités</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32E35277"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Détenus</w:t>
            </w:r>
            <w:proofErr w:type="spellEnd"/>
            <w:r w:rsidRPr="00832A7B">
              <w:rPr>
                <w:rFonts w:eastAsia="Times New Roman"/>
                <w:i/>
                <w:spacing w:val="4"/>
                <w:w w:val="103"/>
                <w:kern w:val="14"/>
                <w:sz w:val="16"/>
                <w:szCs w:val="24"/>
                <w:lang w:val="en-US"/>
              </w:rPr>
              <w:t xml:space="preserve"> </w:t>
            </w:r>
            <w:proofErr w:type="spellStart"/>
            <w:r w:rsidRPr="00832A7B">
              <w:rPr>
                <w:rFonts w:eastAsia="Times New Roman"/>
                <w:i/>
                <w:spacing w:val="4"/>
                <w:w w:val="103"/>
                <w:kern w:val="14"/>
                <w:sz w:val="16"/>
                <w:szCs w:val="24"/>
                <w:lang w:val="en-US"/>
              </w:rPr>
              <w:t>provisoires</w:t>
            </w:r>
            <w:proofErr w:type="spellEnd"/>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55DF5B06"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Condamnés</w:t>
            </w:r>
            <w:proofErr w:type="spellEnd"/>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74B3CD11"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b/>
                <w:i/>
                <w:spacing w:val="4"/>
                <w:w w:val="103"/>
                <w:kern w:val="14"/>
                <w:sz w:val="16"/>
                <w:szCs w:val="24"/>
                <w:lang w:val="en-US"/>
              </w:rPr>
            </w:pPr>
            <w:r w:rsidRPr="00832A7B">
              <w:rPr>
                <w:rFonts w:eastAsia="Times New Roman"/>
                <w:b/>
                <w:i/>
                <w:spacing w:val="4"/>
                <w:w w:val="103"/>
                <w:kern w:val="14"/>
                <w:sz w:val="16"/>
                <w:szCs w:val="24"/>
                <w:lang w:val="en-US"/>
              </w:rPr>
              <w:t>Total</w:t>
            </w:r>
          </w:p>
        </w:tc>
      </w:tr>
      <w:tr w:rsidR="005926AE" w:rsidRPr="005926AE" w14:paraId="3313CBB8" w14:textId="77777777" w:rsidTr="00832A7B">
        <w:tc>
          <w:tcPr>
            <w:tcW w:w="1795" w:type="dxa"/>
            <w:tcBorders>
              <w:top w:val="single" w:sz="12" w:space="0" w:color="auto"/>
            </w:tcBorders>
            <w:shd w:val="clear" w:color="auto" w:fill="auto"/>
            <w:tcMar>
              <w:top w:w="0" w:type="dxa"/>
              <w:left w:w="108" w:type="dxa"/>
              <w:bottom w:w="0" w:type="dxa"/>
              <w:right w:w="108" w:type="dxa"/>
            </w:tcMar>
            <w:hideMark/>
          </w:tcPr>
          <w:p w14:paraId="116D07A5"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Sénégalais</w:t>
            </w:r>
            <w:proofErr w:type="spellEnd"/>
          </w:p>
        </w:tc>
        <w:tc>
          <w:tcPr>
            <w:tcW w:w="2781" w:type="dxa"/>
            <w:tcBorders>
              <w:top w:val="single" w:sz="12" w:space="0" w:color="auto"/>
            </w:tcBorders>
            <w:shd w:val="clear" w:color="auto" w:fill="auto"/>
            <w:tcMar>
              <w:top w:w="0" w:type="dxa"/>
              <w:left w:w="108" w:type="dxa"/>
              <w:bottom w:w="0" w:type="dxa"/>
              <w:right w:w="108" w:type="dxa"/>
            </w:tcMar>
            <w:hideMark/>
          </w:tcPr>
          <w:p w14:paraId="1ECB096E" w14:textId="0BE7C4B3"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w:t>
            </w:r>
            <w:r w:rsidR="00C55D22" w:rsidRPr="006D217C">
              <w:rPr>
                <w:rFonts w:eastAsia="Times New Roman"/>
                <w:sz w:val="18"/>
                <w:szCs w:val="24"/>
                <w:lang w:val="en-US"/>
              </w:rPr>
              <w:t xml:space="preserve"> </w:t>
            </w:r>
            <w:r w:rsidRPr="006D217C">
              <w:rPr>
                <w:rFonts w:eastAsia="Times New Roman"/>
                <w:sz w:val="18"/>
                <w:szCs w:val="24"/>
                <w:lang w:val="en-US"/>
              </w:rPr>
              <w:t>137</w:t>
            </w:r>
          </w:p>
        </w:tc>
        <w:tc>
          <w:tcPr>
            <w:tcW w:w="1779" w:type="dxa"/>
            <w:tcBorders>
              <w:top w:val="single" w:sz="12" w:space="0" w:color="auto"/>
            </w:tcBorders>
            <w:shd w:val="clear" w:color="auto" w:fill="auto"/>
            <w:tcMar>
              <w:top w:w="0" w:type="dxa"/>
              <w:left w:w="108" w:type="dxa"/>
              <w:bottom w:w="0" w:type="dxa"/>
              <w:right w:w="108" w:type="dxa"/>
            </w:tcMar>
            <w:hideMark/>
          </w:tcPr>
          <w:p w14:paraId="6E35752F" w14:textId="5571C3B8"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6</w:t>
            </w:r>
            <w:r w:rsidR="00C55D22" w:rsidRPr="006D217C">
              <w:rPr>
                <w:rFonts w:eastAsia="Times New Roman"/>
                <w:sz w:val="18"/>
                <w:szCs w:val="24"/>
                <w:lang w:val="en-US"/>
              </w:rPr>
              <w:t xml:space="preserve"> </w:t>
            </w:r>
            <w:r w:rsidRPr="006D217C">
              <w:rPr>
                <w:rFonts w:eastAsia="Times New Roman"/>
                <w:sz w:val="18"/>
                <w:szCs w:val="24"/>
                <w:lang w:val="en-US"/>
              </w:rPr>
              <w:t>032</w:t>
            </w:r>
          </w:p>
        </w:tc>
        <w:tc>
          <w:tcPr>
            <w:tcW w:w="1015" w:type="dxa"/>
            <w:tcBorders>
              <w:top w:val="single" w:sz="12" w:space="0" w:color="auto"/>
            </w:tcBorders>
            <w:shd w:val="clear" w:color="auto" w:fill="auto"/>
            <w:tcMar>
              <w:top w:w="0" w:type="dxa"/>
              <w:left w:w="108" w:type="dxa"/>
              <w:bottom w:w="0" w:type="dxa"/>
              <w:right w:w="108" w:type="dxa"/>
            </w:tcMar>
            <w:hideMark/>
          </w:tcPr>
          <w:p w14:paraId="13DD7D12" w14:textId="76612904"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10</w:t>
            </w:r>
            <w:r w:rsidR="00C55D22">
              <w:rPr>
                <w:rFonts w:eastAsia="Times New Roman"/>
                <w:b/>
                <w:bCs/>
                <w:sz w:val="18"/>
                <w:szCs w:val="24"/>
                <w:lang w:val="en-US"/>
              </w:rPr>
              <w:t xml:space="preserve"> </w:t>
            </w:r>
            <w:r w:rsidRPr="00146BDA">
              <w:rPr>
                <w:rFonts w:eastAsia="Times New Roman"/>
                <w:b/>
                <w:bCs/>
                <w:sz w:val="18"/>
                <w:szCs w:val="24"/>
                <w:lang w:val="en-US"/>
              </w:rPr>
              <w:t>169</w:t>
            </w:r>
          </w:p>
        </w:tc>
      </w:tr>
      <w:tr w:rsidR="005926AE" w:rsidRPr="005926AE" w14:paraId="79DE0BD2" w14:textId="77777777" w:rsidTr="00794E0E">
        <w:tc>
          <w:tcPr>
            <w:tcW w:w="1795" w:type="dxa"/>
            <w:tcBorders>
              <w:bottom w:val="single" w:sz="4" w:space="0" w:color="auto"/>
            </w:tcBorders>
            <w:shd w:val="clear" w:color="auto" w:fill="auto"/>
            <w:tcMar>
              <w:top w:w="0" w:type="dxa"/>
              <w:left w:w="108" w:type="dxa"/>
              <w:bottom w:w="0" w:type="dxa"/>
              <w:right w:w="108" w:type="dxa"/>
            </w:tcMar>
            <w:hideMark/>
          </w:tcPr>
          <w:p w14:paraId="197B23D1"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Etrangers</w:t>
            </w:r>
            <w:proofErr w:type="spellEnd"/>
          </w:p>
        </w:tc>
        <w:tc>
          <w:tcPr>
            <w:tcW w:w="2781" w:type="dxa"/>
            <w:tcBorders>
              <w:bottom w:val="single" w:sz="4" w:space="0" w:color="auto"/>
            </w:tcBorders>
            <w:shd w:val="clear" w:color="auto" w:fill="auto"/>
            <w:tcMar>
              <w:top w:w="0" w:type="dxa"/>
              <w:left w:w="108" w:type="dxa"/>
              <w:bottom w:w="0" w:type="dxa"/>
              <w:right w:w="108" w:type="dxa"/>
            </w:tcMar>
            <w:hideMark/>
          </w:tcPr>
          <w:p w14:paraId="2419D7D4"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696</w:t>
            </w:r>
          </w:p>
        </w:tc>
        <w:tc>
          <w:tcPr>
            <w:tcW w:w="1779" w:type="dxa"/>
            <w:tcBorders>
              <w:bottom w:val="single" w:sz="4" w:space="0" w:color="auto"/>
            </w:tcBorders>
            <w:shd w:val="clear" w:color="auto" w:fill="auto"/>
            <w:tcMar>
              <w:top w:w="0" w:type="dxa"/>
              <w:left w:w="108" w:type="dxa"/>
              <w:bottom w:w="0" w:type="dxa"/>
              <w:right w:w="108" w:type="dxa"/>
            </w:tcMar>
            <w:hideMark/>
          </w:tcPr>
          <w:p w14:paraId="0E799DC3"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711</w:t>
            </w:r>
          </w:p>
        </w:tc>
        <w:tc>
          <w:tcPr>
            <w:tcW w:w="1015" w:type="dxa"/>
            <w:tcBorders>
              <w:bottom w:val="single" w:sz="4" w:space="0" w:color="auto"/>
            </w:tcBorders>
            <w:shd w:val="clear" w:color="auto" w:fill="auto"/>
            <w:tcMar>
              <w:top w:w="0" w:type="dxa"/>
              <w:left w:w="108" w:type="dxa"/>
              <w:bottom w:w="0" w:type="dxa"/>
              <w:right w:w="108" w:type="dxa"/>
            </w:tcMar>
            <w:hideMark/>
          </w:tcPr>
          <w:p w14:paraId="6AA5E8BA" w14:textId="086F73F2"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w:t>
            </w:r>
            <w:r w:rsidR="00C55D22">
              <w:rPr>
                <w:rFonts w:eastAsia="Times New Roman"/>
                <w:b/>
                <w:bCs/>
                <w:sz w:val="18"/>
                <w:szCs w:val="24"/>
                <w:lang w:val="en-US"/>
              </w:rPr>
              <w:t xml:space="preserve"> </w:t>
            </w:r>
            <w:r w:rsidRPr="00146BDA">
              <w:rPr>
                <w:rFonts w:eastAsia="Times New Roman"/>
                <w:b/>
                <w:bCs/>
                <w:sz w:val="18"/>
                <w:szCs w:val="24"/>
                <w:lang w:val="en-US"/>
              </w:rPr>
              <w:t>407</w:t>
            </w:r>
          </w:p>
        </w:tc>
      </w:tr>
      <w:tr w:rsidR="005926AE" w:rsidRPr="006D217C" w14:paraId="2A1D0369" w14:textId="77777777" w:rsidTr="00794E0E">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567878D7" w14:textId="77777777" w:rsidR="00146BDA" w:rsidRPr="006D217C" w:rsidRDefault="00146BDA" w:rsidP="006D217C">
            <w:pPr>
              <w:suppressAutoHyphens w:val="0"/>
              <w:kinsoku/>
              <w:overflowPunct/>
              <w:autoSpaceDE/>
              <w:autoSpaceDN/>
              <w:adjustRightInd/>
              <w:snapToGrid/>
              <w:spacing w:before="80" w:after="80" w:line="220" w:lineRule="exact"/>
              <w:ind w:left="283"/>
              <w:rPr>
                <w:rFonts w:eastAsia="Times New Roman"/>
                <w:b/>
                <w:sz w:val="18"/>
                <w:szCs w:val="24"/>
                <w:lang w:val="en-US"/>
              </w:rPr>
            </w:pPr>
            <w:proofErr w:type="spellStart"/>
            <w:r w:rsidRPr="006D217C">
              <w:rPr>
                <w:rFonts w:eastAsia="Times New Roman"/>
                <w:b/>
                <w:sz w:val="18"/>
                <w:szCs w:val="24"/>
                <w:lang w:val="en-US"/>
              </w:rPr>
              <w:t>Totaux</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66C0AC31" w14:textId="47BF2B2A"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4</w:t>
            </w:r>
            <w:r w:rsidR="00C55D22" w:rsidRPr="006D217C">
              <w:rPr>
                <w:rFonts w:eastAsia="Times New Roman"/>
                <w:b/>
                <w:sz w:val="18"/>
                <w:szCs w:val="24"/>
                <w:lang w:val="en-US"/>
              </w:rPr>
              <w:t xml:space="preserve"> </w:t>
            </w:r>
            <w:r w:rsidRPr="006D217C">
              <w:rPr>
                <w:rFonts w:eastAsia="Times New Roman"/>
                <w:b/>
                <w:sz w:val="18"/>
                <w:szCs w:val="24"/>
                <w:lang w:val="en-US"/>
              </w:rPr>
              <w:t>833</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089AB6B6" w14:textId="086E48A2"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6</w:t>
            </w:r>
            <w:r w:rsidR="00C55D22" w:rsidRPr="006D217C">
              <w:rPr>
                <w:rFonts w:eastAsia="Times New Roman"/>
                <w:b/>
                <w:sz w:val="18"/>
                <w:szCs w:val="24"/>
                <w:lang w:val="en-US"/>
              </w:rPr>
              <w:t xml:space="preserve"> </w:t>
            </w:r>
            <w:r w:rsidRPr="006D217C">
              <w:rPr>
                <w:rFonts w:eastAsia="Times New Roman"/>
                <w:b/>
                <w:sz w:val="18"/>
                <w:szCs w:val="24"/>
                <w:lang w:val="en-US"/>
              </w:rPr>
              <w:t>743</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32600E9A" w14:textId="36BFB733"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11</w:t>
            </w:r>
            <w:r w:rsidR="00C55D22" w:rsidRPr="006D217C">
              <w:rPr>
                <w:rFonts w:eastAsia="Times New Roman"/>
                <w:b/>
                <w:sz w:val="18"/>
                <w:szCs w:val="24"/>
                <w:lang w:val="en-US"/>
              </w:rPr>
              <w:t xml:space="preserve"> </w:t>
            </w:r>
            <w:r w:rsidRPr="006D217C">
              <w:rPr>
                <w:rFonts w:eastAsia="Times New Roman"/>
                <w:b/>
                <w:sz w:val="18"/>
                <w:szCs w:val="24"/>
                <w:lang w:val="en-US"/>
              </w:rPr>
              <w:t>576</w:t>
            </w:r>
          </w:p>
        </w:tc>
      </w:tr>
      <w:tr w:rsidR="005926AE" w:rsidRPr="00146BDA" w14:paraId="6AFED93C" w14:textId="77777777" w:rsidTr="00832A7B">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3618A857" w14:textId="77777777" w:rsidR="00146BDA" w:rsidRPr="00146BDA" w:rsidRDefault="00146BDA" w:rsidP="006D217C">
            <w:pPr>
              <w:suppressAutoHyphens w:val="0"/>
              <w:kinsoku/>
              <w:overflowPunct/>
              <w:autoSpaceDE/>
              <w:autoSpaceDN/>
              <w:adjustRightInd/>
              <w:snapToGrid/>
              <w:spacing w:before="80" w:after="80" w:line="200" w:lineRule="exact"/>
              <w:jc w:val="center"/>
              <w:rPr>
                <w:rFonts w:eastAsia="Times New Roman"/>
                <w:i/>
                <w:spacing w:val="4"/>
                <w:w w:val="103"/>
                <w:kern w:val="14"/>
                <w:sz w:val="16"/>
                <w:szCs w:val="24"/>
                <w:lang w:val="en-US"/>
              </w:rPr>
            </w:pPr>
            <w:r w:rsidRPr="00146BDA">
              <w:rPr>
                <w:rFonts w:eastAsia="Times New Roman"/>
                <w:bCs/>
                <w:i/>
                <w:spacing w:val="4"/>
                <w:w w:val="103"/>
                <w:kern w:val="14"/>
                <w:sz w:val="16"/>
                <w:szCs w:val="24"/>
                <w:lang w:val="en-US"/>
              </w:rPr>
              <w:t>31.12.2020</w:t>
            </w:r>
          </w:p>
        </w:tc>
      </w:tr>
      <w:tr w:rsidR="005926AE" w:rsidRPr="00832A7B" w14:paraId="63FA737B" w14:textId="77777777" w:rsidTr="00832A7B">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4DE0C583" w14:textId="77777777" w:rsidR="00146BDA" w:rsidRPr="00832A7B" w:rsidRDefault="00146BDA" w:rsidP="00832A7B">
            <w:pPr>
              <w:suppressAutoHyphens w:val="0"/>
              <w:kinsoku/>
              <w:overflowPunct/>
              <w:autoSpaceDE/>
              <w:autoSpaceDN/>
              <w:adjustRightInd/>
              <w:snapToGrid/>
              <w:spacing w:before="80" w:after="80" w:line="200" w:lineRule="exac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Nationalités</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43061007"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Détenus</w:t>
            </w:r>
            <w:proofErr w:type="spellEnd"/>
            <w:r w:rsidRPr="00832A7B">
              <w:rPr>
                <w:rFonts w:eastAsia="Times New Roman"/>
                <w:i/>
                <w:spacing w:val="4"/>
                <w:w w:val="103"/>
                <w:kern w:val="14"/>
                <w:sz w:val="16"/>
                <w:szCs w:val="24"/>
                <w:lang w:val="en-US"/>
              </w:rPr>
              <w:t xml:space="preserve"> </w:t>
            </w:r>
            <w:proofErr w:type="spellStart"/>
            <w:r w:rsidRPr="00832A7B">
              <w:rPr>
                <w:rFonts w:eastAsia="Times New Roman"/>
                <w:i/>
                <w:spacing w:val="4"/>
                <w:w w:val="103"/>
                <w:kern w:val="14"/>
                <w:sz w:val="16"/>
                <w:szCs w:val="24"/>
                <w:lang w:val="en-US"/>
              </w:rPr>
              <w:t>provisoires</w:t>
            </w:r>
            <w:proofErr w:type="spellEnd"/>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5AA1A36D"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Condamnés</w:t>
            </w:r>
            <w:proofErr w:type="spellEnd"/>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06075FFF"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b/>
                <w:i/>
                <w:spacing w:val="4"/>
                <w:w w:val="103"/>
                <w:kern w:val="14"/>
                <w:sz w:val="16"/>
                <w:szCs w:val="24"/>
                <w:lang w:val="en-US"/>
              </w:rPr>
            </w:pPr>
            <w:r w:rsidRPr="00832A7B">
              <w:rPr>
                <w:rFonts w:eastAsia="Times New Roman"/>
                <w:b/>
                <w:i/>
                <w:spacing w:val="4"/>
                <w:w w:val="103"/>
                <w:kern w:val="14"/>
                <w:sz w:val="16"/>
                <w:szCs w:val="24"/>
                <w:lang w:val="en-US"/>
              </w:rPr>
              <w:t>Total</w:t>
            </w:r>
          </w:p>
        </w:tc>
      </w:tr>
      <w:tr w:rsidR="005926AE" w:rsidRPr="005926AE" w14:paraId="64FE7BE6" w14:textId="77777777" w:rsidTr="00832A7B">
        <w:tc>
          <w:tcPr>
            <w:tcW w:w="1795" w:type="dxa"/>
            <w:tcBorders>
              <w:top w:val="single" w:sz="12" w:space="0" w:color="auto"/>
            </w:tcBorders>
            <w:shd w:val="clear" w:color="auto" w:fill="auto"/>
            <w:tcMar>
              <w:top w:w="0" w:type="dxa"/>
              <w:left w:w="108" w:type="dxa"/>
              <w:bottom w:w="0" w:type="dxa"/>
              <w:right w:w="108" w:type="dxa"/>
            </w:tcMar>
            <w:hideMark/>
          </w:tcPr>
          <w:p w14:paraId="1A2D1838"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Sénégalais</w:t>
            </w:r>
            <w:proofErr w:type="spellEnd"/>
          </w:p>
        </w:tc>
        <w:tc>
          <w:tcPr>
            <w:tcW w:w="2781" w:type="dxa"/>
            <w:tcBorders>
              <w:top w:val="single" w:sz="12" w:space="0" w:color="auto"/>
            </w:tcBorders>
            <w:shd w:val="clear" w:color="auto" w:fill="auto"/>
            <w:tcMar>
              <w:top w:w="0" w:type="dxa"/>
              <w:left w:w="108" w:type="dxa"/>
              <w:bottom w:w="0" w:type="dxa"/>
              <w:right w:w="108" w:type="dxa"/>
            </w:tcMar>
            <w:hideMark/>
          </w:tcPr>
          <w:p w14:paraId="4F06CA59" w14:textId="2BFA98A8"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w:t>
            </w:r>
            <w:r w:rsidR="00C55D22" w:rsidRPr="006D217C">
              <w:rPr>
                <w:rFonts w:eastAsia="Times New Roman"/>
                <w:sz w:val="18"/>
                <w:szCs w:val="24"/>
                <w:lang w:val="en-US"/>
              </w:rPr>
              <w:t xml:space="preserve"> </w:t>
            </w:r>
            <w:r w:rsidRPr="006D217C">
              <w:rPr>
                <w:rFonts w:eastAsia="Times New Roman"/>
                <w:sz w:val="18"/>
                <w:szCs w:val="24"/>
                <w:lang w:val="en-US"/>
              </w:rPr>
              <w:t>458</w:t>
            </w:r>
          </w:p>
        </w:tc>
        <w:tc>
          <w:tcPr>
            <w:tcW w:w="1779" w:type="dxa"/>
            <w:tcBorders>
              <w:top w:val="single" w:sz="12" w:space="0" w:color="auto"/>
            </w:tcBorders>
            <w:shd w:val="clear" w:color="auto" w:fill="auto"/>
            <w:tcMar>
              <w:top w:w="0" w:type="dxa"/>
              <w:left w:w="108" w:type="dxa"/>
              <w:bottom w:w="0" w:type="dxa"/>
              <w:right w:w="108" w:type="dxa"/>
            </w:tcMar>
            <w:hideMark/>
          </w:tcPr>
          <w:p w14:paraId="528DA667" w14:textId="42B81B42"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w:t>
            </w:r>
            <w:r w:rsidR="00C55D22" w:rsidRPr="006D217C">
              <w:rPr>
                <w:rFonts w:eastAsia="Times New Roman"/>
                <w:sz w:val="18"/>
                <w:szCs w:val="24"/>
                <w:lang w:val="en-US"/>
              </w:rPr>
              <w:t xml:space="preserve"> </w:t>
            </w:r>
            <w:r w:rsidRPr="006D217C">
              <w:rPr>
                <w:rFonts w:eastAsia="Times New Roman"/>
                <w:sz w:val="18"/>
                <w:szCs w:val="24"/>
                <w:lang w:val="en-US"/>
              </w:rPr>
              <w:t>051</w:t>
            </w:r>
          </w:p>
        </w:tc>
        <w:tc>
          <w:tcPr>
            <w:tcW w:w="1015" w:type="dxa"/>
            <w:tcBorders>
              <w:top w:val="single" w:sz="12" w:space="0" w:color="auto"/>
            </w:tcBorders>
            <w:shd w:val="clear" w:color="auto" w:fill="auto"/>
            <w:tcMar>
              <w:top w:w="0" w:type="dxa"/>
              <w:left w:w="108" w:type="dxa"/>
              <w:bottom w:w="0" w:type="dxa"/>
              <w:right w:w="108" w:type="dxa"/>
            </w:tcMar>
            <w:hideMark/>
          </w:tcPr>
          <w:p w14:paraId="1F3590BE" w14:textId="2B2843A7"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9</w:t>
            </w:r>
            <w:r w:rsidR="00C55D22">
              <w:rPr>
                <w:rFonts w:eastAsia="Times New Roman"/>
                <w:b/>
                <w:bCs/>
                <w:sz w:val="18"/>
                <w:szCs w:val="24"/>
                <w:lang w:val="en-US"/>
              </w:rPr>
              <w:t xml:space="preserve"> </w:t>
            </w:r>
            <w:r w:rsidRPr="00146BDA">
              <w:rPr>
                <w:rFonts w:eastAsia="Times New Roman"/>
                <w:b/>
                <w:bCs/>
                <w:sz w:val="18"/>
                <w:szCs w:val="24"/>
                <w:lang w:val="en-US"/>
              </w:rPr>
              <w:t>509</w:t>
            </w:r>
          </w:p>
        </w:tc>
      </w:tr>
      <w:tr w:rsidR="005926AE" w:rsidRPr="005926AE" w14:paraId="1C312041" w14:textId="77777777" w:rsidTr="00794E0E">
        <w:tc>
          <w:tcPr>
            <w:tcW w:w="1795" w:type="dxa"/>
            <w:tcBorders>
              <w:bottom w:val="single" w:sz="4" w:space="0" w:color="auto"/>
            </w:tcBorders>
            <w:shd w:val="clear" w:color="auto" w:fill="auto"/>
            <w:tcMar>
              <w:top w:w="0" w:type="dxa"/>
              <w:left w:w="108" w:type="dxa"/>
              <w:bottom w:w="0" w:type="dxa"/>
              <w:right w:w="108" w:type="dxa"/>
            </w:tcMar>
            <w:hideMark/>
          </w:tcPr>
          <w:p w14:paraId="11E40D36"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Etrangers</w:t>
            </w:r>
            <w:proofErr w:type="spellEnd"/>
          </w:p>
        </w:tc>
        <w:tc>
          <w:tcPr>
            <w:tcW w:w="2781" w:type="dxa"/>
            <w:tcBorders>
              <w:bottom w:val="single" w:sz="4" w:space="0" w:color="auto"/>
            </w:tcBorders>
            <w:shd w:val="clear" w:color="auto" w:fill="auto"/>
            <w:tcMar>
              <w:top w:w="0" w:type="dxa"/>
              <w:left w:w="108" w:type="dxa"/>
              <w:bottom w:w="0" w:type="dxa"/>
              <w:right w:w="108" w:type="dxa"/>
            </w:tcMar>
            <w:hideMark/>
          </w:tcPr>
          <w:p w14:paraId="74DB7E3F"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530</w:t>
            </w:r>
          </w:p>
        </w:tc>
        <w:tc>
          <w:tcPr>
            <w:tcW w:w="1779" w:type="dxa"/>
            <w:tcBorders>
              <w:bottom w:val="single" w:sz="4" w:space="0" w:color="auto"/>
            </w:tcBorders>
            <w:shd w:val="clear" w:color="auto" w:fill="auto"/>
            <w:tcMar>
              <w:top w:w="0" w:type="dxa"/>
              <w:left w:w="108" w:type="dxa"/>
              <w:bottom w:w="0" w:type="dxa"/>
              <w:right w:w="108" w:type="dxa"/>
            </w:tcMar>
            <w:hideMark/>
          </w:tcPr>
          <w:p w14:paraId="2387287B"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493</w:t>
            </w:r>
          </w:p>
        </w:tc>
        <w:tc>
          <w:tcPr>
            <w:tcW w:w="1015" w:type="dxa"/>
            <w:tcBorders>
              <w:bottom w:val="single" w:sz="4" w:space="0" w:color="auto"/>
            </w:tcBorders>
            <w:shd w:val="clear" w:color="auto" w:fill="auto"/>
            <w:tcMar>
              <w:top w:w="0" w:type="dxa"/>
              <w:left w:w="108" w:type="dxa"/>
              <w:bottom w:w="0" w:type="dxa"/>
              <w:right w:w="108" w:type="dxa"/>
            </w:tcMar>
            <w:hideMark/>
          </w:tcPr>
          <w:p w14:paraId="1328B840" w14:textId="347C99E2"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w:t>
            </w:r>
            <w:r w:rsidR="00C55D22">
              <w:rPr>
                <w:rFonts w:eastAsia="Times New Roman"/>
                <w:b/>
                <w:bCs/>
                <w:sz w:val="18"/>
                <w:szCs w:val="24"/>
                <w:lang w:val="en-US"/>
              </w:rPr>
              <w:t xml:space="preserve"> </w:t>
            </w:r>
            <w:r w:rsidRPr="00146BDA">
              <w:rPr>
                <w:rFonts w:eastAsia="Times New Roman"/>
                <w:b/>
                <w:bCs/>
                <w:sz w:val="18"/>
                <w:szCs w:val="24"/>
                <w:lang w:val="en-US"/>
              </w:rPr>
              <w:t>023</w:t>
            </w:r>
          </w:p>
        </w:tc>
      </w:tr>
      <w:tr w:rsidR="005926AE" w:rsidRPr="006D217C" w14:paraId="0B97134A" w14:textId="77777777" w:rsidTr="00794E0E">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23AF2F83" w14:textId="77777777" w:rsidR="00146BDA" w:rsidRPr="006D217C" w:rsidRDefault="00146BDA" w:rsidP="006D217C">
            <w:pPr>
              <w:suppressAutoHyphens w:val="0"/>
              <w:kinsoku/>
              <w:overflowPunct/>
              <w:autoSpaceDE/>
              <w:autoSpaceDN/>
              <w:adjustRightInd/>
              <w:snapToGrid/>
              <w:spacing w:before="80" w:after="80" w:line="220" w:lineRule="exact"/>
              <w:ind w:left="283"/>
              <w:rPr>
                <w:rFonts w:eastAsia="Times New Roman"/>
                <w:b/>
                <w:sz w:val="18"/>
                <w:szCs w:val="24"/>
                <w:lang w:val="en-US"/>
              </w:rPr>
            </w:pPr>
            <w:proofErr w:type="spellStart"/>
            <w:r w:rsidRPr="006D217C">
              <w:rPr>
                <w:rFonts w:eastAsia="Times New Roman"/>
                <w:b/>
                <w:sz w:val="18"/>
                <w:szCs w:val="24"/>
                <w:lang w:val="en-US"/>
              </w:rPr>
              <w:t>Totaux</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12BE7C86" w14:textId="179FB760"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4</w:t>
            </w:r>
            <w:r w:rsidR="00C55D22" w:rsidRPr="006D217C">
              <w:rPr>
                <w:rFonts w:eastAsia="Times New Roman"/>
                <w:b/>
                <w:sz w:val="18"/>
                <w:szCs w:val="24"/>
                <w:lang w:val="en-US"/>
              </w:rPr>
              <w:t xml:space="preserve"> </w:t>
            </w:r>
            <w:r w:rsidRPr="006D217C">
              <w:rPr>
                <w:rFonts w:eastAsia="Times New Roman"/>
                <w:b/>
                <w:sz w:val="18"/>
                <w:szCs w:val="24"/>
                <w:lang w:val="en-US"/>
              </w:rPr>
              <w:t>988</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30BBE28B" w14:textId="654A91CC"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5</w:t>
            </w:r>
            <w:r w:rsidR="00C55D22" w:rsidRPr="006D217C">
              <w:rPr>
                <w:rFonts w:eastAsia="Times New Roman"/>
                <w:b/>
                <w:sz w:val="18"/>
                <w:szCs w:val="24"/>
                <w:lang w:val="en-US"/>
              </w:rPr>
              <w:t xml:space="preserve"> </w:t>
            </w:r>
            <w:r w:rsidRPr="006D217C">
              <w:rPr>
                <w:rFonts w:eastAsia="Times New Roman"/>
                <w:b/>
                <w:sz w:val="18"/>
                <w:szCs w:val="24"/>
                <w:lang w:val="en-US"/>
              </w:rPr>
              <w:t>544</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32EEBB60" w14:textId="78C83A97"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10</w:t>
            </w:r>
            <w:r w:rsidR="00C55D22" w:rsidRPr="006D217C">
              <w:rPr>
                <w:rFonts w:eastAsia="Times New Roman"/>
                <w:b/>
                <w:sz w:val="18"/>
                <w:szCs w:val="24"/>
                <w:lang w:val="en-US"/>
              </w:rPr>
              <w:t xml:space="preserve"> </w:t>
            </w:r>
            <w:r w:rsidRPr="006D217C">
              <w:rPr>
                <w:rFonts w:eastAsia="Times New Roman"/>
                <w:b/>
                <w:sz w:val="18"/>
                <w:szCs w:val="24"/>
                <w:lang w:val="en-US"/>
              </w:rPr>
              <w:t>532</w:t>
            </w:r>
          </w:p>
        </w:tc>
      </w:tr>
      <w:tr w:rsidR="005926AE" w:rsidRPr="00146BDA" w14:paraId="4DAA2233" w14:textId="77777777" w:rsidTr="00832A7B">
        <w:tc>
          <w:tcPr>
            <w:tcW w:w="7370" w:type="dxa"/>
            <w:gridSpan w:val="4"/>
            <w:tcBorders>
              <w:top w:val="single" w:sz="12" w:space="0" w:color="auto"/>
              <w:bottom w:val="single" w:sz="4" w:space="0" w:color="auto"/>
            </w:tcBorders>
            <w:shd w:val="clear" w:color="auto" w:fill="auto"/>
            <w:tcMar>
              <w:top w:w="0" w:type="dxa"/>
              <w:left w:w="108" w:type="dxa"/>
              <w:bottom w:w="0" w:type="dxa"/>
              <w:right w:w="108" w:type="dxa"/>
            </w:tcMar>
            <w:hideMark/>
          </w:tcPr>
          <w:p w14:paraId="3DCBC750" w14:textId="77777777" w:rsidR="00146BDA" w:rsidRPr="00146BDA" w:rsidRDefault="00146BDA" w:rsidP="006D217C">
            <w:pPr>
              <w:suppressAutoHyphens w:val="0"/>
              <w:kinsoku/>
              <w:overflowPunct/>
              <w:autoSpaceDE/>
              <w:autoSpaceDN/>
              <w:adjustRightInd/>
              <w:snapToGrid/>
              <w:spacing w:before="80" w:after="80" w:line="200" w:lineRule="exact"/>
              <w:jc w:val="center"/>
              <w:rPr>
                <w:rFonts w:eastAsia="Times New Roman"/>
                <w:i/>
                <w:spacing w:val="4"/>
                <w:w w:val="103"/>
                <w:kern w:val="14"/>
                <w:sz w:val="16"/>
                <w:szCs w:val="24"/>
                <w:lang w:val="en-US"/>
              </w:rPr>
            </w:pPr>
            <w:r w:rsidRPr="00146BDA">
              <w:rPr>
                <w:rFonts w:eastAsia="Times New Roman"/>
                <w:bCs/>
                <w:i/>
                <w:spacing w:val="4"/>
                <w:w w:val="103"/>
                <w:kern w:val="14"/>
                <w:sz w:val="16"/>
                <w:szCs w:val="24"/>
                <w:lang w:val="en-US"/>
              </w:rPr>
              <w:t>31.12.2021</w:t>
            </w:r>
          </w:p>
        </w:tc>
      </w:tr>
      <w:tr w:rsidR="005926AE" w:rsidRPr="00832A7B" w14:paraId="085E077D" w14:textId="77777777" w:rsidTr="00832A7B">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12EEEC13" w14:textId="77777777" w:rsidR="00146BDA" w:rsidRPr="00832A7B" w:rsidRDefault="00146BDA" w:rsidP="00832A7B">
            <w:pPr>
              <w:suppressAutoHyphens w:val="0"/>
              <w:kinsoku/>
              <w:overflowPunct/>
              <w:autoSpaceDE/>
              <w:autoSpaceDN/>
              <w:adjustRightInd/>
              <w:snapToGrid/>
              <w:spacing w:before="80" w:after="80" w:line="200" w:lineRule="exac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Nationalités</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72E35DCE"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Détenus</w:t>
            </w:r>
            <w:proofErr w:type="spellEnd"/>
            <w:r w:rsidRPr="00832A7B">
              <w:rPr>
                <w:rFonts w:eastAsia="Times New Roman"/>
                <w:i/>
                <w:spacing w:val="4"/>
                <w:w w:val="103"/>
                <w:kern w:val="14"/>
                <w:sz w:val="16"/>
                <w:szCs w:val="24"/>
                <w:lang w:val="en-US"/>
              </w:rPr>
              <w:t xml:space="preserve"> </w:t>
            </w:r>
            <w:proofErr w:type="spellStart"/>
            <w:r w:rsidRPr="00832A7B">
              <w:rPr>
                <w:rFonts w:eastAsia="Times New Roman"/>
                <w:i/>
                <w:spacing w:val="4"/>
                <w:w w:val="103"/>
                <w:kern w:val="14"/>
                <w:sz w:val="16"/>
                <w:szCs w:val="24"/>
                <w:lang w:val="en-US"/>
              </w:rPr>
              <w:t>provisoires</w:t>
            </w:r>
            <w:proofErr w:type="spellEnd"/>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17929DED"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i/>
                <w:spacing w:val="4"/>
                <w:w w:val="103"/>
                <w:kern w:val="14"/>
                <w:sz w:val="16"/>
                <w:szCs w:val="24"/>
                <w:lang w:val="en-US"/>
              </w:rPr>
            </w:pPr>
            <w:proofErr w:type="spellStart"/>
            <w:r w:rsidRPr="00832A7B">
              <w:rPr>
                <w:rFonts w:eastAsia="Times New Roman"/>
                <w:i/>
                <w:spacing w:val="4"/>
                <w:w w:val="103"/>
                <w:kern w:val="14"/>
                <w:sz w:val="16"/>
                <w:szCs w:val="24"/>
                <w:lang w:val="en-US"/>
              </w:rPr>
              <w:t>Condamnés</w:t>
            </w:r>
            <w:proofErr w:type="spellEnd"/>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6EC14AC3" w14:textId="77777777" w:rsidR="00146BDA" w:rsidRPr="00832A7B" w:rsidRDefault="00146BDA" w:rsidP="00832A7B">
            <w:pPr>
              <w:suppressAutoHyphens w:val="0"/>
              <w:kinsoku/>
              <w:overflowPunct/>
              <w:autoSpaceDE/>
              <w:autoSpaceDN/>
              <w:adjustRightInd/>
              <w:snapToGrid/>
              <w:spacing w:before="80" w:after="80" w:line="200" w:lineRule="exact"/>
              <w:jc w:val="right"/>
              <w:rPr>
                <w:rFonts w:eastAsia="Times New Roman"/>
                <w:b/>
                <w:i/>
                <w:spacing w:val="4"/>
                <w:w w:val="103"/>
                <w:kern w:val="14"/>
                <w:sz w:val="16"/>
                <w:szCs w:val="24"/>
                <w:lang w:val="en-US"/>
              </w:rPr>
            </w:pPr>
            <w:r w:rsidRPr="00832A7B">
              <w:rPr>
                <w:rFonts w:eastAsia="Times New Roman"/>
                <w:b/>
                <w:i/>
                <w:spacing w:val="4"/>
                <w:w w:val="103"/>
                <w:kern w:val="14"/>
                <w:sz w:val="16"/>
                <w:szCs w:val="24"/>
                <w:lang w:val="en-US"/>
              </w:rPr>
              <w:t>Total</w:t>
            </w:r>
          </w:p>
        </w:tc>
      </w:tr>
      <w:tr w:rsidR="005926AE" w:rsidRPr="005926AE" w14:paraId="21D08A59" w14:textId="77777777" w:rsidTr="00832A7B">
        <w:tc>
          <w:tcPr>
            <w:tcW w:w="1795" w:type="dxa"/>
            <w:tcBorders>
              <w:top w:val="single" w:sz="12" w:space="0" w:color="auto"/>
            </w:tcBorders>
            <w:shd w:val="clear" w:color="auto" w:fill="auto"/>
            <w:tcMar>
              <w:top w:w="0" w:type="dxa"/>
              <w:left w:w="108" w:type="dxa"/>
              <w:bottom w:w="0" w:type="dxa"/>
              <w:right w:w="108" w:type="dxa"/>
            </w:tcMar>
            <w:hideMark/>
          </w:tcPr>
          <w:p w14:paraId="1A520893"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Sénégalais</w:t>
            </w:r>
            <w:proofErr w:type="spellEnd"/>
          </w:p>
        </w:tc>
        <w:tc>
          <w:tcPr>
            <w:tcW w:w="2781" w:type="dxa"/>
            <w:tcBorders>
              <w:top w:val="single" w:sz="12" w:space="0" w:color="auto"/>
            </w:tcBorders>
            <w:shd w:val="clear" w:color="auto" w:fill="auto"/>
            <w:tcMar>
              <w:top w:w="0" w:type="dxa"/>
              <w:left w:w="108" w:type="dxa"/>
              <w:bottom w:w="0" w:type="dxa"/>
              <w:right w:w="108" w:type="dxa"/>
            </w:tcMar>
            <w:hideMark/>
          </w:tcPr>
          <w:p w14:paraId="581FB1CA" w14:textId="1A2BA683"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4</w:t>
            </w:r>
            <w:r w:rsidR="00C55D22" w:rsidRPr="006D217C">
              <w:rPr>
                <w:rFonts w:eastAsia="Times New Roman"/>
                <w:sz w:val="18"/>
                <w:szCs w:val="24"/>
                <w:lang w:val="en-US"/>
              </w:rPr>
              <w:t xml:space="preserve"> </w:t>
            </w:r>
            <w:r w:rsidRPr="006D217C">
              <w:rPr>
                <w:rFonts w:eastAsia="Times New Roman"/>
                <w:sz w:val="18"/>
                <w:szCs w:val="24"/>
                <w:lang w:val="en-US"/>
              </w:rPr>
              <w:t>810</w:t>
            </w:r>
          </w:p>
        </w:tc>
        <w:tc>
          <w:tcPr>
            <w:tcW w:w="1779" w:type="dxa"/>
            <w:tcBorders>
              <w:top w:val="single" w:sz="12" w:space="0" w:color="auto"/>
            </w:tcBorders>
            <w:shd w:val="clear" w:color="auto" w:fill="auto"/>
            <w:tcMar>
              <w:top w:w="0" w:type="dxa"/>
              <w:left w:w="108" w:type="dxa"/>
              <w:bottom w:w="0" w:type="dxa"/>
              <w:right w:w="108" w:type="dxa"/>
            </w:tcMar>
            <w:hideMark/>
          </w:tcPr>
          <w:p w14:paraId="52F469AC" w14:textId="5AAB16C9"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w:t>
            </w:r>
            <w:r w:rsidR="00C55D22" w:rsidRPr="006D217C">
              <w:rPr>
                <w:rFonts w:eastAsia="Times New Roman"/>
                <w:sz w:val="18"/>
                <w:szCs w:val="24"/>
                <w:lang w:val="en-US"/>
              </w:rPr>
              <w:t xml:space="preserve"> </w:t>
            </w:r>
            <w:r w:rsidRPr="006D217C">
              <w:rPr>
                <w:rFonts w:eastAsia="Times New Roman"/>
                <w:sz w:val="18"/>
                <w:szCs w:val="24"/>
                <w:lang w:val="en-US"/>
              </w:rPr>
              <w:t>745</w:t>
            </w:r>
          </w:p>
        </w:tc>
        <w:tc>
          <w:tcPr>
            <w:tcW w:w="1015" w:type="dxa"/>
            <w:tcBorders>
              <w:top w:val="single" w:sz="12" w:space="0" w:color="auto"/>
            </w:tcBorders>
            <w:shd w:val="clear" w:color="auto" w:fill="auto"/>
            <w:tcMar>
              <w:top w:w="0" w:type="dxa"/>
              <w:left w:w="108" w:type="dxa"/>
              <w:bottom w:w="0" w:type="dxa"/>
              <w:right w:w="108" w:type="dxa"/>
            </w:tcMar>
            <w:hideMark/>
          </w:tcPr>
          <w:p w14:paraId="0586DCC8" w14:textId="1478002A"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10</w:t>
            </w:r>
            <w:r w:rsidR="00C55D22">
              <w:rPr>
                <w:rFonts w:eastAsia="Times New Roman"/>
                <w:b/>
                <w:bCs/>
                <w:sz w:val="18"/>
                <w:szCs w:val="24"/>
                <w:lang w:val="en-US"/>
              </w:rPr>
              <w:t xml:space="preserve"> </w:t>
            </w:r>
            <w:r w:rsidRPr="00146BDA">
              <w:rPr>
                <w:rFonts w:eastAsia="Times New Roman"/>
                <w:b/>
                <w:bCs/>
                <w:sz w:val="18"/>
                <w:szCs w:val="24"/>
                <w:lang w:val="en-US"/>
              </w:rPr>
              <w:t>555</w:t>
            </w:r>
          </w:p>
        </w:tc>
      </w:tr>
      <w:tr w:rsidR="005926AE" w:rsidRPr="005926AE" w14:paraId="5ACDADB2" w14:textId="77777777" w:rsidTr="00794E0E">
        <w:tc>
          <w:tcPr>
            <w:tcW w:w="1795" w:type="dxa"/>
            <w:tcBorders>
              <w:bottom w:val="single" w:sz="4" w:space="0" w:color="auto"/>
            </w:tcBorders>
            <w:shd w:val="clear" w:color="auto" w:fill="auto"/>
            <w:tcMar>
              <w:top w:w="0" w:type="dxa"/>
              <w:left w:w="108" w:type="dxa"/>
              <w:bottom w:w="0" w:type="dxa"/>
              <w:right w:w="108" w:type="dxa"/>
            </w:tcMar>
            <w:hideMark/>
          </w:tcPr>
          <w:p w14:paraId="585839D1" w14:textId="77777777" w:rsidR="00146BDA" w:rsidRPr="006D217C" w:rsidRDefault="00146BDA" w:rsidP="006D217C">
            <w:pPr>
              <w:suppressAutoHyphens w:val="0"/>
              <w:kinsoku/>
              <w:overflowPunct/>
              <w:autoSpaceDE/>
              <w:autoSpaceDN/>
              <w:adjustRightInd/>
              <w:snapToGrid/>
              <w:spacing w:before="40" w:after="40" w:line="220" w:lineRule="exact"/>
              <w:rPr>
                <w:rFonts w:eastAsia="Times New Roman"/>
                <w:sz w:val="18"/>
                <w:szCs w:val="24"/>
                <w:lang w:val="en-US"/>
              </w:rPr>
            </w:pPr>
            <w:proofErr w:type="spellStart"/>
            <w:r w:rsidRPr="006D217C">
              <w:rPr>
                <w:rFonts w:eastAsia="Times New Roman"/>
                <w:sz w:val="18"/>
                <w:szCs w:val="24"/>
                <w:lang w:val="en-US"/>
              </w:rPr>
              <w:t>Etrangers</w:t>
            </w:r>
            <w:proofErr w:type="spellEnd"/>
          </w:p>
        </w:tc>
        <w:tc>
          <w:tcPr>
            <w:tcW w:w="2781" w:type="dxa"/>
            <w:tcBorders>
              <w:bottom w:val="single" w:sz="4" w:space="0" w:color="auto"/>
            </w:tcBorders>
            <w:shd w:val="clear" w:color="auto" w:fill="auto"/>
            <w:tcMar>
              <w:top w:w="0" w:type="dxa"/>
              <w:left w:w="108" w:type="dxa"/>
              <w:bottom w:w="0" w:type="dxa"/>
              <w:right w:w="108" w:type="dxa"/>
            </w:tcMar>
            <w:hideMark/>
          </w:tcPr>
          <w:p w14:paraId="4BAEFDB0"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589</w:t>
            </w:r>
          </w:p>
        </w:tc>
        <w:tc>
          <w:tcPr>
            <w:tcW w:w="1779" w:type="dxa"/>
            <w:tcBorders>
              <w:bottom w:val="single" w:sz="4" w:space="0" w:color="auto"/>
            </w:tcBorders>
            <w:shd w:val="clear" w:color="auto" w:fill="auto"/>
            <w:tcMar>
              <w:top w:w="0" w:type="dxa"/>
              <w:left w:w="108" w:type="dxa"/>
              <w:bottom w:w="0" w:type="dxa"/>
              <w:right w:w="108" w:type="dxa"/>
            </w:tcMar>
            <w:hideMark/>
          </w:tcPr>
          <w:p w14:paraId="13471EF5" w14:textId="77777777" w:rsidR="00146BDA" w:rsidRPr="006D217C"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6D217C">
              <w:rPr>
                <w:rFonts w:eastAsia="Times New Roman"/>
                <w:sz w:val="18"/>
                <w:szCs w:val="24"/>
                <w:lang w:val="en-US"/>
              </w:rPr>
              <w:t>531</w:t>
            </w:r>
          </w:p>
        </w:tc>
        <w:tc>
          <w:tcPr>
            <w:tcW w:w="1015" w:type="dxa"/>
            <w:tcBorders>
              <w:bottom w:val="single" w:sz="4" w:space="0" w:color="auto"/>
            </w:tcBorders>
            <w:shd w:val="clear" w:color="auto" w:fill="auto"/>
            <w:tcMar>
              <w:top w:w="0" w:type="dxa"/>
              <w:left w:w="108" w:type="dxa"/>
              <w:bottom w:w="0" w:type="dxa"/>
              <w:right w:w="108" w:type="dxa"/>
            </w:tcMar>
            <w:hideMark/>
          </w:tcPr>
          <w:p w14:paraId="2A7B6490" w14:textId="082527E4" w:rsidR="00146BDA" w:rsidRPr="00146BDA" w:rsidRDefault="00146BDA" w:rsidP="006D217C">
            <w:pPr>
              <w:suppressAutoHyphens w:val="0"/>
              <w:kinsoku/>
              <w:overflowPunct/>
              <w:autoSpaceDE/>
              <w:autoSpaceDN/>
              <w:adjustRightInd/>
              <w:snapToGrid/>
              <w:spacing w:before="40" w:after="40" w:line="220" w:lineRule="exact"/>
              <w:jc w:val="right"/>
              <w:rPr>
                <w:rFonts w:eastAsia="Times New Roman"/>
                <w:sz w:val="18"/>
                <w:szCs w:val="24"/>
                <w:lang w:val="en-US"/>
              </w:rPr>
            </w:pPr>
            <w:r w:rsidRPr="00146BDA">
              <w:rPr>
                <w:rFonts w:eastAsia="Times New Roman"/>
                <w:b/>
                <w:bCs/>
                <w:sz w:val="18"/>
                <w:szCs w:val="24"/>
                <w:lang w:val="en-US"/>
              </w:rPr>
              <w:t>1</w:t>
            </w:r>
            <w:r w:rsidR="00C55D22">
              <w:rPr>
                <w:rFonts w:eastAsia="Times New Roman"/>
                <w:b/>
                <w:bCs/>
                <w:sz w:val="18"/>
                <w:szCs w:val="24"/>
                <w:lang w:val="en-US"/>
              </w:rPr>
              <w:t xml:space="preserve"> </w:t>
            </w:r>
            <w:r w:rsidRPr="00146BDA">
              <w:rPr>
                <w:rFonts w:eastAsia="Times New Roman"/>
                <w:b/>
                <w:bCs/>
                <w:sz w:val="18"/>
                <w:szCs w:val="24"/>
                <w:lang w:val="en-US"/>
              </w:rPr>
              <w:t>120</w:t>
            </w:r>
          </w:p>
        </w:tc>
      </w:tr>
      <w:tr w:rsidR="005926AE" w:rsidRPr="006D217C" w14:paraId="30E1FDA7" w14:textId="77777777" w:rsidTr="00794E0E">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1F8D6726" w14:textId="77777777" w:rsidR="00146BDA" w:rsidRPr="006D217C" w:rsidRDefault="00146BDA" w:rsidP="006D217C">
            <w:pPr>
              <w:suppressAutoHyphens w:val="0"/>
              <w:kinsoku/>
              <w:overflowPunct/>
              <w:autoSpaceDE/>
              <w:autoSpaceDN/>
              <w:adjustRightInd/>
              <w:snapToGrid/>
              <w:spacing w:before="80" w:after="80" w:line="220" w:lineRule="exact"/>
              <w:ind w:left="283"/>
              <w:rPr>
                <w:rFonts w:eastAsia="Times New Roman"/>
                <w:b/>
                <w:sz w:val="18"/>
                <w:szCs w:val="24"/>
                <w:lang w:val="en-US"/>
              </w:rPr>
            </w:pPr>
            <w:proofErr w:type="spellStart"/>
            <w:r w:rsidRPr="006D217C">
              <w:rPr>
                <w:rFonts w:eastAsia="Times New Roman"/>
                <w:b/>
                <w:sz w:val="18"/>
                <w:szCs w:val="24"/>
                <w:lang w:val="en-US"/>
              </w:rPr>
              <w:t>Totaux</w:t>
            </w:r>
            <w:proofErr w:type="spellEnd"/>
          </w:p>
        </w:tc>
        <w:tc>
          <w:tcPr>
            <w:tcW w:w="2781" w:type="dxa"/>
            <w:tcBorders>
              <w:top w:val="single" w:sz="4" w:space="0" w:color="auto"/>
              <w:bottom w:val="single" w:sz="12" w:space="0" w:color="auto"/>
            </w:tcBorders>
            <w:shd w:val="clear" w:color="auto" w:fill="auto"/>
            <w:tcMar>
              <w:top w:w="0" w:type="dxa"/>
              <w:left w:w="108" w:type="dxa"/>
              <w:bottom w:w="0" w:type="dxa"/>
              <w:right w:w="108" w:type="dxa"/>
            </w:tcMar>
            <w:hideMark/>
          </w:tcPr>
          <w:p w14:paraId="0EBADC59" w14:textId="44B62163"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5</w:t>
            </w:r>
            <w:r w:rsidR="00C55D22" w:rsidRPr="006D217C">
              <w:rPr>
                <w:rFonts w:eastAsia="Times New Roman"/>
                <w:b/>
                <w:sz w:val="18"/>
                <w:szCs w:val="24"/>
                <w:lang w:val="en-US"/>
              </w:rPr>
              <w:t xml:space="preserve"> </w:t>
            </w:r>
            <w:r w:rsidRPr="006D217C">
              <w:rPr>
                <w:rFonts w:eastAsia="Times New Roman"/>
                <w:b/>
                <w:sz w:val="18"/>
                <w:szCs w:val="24"/>
                <w:lang w:val="en-US"/>
              </w:rPr>
              <w:t>399</w:t>
            </w:r>
          </w:p>
        </w:tc>
        <w:tc>
          <w:tcPr>
            <w:tcW w:w="1779" w:type="dxa"/>
            <w:tcBorders>
              <w:top w:val="single" w:sz="4" w:space="0" w:color="auto"/>
              <w:bottom w:val="single" w:sz="12" w:space="0" w:color="auto"/>
            </w:tcBorders>
            <w:shd w:val="clear" w:color="auto" w:fill="auto"/>
            <w:tcMar>
              <w:top w:w="0" w:type="dxa"/>
              <w:left w:w="108" w:type="dxa"/>
              <w:bottom w:w="0" w:type="dxa"/>
              <w:right w:w="108" w:type="dxa"/>
            </w:tcMar>
            <w:hideMark/>
          </w:tcPr>
          <w:p w14:paraId="31A3F702" w14:textId="7095FA74"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6</w:t>
            </w:r>
            <w:r w:rsidR="00C55D22" w:rsidRPr="006D217C">
              <w:rPr>
                <w:rFonts w:eastAsia="Times New Roman"/>
                <w:b/>
                <w:sz w:val="18"/>
                <w:szCs w:val="24"/>
                <w:lang w:val="en-US"/>
              </w:rPr>
              <w:t xml:space="preserve"> </w:t>
            </w:r>
            <w:r w:rsidRPr="006D217C">
              <w:rPr>
                <w:rFonts w:eastAsia="Times New Roman"/>
                <w:b/>
                <w:sz w:val="18"/>
                <w:szCs w:val="24"/>
                <w:lang w:val="en-US"/>
              </w:rPr>
              <w:t>276</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7A47D5CC" w14:textId="73E3E06A" w:rsidR="00146BDA" w:rsidRPr="006D217C" w:rsidRDefault="00146BDA" w:rsidP="006D217C">
            <w:pPr>
              <w:suppressAutoHyphens w:val="0"/>
              <w:kinsoku/>
              <w:overflowPunct/>
              <w:autoSpaceDE/>
              <w:autoSpaceDN/>
              <w:adjustRightInd/>
              <w:snapToGrid/>
              <w:spacing w:before="80" w:after="80" w:line="220" w:lineRule="exact"/>
              <w:jc w:val="right"/>
              <w:rPr>
                <w:rFonts w:eastAsia="Times New Roman"/>
                <w:b/>
                <w:sz w:val="18"/>
                <w:szCs w:val="24"/>
                <w:lang w:val="en-US"/>
              </w:rPr>
            </w:pPr>
            <w:r w:rsidRPr="006D217C">
              <w:rPr>
                <w:rFonts w:eastAsia="Times New Roman"/>
                <w:b/>
                <w:sz w:val="18"/>
                <w:szCs w:val="24"/>
                <w:lang w:val="en-US"/>
              </w:rPr>
              <w:t>11</w:t>
            </w:r>
            <w:r w:rsidR="00C55D22" w:rsidRPr="006D217C">
              <w:rPr>
                <w:rFonts w:eastAsia="Times New Roman"/>
                <w:b/>
                <w:sz w:val="18"/>
                <w:szCs w:val="24"/>
                <w:lang w:val="en-US"/>
              </w:rPr>
              <w:t xml:space="preserve"> </w:t>
            </w:r>
            <w:r w:rsidRPr="006D217C">
              <w:rPr>
                <w:rFonts w:eastAsia="Times New Roman"/>
                <w:b/>
                <w:sz w:val="18"/>
                <w:szCs w:val="24"/>
                <w:lang w:val="en-US"/>
              </w:rPr>
              <w:t>675</w:t>
            </w:r>
          </w:p>
        </w:tc>
      </w:tr>
    </w:tbl>
    <w:p w14:paraId="12869B79" w14:textId="4D587819" w:rsidR="00146BDA" w:rsidRPr="00146BDA" w:rsidRDefault="004B7B07" w:rsidP="004B7B07">
      <w:pPr>
        <w:pStyle w:val="H23G"/>
        <w:rPr>
          <w:rFonts w:eastAsia="Calibri"/>
          <w:sz w:val="24"/>
          <w:szCs w:val="24"/>
        </w:rPr>
      </w:pPr>
      <w:r>
        <w:tab/>
      </w:r>
      <w:r>
        <w:tab/>
        <w:t>Réponse au paragraphe 17 de la liste de points</w:t>
      </w:r>
    </w:p>
    <w:p w14:paraId="51072209" w14:textId="21BF3F72" w:rsidR="00146BDA" w:rsidRPr="008329B0" w:rsidRDefault="00146BDA" w:rsidP="00794E0E">
      <w:pPr>
        <w:pStyle w:val="SingleTxtG"/>
        <w:rPr>
          <w:bCs/>
          <w:iCs/>
        </w:rPr>
      </w:pPr>
      <w:r w:rsidRPr="00146BDA">
        <w:t>102.</w:t>
      </w:r>
      <w:r w:rsidR="003562DE">
        <w:tab/>
      </w:r>
      <w:r w:rsidRPr="00146BDA">
        <w:t xml:space="preserve">S’agissant des lieux de privation de liberté, des efforts continuent d’être accomplis à l’effet de désengorger certaines prisons. </w:t>
      </w:r>
    </w:p>
    <w:p w14:paraId="282B0E3A" w14:textId="0D95A71C" w:rsidR="00794E0E" w:rsidRPr="006D217C" w:rsidRDefault="00146BDA" w:rsidP="00794E0E">
      <w:pPr>
        <w:pStyle w:val="SingleTxtG"/>
        <w:rPr>
          <w:color w:val="000000" w:themeColor="text1"/>
          <w:lang w:val="fr-FR"/>
        </w:rPr>
      </w:pPr>
      <w:bookmarkStart w:id="18" w:name="_Hlk102865638"/>
      <w:r w:rsidRPr="00146BDA">
        <w:rPr>
          <w:lang w:val="fr-FR"/>
        </w:rPr>
        <w:lastRenderedPageBreak/>
        <w:t>103.</w:t>
      </w:r>
      <w:r w:rsidRPr="00146BDA">
        <w:rPr>
          <w:lang w:val="fr-FR"/>
        </w:rPr>
        <w:tab/>
        <w:t>En ce qui concerne les conditions de détention des détenus, des efforts ont été consentis par les pouvoirs publics pour les améliorer, notamment par le relèvement de l’indemnité journalière d’entretien qui est passée de 461</w:t>
      </w:r>
      <w:r w:rsidR="00C55D22">
        <w:rPr>
          <w:lang w:val="fr-FR"/>
        </w:rPr>
        <w:t> </w:t>
      </w:r>
      <w:r w:rsidRPr="00146BDA">
        <w:rPr>
          <w:lang w:val="fr-FR"/>
        </w:rPr>
        <w:t>franc</w:t>
      </w:r>
      <w:r w:rsidR="00C55D22">
        <w:rPr>
          <w:lang w:val="fr-FR"/>
        </w:rPr>
        <w:t>s</w:t>
      </w:r>
      <w:r w:rsidRPr="00146BDA">
        <w:rPr>
          <w:lang w:val="fr-FR"/>
        </w:rPr>
        <w:t xml:space="preserve"> CFA en 2012 à 1</w:t>
      </w:r>
      <w:r w:rsidR="00C55D22">
        <w:rPr>
          <w:lang w:val="fr-FR"/>
        </w:rPr>
        <w:t> </w:t>
      </w:r>
      <w:r w:rsidRPr="00146BDA">
        <w:rPr>
          <w:lang w:val="fr-FR"/>
        </w:rPr>
        <w:t>152 franc</w:t>
      </w:r>
      <w:r w:rsidR="00C55D22">
        <w:rPr>
          <w:lang w:val="fr-FR"/>
        </w:rPr>
        <w:t>s</w:t>
      </w:r>
      <w:r w:rsidRPr="00146BDA">
        <w:rPr>
          <w:lang w:val="fr-FR"/>
        </w:rPr>
        <w:t xml:space="preserve"> CFA en 2021, soit une hausse de 691 franc</w:t>
      </w:r>
      <w:r w:rsidR="00C55D22">
        <w:rPr>
          <w:lang w:val="fr-FR"/>
        </w:rPr>
        <w:t>s</w:t>
      </w:r>
      <w:r w:rsidRPr="00146BDA">
        <w:rPr>
          <w:lang w:val="fr-FR"/>
        </w:rPr>
        <w:t xml:space="preserve"> CFA</w:t>
      </w:r>
      <w:r>
        <w:rPr>
          <w:lang w:val="fr-FR"/>
        </w:rPr>
        <w:t xml:space="preserve"> </w:t>
      </w:r>
      <w:r w:rsidRPr="00146BDA">
        <w:rPr>
          <w:lang w:val="fr-FR"/>
        </w:rPr>
        <w:t>en l’espace de</w:t>
      </w:r>
      <w:r>
        <w:rPr>
          <w:lang w:val="fr-FR"/>
        </w:rPr>
        <w:t xml:space="preserve"> </w:t>
      </w:r>
      <w:r w:rsidRPr="00146BDA">
        <w:rPr>
          <w:lang w:val="fr-FR"/>
        </w:rPr>
        <w:t xml:space="preserve">neuf (09) ans, la construction et de la réhabilitation d’établissement pénitentiaire (480 places au camp pénal de </w:t>
      </w:r>
      <w:proofErr w:type="spellStart"/>
      <w:r w:rsidRPr="00146BDA">
        <w:rPr>
          <w:lang w:val="fr-FR"/>
        </w:rPr>
        <w:t>Koutal</w:t>
      </w:r>
      <w:proofErr w:type="spellEnd"/>
      <w:r w:rsidRPr="00146BDA">
        <w:rPr>
          <w:lang w:val="fr-FR"/>
        </w:rPr>
        <w:t xml:space="preserve">, extension de la maison de correction de </w:t>
      </w:r>
      <w:proofErr w:type="spellStart"/>
      <w:r w:rsidRPr="00146BDA">
        <w:rPr>
          <w:lang w:val="fr-FR"/>
        </w:rPr>
        <w:t>Sébikotane</w:t>
      </w:r>
      <w:proofErr w:type="spellEnd"/>
      <w:r w:rsidRPr="00146BDA">
        <w:rPr>
          <w:lang w:val="fr-FR"/>
        </w:rPr>
        <w:t xml:space="preserve"> (300 places), des maisons d’arrêt et de correction de Diourbel (160 places), Mbour (300 places) et Bignona pour 150 places). Il s’y ajoute le projet de construction de neuf (9) nouveaux établissements pénitentiaires déjà validé</w:t>
      </w:r>
      <w:r w:rsidRPr="006D217C">
        <w:rPr>
          <w:color w:val="000000" w:themeColor="text1"/>
          <w:lang w:val="fr-FR"/>
        </w:rPr>
        <w:t xml:space="preserve">. </w:t>
      </w:r>
      <w:bookmarkEnd w:id="18"/>
    </w:p>
    <w:p w14:paraId="65478E7E" w14:textId="77777777" w:rsidR="00794E0E" w:rsidRDefault="00146BDA" w:rsidP="00794E0E">
      <w:pPr>
        <w:pStyle w:val="SingleTxtG"/>
        <w:rPr>
          <w:lang w:val="fr-FR"/>
        </w:rPr>
      </w:pPr>
      <w:r w:rsidRPr="00146BDA">
        <w:rPr>
          <w:lang w:val="fr-FR"/>
        </w:rPr>
        <w:t>104.</w:t>
      </w:r>
      <w:r w:rsidRPr="00146BDA">
        <w:rPr>
          <w:lang w:val="fr-FR"/>
        </w:rPr>
        <w:tab/>
        <w:t>Au Sénégal, les détenus atteints de troubles mentaux sont transférés dans les centres psychiatriques pour une meilleure prise en charge.</w:t>
      </w:r>
    </w:p>
    <w:p w14:paraId="7A48D979" w14:textId="0C2A0E7E" w:rsidR="00794E0E" w:rsidRDefault="00146BDA" w:rsidP="00794E0E">
      <w:pPr>
        <w:pStyle w:val="SingleTxtG"/>
        <w:rPr>
          <w:lang w:val="fr-FR"/>
        </w:rPr>
      </w:pPr>
      <w:r w:rsidRPr="00146BDA">
        <w:rPr>
          <w:lang w:val="fr-FR"/>
        </w:rPr>
        <w:t>105.</w:t>
      </w:r>
      <w:r w:rsidRPr="00146BDA">
        <w:rPr>
          <w:lang w:val="fr-FR"/>
        </w:rPr>
        <w:tab/>
        <w:t>Concernant les détenus présumés terroristes, ils bénéficient des mêmes droits que ceux de droits de commun (alimentation, hygiène, santé et visite</w:t>
      </w:r>
      <w:r w:rsidR="008329B0">
        <w:rPr>
          <w:lang w:val="fr-FR"/>
        </w:rPr>
        <w:t>,</w:t>
      </w:r>
      <w:r w:rsidRPr="00146BDA">
        <w:rPr>
          <w:lang w:val="fr-FR"/>
        </w:rPr>
        <w:t xml:space="preserve"> etc.). </w:t>
      </w:r>
    </w:p>
    <w:p w14:paraId="4845A116" w14:textId="413885B5" w:rsidR="00794E0E" w:rsidRDefault="00146BDA" w:rsidP="00794E0E">
      <w:pPr>
        <w:pStyle w:val="SingleTxtG"/>
        <w:rPr>
          <w:lang w:val="fr-FR"/>
        </w:rPr>
      </w:pPr>
      <w:r w:rsidRPr="00146BDA">
        <w:rPr>
          <w:lang w:val="fr-FR"/>
        </w:rPr>
        <w:t>106.</w:t>
      </w:r>
      <w:r w:rsidRPr="00146BDA">
        <w:rPr>
          <w:lang w:val="fr-FR"/>
        </w:rPr>
        <w:tab/>
        <w:t>S’agissant du service de santé de l’</w:t>
      </w:r>
      <w:r w:rsidR="00C55D22">
        <w:rPr>
          <w:lang w:val="fr-FR"/>
        </w:rPr>
        <w:t>a</w:t>
      </w:r>
      <w:r w:rsidRPr="00146BDA">
        <w:rPr>
          <w:lang w:val="fr-FR"/>
        </w:rPr>
        <w:t>dministration pénitentiaire, il fait partie intégrante du système de santé publique. Tous les détenus ont accès aux établissements publics de santé et bénéficient de la gratuité des soins, consultations médicales et des produits pharmaceutiques à l’exception des verres de correction et des prothèses.</w:t>
      </w:r>
    </w:p>
    <w:p w14:paraId="1D7A9B40" w14:textId="77777777" w:rsidR="00794E0E" w:rsidRDefault="00146BDA" w:rsidP="00794E0E">
      <w:pPr>
        <w:pStyle w:val="SingleTxtG"/>
        <w:rPr>
          <w:lang w:val="fr-FR"/>
        </w:rPr>
      </w:pPr>
      <w:r w:rsidRPr="00146BDA">
        <w:rPr>
          <w:lang w:val="fr-FR"/>
        </w:rPr>
        <w:t>107.</w:t>
      </w:r>
      <w:r w:rsidRPr="00146BDA">
        <w:rPr>
          <w:lang w:val="fr-FR"/>
        </w:rPr>
        <w:tab/>
        <w:t xml:space="preserve">Pour ce qui est de la séparation des différentes catégories pénales, elle est effective dans les établissements pénitentiaires. En effet, il existe des établissements pénitentiaires spécifiques pour les femmes et mineurs détenus à Dakar (maison d’arrêt et de correction de </w:t>
      </w:r>
      <w:proofErr w:type="spellStart"/>
      <w:r w:rsidRPr="00146BDA">
        <w:rPr>
          <w:lang w:val="fr-FR"/>
        </w:rPr>
        <w:t>Hann</w:t>
      </w:r>
      <w:proofErr w:type="spellEnd"/>
      <w:r w:rsidRPr="00146BDA">
        <w:rPr>
          <w:lang w:val="fr-FR"/>
        </w:rPr>
        <w:t xml:space="preserve">, maison d’arrêt pour femmes de Liberté VI et maison d’arrêt et de correction pour femmes de Rufisque). </w:t>
      </w:r>
    </w:p>
    <w:p w14:paraId="0F522D5C" w14:textId="77777777" w:rsidR="00794E0E" w:rsidRDefault="00146BDA" w:rsidP="00794E0E">
      <w:pPr>
        <w:pStyle w:val="SingleTxtG"/>
        <w:rPr>
          <w:lang w:val="fr-FR"/>
        </w:rPr>
      </w:pPr>
      <w:r w:rsidRPr="00146BDA">
        <w:rPr>
          <w:lang w:val="fr-FR"/>
        </w:rPr>
        <w:t>108.</w:t>
      </w:r>
      <w:r w:rsidRPr="00146BDA">
        <w:rPr>
          <w:lang w:val="fr-FR"/>
        </w:rPr>
        <w:tab/>
        <w:t>S’agissant des enfants en conflit avec la loi, les services de réadaptation et d’éducation sont dotés de salles de jeux, de salle de sport et bénéficient d’enseignements scolaires et de métiers.</w:t>
      </w:r>
    </w:p>
    <w:p w14:paraId="275C5115" w14:textId="13BA492D" w:rsidR="00794E0E" w:rsidRDefault="00146BDA" w:rsidP="00794E0E">
      <w:pPr>
        <w:pStyle w:val="SingleTxtG"/>
        <w:rPr>
          <w:lang w:val="fr-FR"/>
        </w:rPr>
      </w:pPr>
      <w:r w:rsidRPr="00146BDA">
        <w:rPr>
          <w:lang w:val="fr-FR"/>
        </w:rPr>
        <w:t>109.</w:t>
      </w:r>
      <w:r w:rsidRPr="00146BDA">
        <w:rPr>
          <w:lang w:val="fr-FR"/>
        </w:rPr>
        <w:tab/>
        <w:t>Dans les autres établissements pénitentiaires mixtes abritant toutes les catégories pénales, des quartiers distincts sont aménagés pour les femmes et mineurs détenus. Les femmes enceintes sont placées pendant les deux derniers mois de leur grossesse dans un local séparé où elles resteront durant les deux mois qui suivront l’accouchement. Les enfants peuvent également être laissés avec leur mère en prison jusqu</w:t>
      </w:r>
      <w:r w:rsidR="00546497">
        <w:rPr>
          <w:lang w:val="fr-FR"/>
        </w:rPr>
        <w:t>’</w:t>
      </w:r>
      <w:r w:rsidRPr="00146BDA">
        <w:rPr>
          <w:lang w:val="fr-FR"/>
        </w:rPr>
        <w:t>à l’âge de trois (3) ans. Au-delà, ils sont confiés à leur famille ou à des institutions charitables. Des activités d’éducation, de formation et récréatives sont aussi développées dans les établissements pénitentiaires pour les détenus condamnés afin de faciliter leur réinsertion sociale y compris les catégories spécifiques (femmes et mineurs détenus).</w:t>
      </w:r>
    </w:p>
    <w:p w14:paraId="4C3C7E58" w14:textId="77777777" w:rsidR="00794E0E" w:rsidRDefault="00146BDA" w:rsidP="00794E0E">
      <w:pPr>
        <w:pStyle w:val="SingleTxtG"/>
        <w:rPr>
          <w:lang w:val="fr-FR"/>
        </w:rPr>
      </w:pPr>
      <w:r w:rsidRPr="00146BDA">
        <w:rPr>
          <w:lang w:val="fr-FR"/>
        </w:rPr>
        <w:t>110.</w:t>
      </w:r>
      <w:r w:rsidRPr="00146BDA">
        <w:rPr>
          <w:lang w:val="fr-FR"/>
        </w:rPr>
        <w:tab/>
        <w:t>En outre, les détenus en situation de vulnérabilité ne souffrent d’aucune forme de discrimination dans les lieux de détention au Sénégal.</w:t>
      </w:r>
    </w:p>
    <w:p w14:paraId="60C57DDD" w14:textId="5928FFBD" w:rsidR="00146BDA" w:rsidRPr="00146BDA" w:rsidRDefault="004B7B07" w:rsidP="004B7B07">
      <w:pPr>
        <w:pStyle w:val="H23G"/>
        <w:rPr>
          <w:rFonts w:eastAsia="Calibri"/>
          <w:spacing w:val="-2"/>
          <w:sz w:val="24"/>
          <w:szCs w:val="24"/>
          <w:lang w:val="fr-FR"/>
        </w:rPr>
      </w:pPr>
      <w:r>
        <w:tab/>
      </w:r>
      <w:r>
        <w:tab/>
        <w:t>Réponse au paragraphe 18 de la liste de points</w:t>
      </w:r>
    </w:p>
    <w:p w14:paraId="5A5908E4" w14:textId="77777777" w:rsidR="00794E0E" w:rsidRDefault="00146BDA" w:rsidP="00794E0E">
      <w:pPr>
        <w:pStyle w:val="SingleTxtG"/>
        <w:rPr>
          <w:lang w:val="fr-FR"/>
        </w:rPr>
      </w:pPr>
      <w:r w:rsidRPr="00146BDA">
        <w:rPr>
          <w:lang w:val="fr-FR"/>
        </w:rPr>
        <w:t>111.</w:t>
      </w:r>
      <w:r w:rsidRPr="00146BDA">
        <w:rPr>
          <w:lang w:val="fr-FR"/>
        </w:rPr>
        <w:tab/>
        <w:t>En ce qui concerne le placement d’un détenu à l’isolement, il est soumis à des conditions. Il faut une faute du détenu qui peut résulter d’un usage de menaces, injures ou violences, soit à l’égard du Directeur ou de ses préposés, soit à l’égard des autres détenus, d’un refus de se conformer aux prescriptions en vue du maintien du bon ordre ou de l’exécution des consignes. Le détenu doit être préalablement informé de l’infraction relevée contre lui et mis en mesure de présenter ses explications au Directeur de l’établissement ou au Directeur de l’Administration pénitentiaire, selon la gravité de la faute commise et la sanction encourue.</w:t>
      </w:r>
    </w:p>
    <w:p w14:paraId="5640A928" w14:textId="51BA5C59" w:rsidR="00146BDA" w:rsidRPr="00146BDA" w:rsidRDefault="00146BDA" w:rsidP="00794E0E">
      <w:pPr>
        <w:pStyle w:val="SingleTxtG"/>
        <w:rPr>
          <w:lang w:val="fr-FR"/>
        </w:rPr>
      </w:pPr>
      <w:r w:rsidRPr="00146BDA">
        <w:rPr>
          <w:lang w:val="fr-FR"/>
        </w:rPr>
        <w:t>112.</w:t>
      </w:r>
      <w:r w:rsidRPr="00146BDA">
        <w:rPr>
          <w:lang w:val="fr-FR"/>
        </w:rPr>
        <w:tab/>
        <w:t xml:space="preserve">Concernant la prévention et la lutte contre les châtiments corporels et psychologiques des détenus récalcitrants par certains agents pénitentiaires, l’État a créé l’Observateur national des Lieux de Privation de Liberté (ONLPL) par la loi </w:t>
      </w:r>
      <w:r w:rsidR="00C55D22">
        <w:rPr>
          <w:lang w:val="fr-FR"/>
        </w:rPr>
        <w:t>n</w:t>
      </w:r>
      <w:r w:rsidR="00C55D22" w:rsidRPr="005A743A">
        <w:rPr>
          <w:vertAlign w:val="superscript"/>
          <w:lang w:val="fr-FR"/>
        </w:rPr>
        <w:t>o</w:t>
      </w:r>
      <w:r w:rsidR="00C55D22">
        <w:rPr>
          <w:lang w:val="fr-FR"/>
        </w:rPr>
        <w:t> </w:t>
      </w:r>
      <w:r w:rsidRPr="00146BDA">
        <w:rPr>
          <w:lang w:val="fr-FR"/>
        </w:rPr>
        <w:t>2009-13 du 2 mars 2009. Cet organe a pour rôle de prévenir les tortures et les mauvais traitements dans les lieux de privation de liberté par des visites régulières et inopinées. En cas de contestation de violation des droits fondamentaux, il peut saisir les autorités compétentes pour suggérer des sanctions disciplinaires ou pénales.</w:t>
      </w:r>
    </w:p>
    <w:p w14:paraId="09A6537A" w14:textId="1C9A2CF7" w:rsidR="00146BDA" w:rsidRPr="00146BDA" w:rsidRDefault="004B7B07" w:rsidP="004B7B07">
      <w:pPr>
        <w:pStyle w:val="H23G"/>
        <w:rPr>
          <w:rFonts w:eastAsia="Calibri"/>
          <w:sz w:val="24"/>
          <w:szCs w:val="24"/>
          <w:lang w:val="fr-FR"/>
        </w:rPr>
      </w:pPr>
      <w:r>
        <w:lastRenderedPageBreak/>
        <w:tab/>
      </w:r>
      <w:r>
        <w:tab/>
        <w:t>Réponse au paragraphe 18 a) de la liste de points</w:t>
      </w:r>
    </w:p>
    <w:p w14:paraId="5CAEE535" w14:textId="5987BFB0" w:rsidR="00146BDA" w:rsidRPr="00146BDA" w:rsidRDefault="00146BDA" w:rsidP="00794E0E">
      <w:pPr>
        <w:pStyle w:val="SingleTxtG"/>
        <w:rPr>
          <w:lang w:val="fr-FR"/>
        </w:rPr>
      </w:pPr>
      <w:r w:rsidRPr="00146BDA">
        <w:rPr>
          <w:lang w:val="fr-FR"/>
        </w:rPr>
        <w:t>113.</w:t>
      </w:r>
      <w:r w:rsidRPr="00146BDA">
        <w:rPr>
          <w:lang w:val="fr-FR"/>
        </w:rPr>
        <w:tab/>
        <w:t>En cas d’urgence, il est conduit en cellule punitive immédiatement, à titre provisoire dans l’attente de la décision à intervenir. C’est le cas en matière d’évasion, de rébellion, de coups et de blessures sur la personne d’un membre de l’</w:t>
      </w:r>
      <w:r w:rsidR="00C55D22">
        <w:rPr>
          <w:lang w:val="fr-FR"/>
        </w:rPr>
        <w:t>a</w:t>
      </w:r>
      <w:r w:rsidRPr="00146BDA">
        <w:rPr>
          <w:lang w:val="fr-FR"/>
        </w:rPr>
        <w:t xml:space="preserve">dministration pénitentiaire ou de tentative de ces infractions. La mise en cellule punitive ne peut être décidée que par le </w:t>
      </w:r>
      <w:r w:rsidR="00C55D22">
        <w:rPr>
          <w:lang w:val="fr-FR"/>
        </w:rPr>
        <w:t>d</w:t>
      </w:r>
      <w:r w:rsidRPr="00146BDA">
        <w:rPr>
          <w:lang w:val="fr-FR"/>
        </w:rPr>
        <w:t>irecteur et par écrit.</w:t>
      </w:r>
      <w:r w:rsidR="00794E0E">
        <w:rPr>
          <w:lang w:val="fr-FR"/>
        </w:rPr>
        <w:t xml:space="preserve"> </w:t>
      </w:r>
      <w:r w:rsidRPr="00146BDA">
        <w:rPr>
          <w:lang w:val="fr-FR"/>
        </w:rPr>
        <w:t xml:space="preserve">La durée de la mise en cellule punitive est de huit (08) jours lorsqu’elle est fixée par le </w:t>
      </w:r>
      <w:r w:rsidR="00C55D22">
        <w:rPr>
          <w:lang w:val="fr-FR"/>
        </w:rPr>
        <w:t>d</w:t>
      </w:r>
      <w:r w:rsidRPr="00146BDA">
        <w:rPr>
          <w:lang w:val="fr-FR"/>
        </w:rPr>
        <w:t xml:space="preserve">irecteur de l’établissement pénitentiaire. Ce dernier peut demander son augmentation à trente (30) jours au </w:t>
      </w:r>
      <w:r w:rsidR="00C55D22">
        <w:rPr>
          <w:lang w:val="fr-FR"/>
        </w:rPr>
        <w:t>d</w:t>
      </w:r>
      <w:r w:rsidRPr="00146BDA">
        <w:rPr>
          <w:lang w:val="fr-FR"/>
        </w:rPr>
        <w:t>irecteur de l’</w:t>
      </w:r>
      <w:r w:rsidR="00C55D22">
        <w:rPr>
          <w:lang w:val="fr-FR"/>
        </w:rPr>
        <w:t>a</w:t>
      </w:r>
      <w:r w:rsidRPr="00146BDA">
        <w:rPr>
          <w:lang w:val="fr-FR"/>
        </w:rPr>
        <w:t xml:space="preserve">dministration pénitentiaire. </w:t>
      </w:r>
    </w:p>
    <w:p w14:paraId="4A75D01C" w14:textId="77777777" w:rsidR="00146BDA" w:rsidRPr="00146BDA" w:rsidRDefault="00146BDA" w:rsidP="00794E0E">
      <w:pPr>
        <w:pStyle w:val="SingleTxtG"/>
        <w:rPr>
          <w:lang w:val="fr-FR"/>
        </w:rPr>
      </w:pPr>
      <w:r w:rsidRPr="00146BDA">
        <w:rPr>
          <w:lang w:val="fr-FR"/>
        </w:rPr>
        <w:t>114.</w:t>
      </w:r>
      <w:r w:rsidRPr="00146BDA">
        <w:rPr>
          <w:lang w:val="fr-FR"/>
        </w:rPr>
        <w:tab/>
        <w:t>Le juge de l’application des peines doit être avisé dans les brefs délais de toutes les sanctions disciplinaires prises contre les détenus.</w:t>
      </w:r>
    </w:p>
    <w:p w14:paraId="1A30A417" w14:textId="77777777" w:rsidR="00146BDA" w:rsidRPr="00146BDA" w:rsidRDefault="00146BDA" w:rsidP="00794E0E">
      <w:pPr>
        <w:pStyle w:val="SingleTxtG"/>
        <w:rPr>
          <w:lang w:val="fr-FR"/>
        </w:rPr>
      </w:pPr>
      <w:r w:rsidRPr="00146BDA">
        <w:rPr>
          <w:lang w:val="fr-FR"/>
        </w:rPr>
        <w:t>115.</w:t>
      </w:r>
      <w:r w:rsidRPr="00146BDA">
        <w:rPr>
          <w:lang w:val="fr-FR"/>
        </w:rPr>
        <w:tab/>
        <w:t>Les détenus sanctionnés ont la possibilité de faire parvenir au juge de l’application des peines leur dossier, soit directement, soit par l’intermédiaire de leur conseil, toutes observations utiles en ce qui concerne les décisions prises à leur égard.</w:t>
      </w:r>
    </w:p>
    <w:p w14:paraId="5713CB83" w14:textId="025C5704" w:rsidR="00146BDA" w:rsidRPr="00146BDA" w:rsidRDefault="004B7B07" w:rsidP="004B7B07">
      <w:pPr>
        <w:pStyle w:val="H23G"/>
        <w:rPr>
          <w:rFonts w:eastAsia="Calibri"/>
          <w:sz w:val="24"/>
          <w:szCs w:val="24"/>
          <w:lang w:val="fr-FR"/>
        </w:rPr>
      </w:pPr>
      <w:r>
        <w:tab/>
      </w:r>
      <w:r>
        <w:tab/>
        <w:t>Réponse au paragraphe 18 b) de la liste de points</w:t>
      </w:r>
    </w:p>
    <w:p w14:paraId="2D735388" w14:textId="33EBAC6C" w:rsidR="00146BDA" w:rsidRPr="00146BDA" w:rsidRDefault="00146BDA" w:rsidP="00794E0E">
      <w:pPr>
        <w:pStyle w:val="SingleTxtG"/>
        <w:rPr>
          <w:lang w:val="fr-FR"/>
        </w:rPr>
      </w:pPr>
      <w:r w:rsidRPr="00146BDA">
        <w:rPr>
          <w:lang w:val="fr-FR"/>
        </w:rPr>
        <w:t>116.</w:t>
      </w:r>
      <w:r w:rsidRPr="00146BDA">
        <w:rPr>
          <w:lang w:val="fr-FR"/>
        </w:rPr>
        <w:tab/>
        <w:t xml:space="preserve">La mise en cellule est une mesure de dernier ressort prise par le </w:t>
      </w:r>
      <w:r w:rsidR="00C55D22">
        <w:rPr>
          <w:lang w:val="fr-FR"/>
        </w:rPr>
        <w:t>d</w:t>
      </w:r>
      <w:r w:rsidRPr="00146BDA">
        <w:rPr>
          <w:lang w:val="fr-FR"/>
        </w:rPr>
        <w:t>irecteur de l’établissement pénitentiaire. Il existe d’autres sanctions qui peuvent être prises par le Directeur de l’établissement pénitentiaire telles que la réprimande, suppression de promenade pendant huit (8) jours au plus, la privation de toute correspondance pendant deux (2) semaines au plus, suppression de l’usage du pécule pendant huit (8) jours et la suppression de visite pendant huit (8) jours.</w:t>
      </w:r>
    </w:p>
    <w:p w14:paraId="3C58544F" w14:textId="5A05303E" w:rsidR="00146BDA" w:rsidRPr="00146BDA" w:rsidRDefault="004B7B07" w:rsidP="004B7B07">
      <w:pPr>
        <w:pStyle w:val="H23G"/>
        <w:rPr>
          <w:rFonts w:eastAsia="Calibri"/>
          <w:sz w:val="24"/>
          <w:szCs w:val="24"/>
          <w:lang w:val="fr-FR"/>
        </w:rPr>
      </w:pPr>
      <w:r>
        <w:tab/>
      </w:r>
      <w:r>
        <w:tab/>
        <w:t>Réponse au paragraphe 18 c) de la liste de points</w:t>
      </w:r>
      <w:r w:rsidR="00146BDA">
        <w:rPr>
          <w:rFonts w:eastAsia="Calibri"/>
          <w:sz w:val="24"/>
          <w:szCs w:val="24"/>
          <w:lang w:val="fr-FR"/>
        </w:rPr>
        <w:t xml:space="preserve"> </w:t>
      </w:r>
    </w:p>
    <w:p w14:paraId="1C0EE65A" w14:textId="77777777" w:rsidR="00794E0E" w:rsidRDefault="00146BDA" w:rsidP="00794E0E">
      <w:pPr>
        <w:pStyle w:val="SingleTxtG"/>
        <w:rPr>
          <w:lang w:val="fr-FR"/>
        </w:rPr>
      </w:pPr>
      <w:r w:rsidRPr="00146BDA">
        <w:rPr>
          <w:lang w:val="fr-FR"/>
        </w:rPr>
        <w:t>117.</w:t>
      </w:r>
      <w:r w:rsidRPr="00146BDA">
        <w:rPr>
          <w:lang w:val="fr-FR"/>
        </w:rPr>
        <w:tab/>
        <w:t>Il existe un registre des punitions et des récompenses dans chaque établissement pénitentiaire.</w:t>
      </w:r>
    </w:p>
    <w:p w14:paraId="2EF096BF" w14:textId="5ADE083B" w:rsidR="00794E0E" w:rsidRDefault="00146BDA" w:rsidP="00794E0E">
      <w:pPr>
        <w:pStyle w:val="SingleTxtG"/>
        <w:rPr>
          <w:lang w:val="fr-FR"/>
        </w:rPr>
      </w:pPr>
      <w:bookmarkStart w:id="19" w:name="_Hlk102865834"/>
      <w:r w:rsidRPr="00146BDA">
        <w:rPr>
          <w:lang w:val="fr-FR"/>
        </w:rPr>
        <w:t>118.</w:t>
      </w:r>
      <w:r w:rsidRPr="00146BDA">
        <w:rPr>
          <w:lang w:val="fr-FR"/>
        </w:rPr>
        <w:tab/>
        <w:t>S’agissant de la clarification relative à la priorisation de l’installation d’appareils de détection pour remplacer les fouilles personnelles, on peut noter l’existence de scanner et de portique dans certains établissements pénitentiaires</w:t>
      </w:r>
      <w:r w:rsidR="00C55D22">
        <w:rPr>
          <w:lang w:val="fr-FR"/>
        </w:rPr>
        <w:t>, par e</w:t>
      </w:r>
      <w:r w:rsidRPr="00146BDA">
        <w:rPr>
          <w:lang w:val="fr-FR"/>
        </w:rPr>
        <w:t>xemple : maison d’arrêt de Rebeus.</w:t>
      </w:r>
      <w:bookmarkEnd w:id="19"/>
    </w:p>
    <w:p w14:paraId="014525D6" w14:textId="6766997F" w:rsidR="00794E0E" w:rsidRDefault="00146BDA" w:rsidP="00794E0E">
      <w:pPr>
        <w:pStyle w:val="SingleTxtG"/>
        <w:rPr>
          <w:lang w:val="fr-FR"/>
        </w:rPr>
      </w:pPr>
      <w:r w:rsidRPr="00146BDA">
        <w:rPr>
          <w:lang w:val="fr-FR"/>
        </w:rPr>
        <w:t>119.</w:t>
      </w:r>
      <w:r w:rsidRPr="00146BDA">
        <w:rPr>
          <w:lang w:val="fr-FR"/>
        </w:rPr>
        <w:tab/>
        <w:t xml:space="preserve">Quant aux fouilles, ce sont de mesures de sécurité prévues par le décret </w:t>
      </w:r>
      <w:r w:rsidR="00C55D22">
        <w:rPr>
          <w:lang w:val="fr-FR"/>
        </w:rPr>
        <w:t>n</w:t>
      </w:r>
      <w:r w:rsidR="00C55D22" w:rsidRPr="005A743A">
        <w:rPr>
          <w:vertAlign w:val="superscript"/>
          <w:lang w:val="fr-FR"/>
        </w:rPr>
        <w:t>o</w:t>
      </w:r>
      <w:r w:rsidR="00C55D22">
        <w:rPr>
          <w:lang w:val="fr-FR"/>
        </w:rPr>
        <w:t> </w:t>
      </w:r>
      <w:r w:rsidRPr="00146BDA">
        <w:rPr>
          <w:lang w:val="fr-FR"/>
        </w:rPr>
        <w:t xml:space="preserve">2001-362 du 4 mai 2001, sur les procédures d’exécution et d’aménagement des sanctions pénales en son article 135 qui dispose « Tous les détenus doivent être fouillés à leur entrée dans la prison et chaque fois qu’ils en sont extraits pour être conduits à l’instruction ou à l’audience et ramenés à la prison. Ils peuvent être également fouillés pendant le cours de la détention aussi souvent que le Régisseur le jugera nécessaire ». </w:t>
      </w:r>
    </w:p>
    <w:p w14:paraId="409E09E0" w14:textId="661B7DDE" w:rsidR="00146BDA" w:rsidRPr="00146BDA" w:rsidRDefault="00146BDA" w:rsidP="00794E0E">
      <w:pPr>
        <w:pStyle w:val="SingleTxtG"/>
        <w:rPr>
          <w:bCs/>
          <w:iCs/>
          <w:lang w:val="fr-FR"/>
        </w:rPr>
      </w:pPr>
      <w:r w:rsidRPr="00146BDA">
        <w:rPr>
          <w:lang w:val="fr-FR"/>
        </w:rPr>
        <w:t>120.</w:t>
      </w:r>
      <w:r w:rsidRPr="00146BDA">
        <w:rPr>
          <w:lang w:val="fr-FR"/>
        </w:rPr>
        <w:tab/>
        <w:t xml:space="preserve">Des dispositions nécessaires sont prises par les </w:t>
      </w:r>
      <w:r w:rsidR="00C55D22">
        <w:rPr>
          <w:lang w:val="fr-FR"/>
        </w:rPr>
        <w:t>d</w:t>
      </w:r>
      <w:r w:rsidRPr="00146BDA">
        <w:rPr>
          <w:lang w:val="fr-FR"/>
        </w:rPr>
        <w:t>irecteurs d’établissement pénitentiaire pour que les fouilles se déroulent dans des locaux réservés à cet effet et qu’elles soient effectuées par des personnels de même sexe que le détenu.</w:t>
      </w:r>
    </w:p>
    <w:p w14:paraId="09EDBFA7" w14:textId="0A6BD7D3" w:rsidR="00146BDA" w:rsidRPr="00146BDA" w:rsidRDefault="004B7B07" w:rsidP="004B7B07">
      <w:pPr>
        <w:pStyle w:val="H23G"/>
        <w:rPr>
          <w:rFonts w:eastAsia="Calibri"/>
          <w:sz w:val="24"/>
          <w:szCs w:val="24"/>
        </w:rPr>
      </w:pPr>
      <w:r>
        <w:tab/>
      </w:r>
      <w:r>
        <w:tab/>
        <w:t>Réponse au paragraphe 19 de la liste de points</w:t>
      </w:r>
    </w:p>
    <w:p w14:paraId="47DB40E0" w14:textId="47B89A98" w:rsidR="00794E0E" w:rsidRDefault="00146BDA" w:rsidP="00794E0E">
      <w:pPr>
        <w:pStyle w:val="SingleTxtG"/>
        <w:rPr>
          <w:lang w:val="fr-FR"/>
        </w:rPr>
      </w:pPr>
      <w:r w:rsidRPr="00146BDA">
        <w:rPr>
          <w:lang w:val="fr-FR"/>
        </w:rPr>
        <w:t>121.</w:t>
      </w:r>
      <w:r w:rsidRPr="00146BDA">
        <w:rPr>
          <w:lang w:val="fr-FR"/>
        </w:rPr>
        <w:tab/>
        <w:t xml:space="preserve">Sur le nombre de décès en milieu carcéral, les données statistiques suivantes, ont été enregistrées : 30 en 2018, 31 en 2019, 24 en 2020 et 25 en 2021. La plupart de décès ont lieu dans des établissements publics de santé (Hôpital ou district sanitaire) ou au cours d’une évacuation. Ce sont des morts naturelles liées souvent à des maladies à l’exception du détenu Mbaye Diop décédé le 29 février 2020, à la suite d’une bagarre avec son codétenu Khadim </w:t>
      </w:r>
      <w:proofErr w:type="spellStart"/>
      <w:r w:rsidR="00C55D22" w:rsidRPr="00146BDA">
        <w:rPr>
          <w:lang w:val="fr-FR"/>
        </w:rPr>
        <w:t>Fall</w:t>
      </w:r>
      <w:proofErr w:type="spellEnd"/>
      <w:r w:rsidR="00C55D22" w:rsidRPr="00146BDA">
        <w:rPr>
          <w:lang w:val="fr-FR"/>
        </w:rPr>
        <w:t xml:space="preserve"> </w:t>
      </w:r>
      <w:r w:rsidRPr="00146BDA">
        <w:rPr>
          <w:lang w:val="fr-FR"/>
        </w:rPr>
        <w:t xml:space="preserve">(maison d’arrêt et de correction de Diourbel), du détenu </w:t>
      </w:r>
      <w:proofErr w:type="spellStart"/>
      <w:r w:rsidRPr="00146BDA">
        <w:rPr>
          <w:lang w:val="fr-FR"/>
        </w:rPr>
        <w:t>Fallou</w:t>
      </w:r>
      <w:proofErr w:type="spellEnd"/>
      <w:r w:rsidRPr="00146BDA">
        <w:rPr>
          <w:lang w:val="fr-FR"/>
        </w:rPr>
        <w:t xml:space="preserve"> </w:t>
      </w:r>
      <w:r w:rsidR="00C55D22" w:rsidRPr="00146BDA">
        <w:rPr>
          <w:lang w:val="fr-FR"/>
        </w:rPr>
        <w:t xml:space="preserve">Ka </w:t>
      </w:r>
      <w:r w:rsidRPr="00146BDA">
        <w:rPr>
          <w:lang w:val="fr-FR"/>
        </w:rPr>
        <w:t xml:space="preserve">décédé le 2 mai 2019, à la suite de blessures subies au cours de son arrestation par la police (maison d’arrêt et de correction de Diourbel et des détenus Babacar </w:t>
      </w:r>
      <w:r w:rsidR="00C55D22" w:rsidRPr="00146BDA">
        <w:rPr>
          <w:lang w:val="fr-FR"/>
        </w:rPr>
        <w:t xml:space="preserve">Mane </w:t>
      </w:r>
      <w:r w:rsidRPr="00146BDA">
        <w:rPr>
          <w:lang w:val="fr-FR"/>
        </w:rPr>
        <w:t>et Cheikh Ndiaye décédés le 27</w:t>
      </w:r>
      <w:r w:rsidR="00C55D22">
        <w:rPr>
          <w:lang w:val="fr-FR"/>
        </w:rPr>
        <w:t> </w:t>
      </w:r>
      <w:r w:rsidRPr="00146BDA">
        <w:rPr>
          <w:lang w:val="fr-FR"/>
        </w:rPr>
        <w:t>août 2019 par électrocution (maison d’arrêt de Rebeus).</w:t>
      </w:r>
    </w:p>
    <w:p w14:paraId="323A2E72" w14:textId="00C977EA" w:rsidR="00146BDA" w:rsidRPr="00146BDA" w:rsidRDefault="00146BDA" w:rsidP="00794E0E">
      <w:pPr>
        <w:pStyle w:val="SingleTxtG"/>
      </w:pPr>
      <w:r w:rsidRPr="00146BDA">
        <w:t>122.</w:t>
      </w:r>
      <w:r w:rsidRPr="00146BDA">
        <w:tab/>
        <w:t xml:space="preserve">Dans l’affaire </w:t>
      </w:r>
      <w:proofErr w:type="spellStart"/>
      <w:r w:rsidRPr="00146BDA">
        <w:t>Yamadou</w:t>
      </w:r>
      <w:proofErr w:type="spellEnd"/>
      <w:r w:rsidRPr="00146BDA">
        <w:t xml:space="preserve"> </w:t>
      </w:r>
      <w:r w:rsidR="00C55D22" w:rsidRPr="00146BDA">
        <w:t xml:space="preserve">Sagna </w:t>
      </w:r>
      <w:r w:rsidRPr="00146BDA">
        <w:t>une enquête avait été ouverte et les deux douaniers impliqués ont été arrêtés et traduits devant le tribunal militaire de Dakar.</w:t>
      </w:r>
    </w:p>
    <w:p w14:paraId="7D14A613" w14:textId="4356E151" w:rsidR="00146BDA" w:rsidRPr="00146BDA" w:rsidRDefault="004B7B07" w:rsidP="004B7B07">
      <w:pPr>
        <w:pStyle w:val="H23G"/>
        <w:rPr>
          <w:rFonts w:eastAsia="Calibri"/>
          <w:sz w:val="24"/>
          <w:szCs w:val="24"/>
        </w:rPr>
      </w:pPr>
      <w:r>
        <w:tab/>
      </w:r>
      <w:r>
        <w:tab/>
        <w:t>Réponse au paragraphe 19 a) de la liste de points</w:t>
      </w:r>
    </w:p>
    <w:p w14:paraId="1C341EDD" w14:textId="04A7A970" w:rsidR="00146BDA" w:rsidRPr="00146BDA" w:rsidRDefault="00146BDA" w:rsidP="00794E0E">
      <w:pPr>
        <w:pStyle w:val="SingleTxtG"/>
      </w:pPr>
      <w:r w:rsidRPr="00146BDA">
        <w:t>123.</w:t>
      </w:r>
      <w:r w:rsidRPr="00146BDA">
        <w:tab/>
        <w:t xml:space="preserve">Pour le détenu Louise </w:t>
      </w:r>
      <w:r w:rsidR="00C55D22" w:rsidRPr="00146BDA">
        <w:t xml:space="preserve">Ndiaye </w:t>
      </w:r>
      <w:r w:rsidRPr="00146BDA">
        <w:t xml:space="preserve">et non </w:t>
      </w:r>
      <w:r w:rsidR="00C55D22" w:rsidRPr="00146BDA">
        <w:t>Dieng</w:t>
      </w:r>
      <w:r w:rsidRPr="00146BDA">
        <w:t xml:space="preserve">, l’enquête a révélé qu’il est mort des suites de sa maladie. </w:t>
      </w:r>
    </w:p>
    <w:p w14:paraId="1690D6C9" w14:textId="0A37DDF3" w:rsidR="00146BDA" w:rsidRPr="00146BDA" w:rsidRDefault="004B7B07" w:rsidP="004B7B07">
      <w:pPr>
        <w:pStyle w:val="H23G"/>
        <w:rPr>
          <w:rFonts w:eastAsia="Calibri"/>
          <w:sz w:val="24"/>
          <w:szCs w:val="24"/>
          <w:lang w:val="fr-FR"/>
        </w:rPr>
      </w:pPr>
      <w:r>
        <w:lastRenderedPageBreak/>
        <w:tab/>
      </w:r>
      <w:r>
        <w:tab/>
        <w:t>Réponse au paragraphe 19 b) de la liste de points</w:t>
      </w:r>
    </w:p>
    <w:p w14:paraId="6A7534EA" w14:textId="7E3C7D5B" w:rsidR="00794E0E" w:rsidRDefault="00146BDA" w:rsidP="00794E0E">
      <w:pPr>
        <w:pStyle w:val="SingleTxtG"/>
        <w:rPr>
          <w:lang w:val="fr-FR"/>
        </w:rPr>
      </w:pPr>
      <w:r w:rsidRPr="00146BDA">
        <w:rPr>
          <w:lang w:val="fr-FR"/>
        </w:rPr>
        <w:t>124.</w:t>
      </w:r>
      <w:r w:rsidRPr="00146BDA">
        <w:rPr>
          <w:lang w:val="fr-FR"/>
        </w:rPr>
        <w:tab/>
        <w:t xml:space="preserve">Pour le détenu </w:t>
      </w:r>
      <w:proofErr w:type="spellStart"/>
      <w:r w:rsidRPr="00146BDA">
        <w:rPr>
          <w:lang w:val="fr-FR"/>
        </w:rPr>
        <w:t>Fallou</w:t>
      </w:r>
      <w:proofErr w:type="spellEnd"/>
      <w:r w:rsidRPr="00146BDA">
        <w:rPr>
          <w:lang w:val="fr-FR"/>
        </w:rPr>
        <w:t xml:space="preserve"> </w:t>
      </w:r>
      <w:r w:rsidR="00C55D22" w:rsidRPr="00146BDA">
        <w:rPr>
          <w:lang w:val="fr-FR"/>
        </w:rPr>
        <w:t>Ka</w:t>
      </w:r>
      <w:r w:rsidRPr="00146BDA">
        <w:rPr>
          <w:lang w:val="fr-FR"/>
        </w:rPr>
        <w:t>, il n’a jamais été battu à mort à la maison d’arrêt et de correction de Diourbel. Le détenu susnommé a été placé sous mandat de dépôt le 29 avril 2019. Il est arrivé le même jour en se plaignant de douleurs abdominales. Interrogé sur les causes, il déclare avoir été violenté au cours de son arrestation. Il a été examiné par l’infirmier de l’établissement pénitentiaire qui lui a procuré des soins.</w:t>
      </w:r>
    </w:p>
    <w:p w14:paraId="053EE407" w14:textId="77777777" w:rsidR="00794E0E" w:rsidRDefault="00146BDA" w:rsidP="00794E0E">
      <w:pPr>
        <w:pStyle w:val="SingleTxtG"/>
        <w:rPr>
          <w:lang w:val="fr-FR"/>
        </w:rPr>
      </w:pPr>
      <w:r w:rsidRPr="00146BDA">
        <w:rPr>
          <w:lang w:val="fr-FR"/>
        </w:rPr>
        <w:t>125.</w:t>
      </w:r>
      <w:r w:rsidRPr="00146BDA">
        <w:rPr>
          <w:lang w:val="fr-FR"/>
        </w:rPr>
        <w:tab/>
        <w:t>Conformément à la réglementation régissant l’organisation et le fonctionnement des établissements pénitentiaires, un compte rendu a été fait au procureur de la République près le tribunal de grande instance de Diourbel. Ce dernier a ordonné une autopsie et une enquête pour élucider les causes du décès et situer des responsabilités.</w:t>
      </w:r>
    </w:p>
    <w:p w14:paraId="07337BCD" w14:textId="3883D4DF" w:rsidR="00146BDA" w:rsidRPr="00146BDA" w:rsidRDefault="00146BDA" w:rsidP="00794E0E">
      <w:pPr>
        <w:pStyle w:val="SingleTxtG"/>
        <w:rPr>
          <w:lang w:val="fr-FR"/>
        </w:rPr>
      </w:pPr>
      <w:r w:rsidRPr="00146BDA">
        <w:rPr>
          <w:lang w:val="fr-FR"/>
        </w:rPr>
        <w:t>126.</w:t>
      </w:r>
      <w:r w:rsidRPr="00146BDA">
        <w:rPr>
          <w:lang w:val="fr-FR"/>
        </w:rPr>
        <w:tab/>
        <w:t xml:space="preserve">Les résultats de l’enquête ont révélé que quatre (04) agents dont deux (02) de police et deux (2) de sécurité de proximité (Baba </w:t>
      </w:r>
      <w:proofErr w:type="spellStart"/>
      <w:r w:rsidR="00C55D22" w:rsidRPr="00146BDA">
        <w:rPr>
          <w:lang w:val="fr-FR"/>
        </w:rPr>
        <w:t>Condoul</w:t>
      </w:r>
      <w:proofErr w:type="spellEnd"/>
      <w:r w:rsidRPr="00146BDA">
        <w:rPr>
          <w:lang w:val="fr-FR"/>
        </w:rPr>
        <w:t xml:space="preserve">, Daouda </w:t>
      </w:r>
      <w:r w:rsidR="00C55D22" w:rsidRPr="00146BDA">
        <w:rPr>
          <w:lang w:val="fr-FR"/>
        </w:rPr>
        <w:t>Ndiaye</w:t>
      </w:r>
      <w:r w:rsidRPr="00146BDA">
        <w:rPr>
          <w:lang w:val="fr-FR"/>
        </w:rPr>
        <w:t xml:space="preserve">, </w:t>
      </w:r>
      <w:proofErr w:type="spellStart"/>
      <w:r w:rsidRPr="00146BDA">
        <w:rPr>
          <w:lang w:val="fr-FR"/>
        </w:rPr>
        <w:t>Ndongo</w:t>
      </w:r>
      <w:proofErr w:type="spellEnd"/>
      <w:r w:rsidRPr="00146BDA">
        <w:rPr>
          <w:lang w:val="fr-FR"/>
        </w:rPr>
        <w:t xml:space="preserve"> </w:t>
      </w:r>
      <w:r w:rsidR="00C55D22" w:rsidRPr="00146BDA">
        <w:rPr>
          <w:lang w:val="fr-FR"/>
        </w:rPr>
        <w:t xml:space="preserve">Kane </w:t>
      </w:r>
      <w:r w:rsidRPr="00146BDA">
        <w:rPr>
          <w:lang w:val="fr-FR"/>
        </w:rPr>
        <w:t xml:space="preserve">et Louis </w:t>
      </w:r>
      <w:r w:rsidR="00C55D22" w:rsidRPr="00146BDA">
        <w:rPr>
          <w:lang w:val="fr-FR"/>
        </w:rPr>
        <w:t>Diouf</w:t>
      </w:r>
      <w:r w:rsidRPr="00146BDA">
        <w:rPr>
          <w:lang w:val="fr-FR"/>
        </w:rPr>
        <w:t>) ayant procédé à son arrestation étaient responsables de sa mort. Ils ont été placés sous mandat de dépôt le 27</w:t>
      </w:r>
      <w:r w:rsidR="00C55D22">
        <w:rPr>
          <w:lang w:val="fr-FR"/>
        </w:rPr>
        <w:t xml:space="preserve"> mai</w:t>
      </w:r>
      <w:r w:rsidRPr="00146BDA">
        <w:rPr>
          <w:lang w:val="fr-FR"/>
        </w:rPr>
        <w:t xml:space="preserve"> 2019 et le 7 janvier 2020 ils sont condamnés à 2 ans ferme</w:t>
      </w:r>
      <w:r w:rsidR="00C55D22">
        <w:rPr>
          <w:lang w:val="fr-FR"/>
        </w:rPr>
        <w:t>s</w:t>
      </w:r>
      <w:r w:rsidRPr="00146BDA">
        <w:rPr>
          <w:lang w:val="fr-FR"/>
        </w:rPr>
        <w:t xml:space="preserve"> pour coups et blessures volontaires ayant occasionné la mort sans intention de la donner et à 2</w:t>
      </w:r>
      <w:r w:rsidR="00C55D22">
        <w:rPr>
          <w:lang w:val="fr-FR"/>
        </w:rPr>
        <w:t> </w:t>
      </w:r>
      <w:r w:rsidRPr="00146BDA">
        <w:rPr>
          <w:lang w:val="fr-FR"/>
        </w:rPr>
        <w:t>millions de dommages et intérêts.</w:t>
      </w:r>
    </w:p>
    <w:p w14:paraId="5D212A3B" w14:textId="6CF8CFEC" w:rsidR="00146BDA" w:rsidRPr="00146BDA" w:rsidRDefault="004B7B07" w:rsidP="004B7B07">
      <w:pPr>
        <w:pStyle w:val="H23G"/>
        <w:rPr>
          <w:rFonts w:eastAsia="Calibri"/>
          <w:sz w:val="24"/>
          <w:szCs w:val="24"/>
          <w:lang w:val="fr-FR"/>
        </w:rPr>
      </w:pPr>
      <w:r>
        <w:tab/>
      </w:r>
      <w:r>
        <w:tab/>
        <w:t>Réponse au paragraphe 19 c) de la liste de points</w:t>
      </w:r>
    </w:p>
    <w:p w14:paraId="5C5E1391" w14:textId="66C3DF42" w:rsidR="00146BDA" w:rsidRPr="00146BDA" w:rsidRDefault="00146BDA" w:rsidP="00794E0E">
      <w:pPr>
        <w:pStyle w:val="SingleTxtG"/>
        <w:rPr>
          <w:lang w:val="fr-FR"/>
        </w:rPr>
      </w:pPr>
      <w:r w:rsidRPr="00146BDA">
        <w:rPr>
          <w:lang w:val="fr-FR"/>
        </w:rPr>
        <w:t>127.</w:t>
      </w:r>
      <w:r w:rsidRPr="00146BDA">
        <w:rPr>
          <w:lang w:val="fr-FR"/>
        </w:rPr>
        <w:tab/>
        <w:t xml:space="preserve">S’agissant des détenus Babacar </w:t>
      </w:r>
      <w:r w:rsidR="00C55D22" w:rsidRPr="00146BDA">
        <w:rPr>
          <w:lang w:val="fr-FR"/>
        </w:rPr>
        <w:t xml:space="preserve">Mane </w:t>
      </w:r>
      <w:r w:rsidRPr="00146BDA">
        <w:rPr>
          <w:lang w:val="fr-FR"/>
        </w:rPr>
        <w:t xml:space="preserve">et Cheikh </w:t>
      </w:r>
      <w:r w:rsidR="00C55D22" w:rsidRPr="00146BDA">
        <w:rPr>
          <w:lang w:val="fr-FR"/>
        </w:rPr>
        <w:t>Ndiaye</w:t>
      </w:r>
      <w:r w:rsidRPr="00146BDA">
        <w:rPr>
          <w:lang w:val="fr-FR"/>
        </w:rPr>
        <w:t xml:space="preserve">, une enquête a été ouverte par le procureur de la République près le tribunal de grande instance hors classe de Dakar. Cette enquête a révélé que les détenus sont morts par électrocution. </w:t>
      </w:r>
    </w:p>
    <w:p w14:paraId="3FF983B6" w14:textId="5770FEF4" w:rsidR="00146BDA" w:rsidRPr="00146BDA" w:rsidRDefault="004B7B07" w:rsidP="004B7B07">
      <w:pPr>
        <w:pStyle w:val="H23G"/>
        <w:rPr>
          <w:rFonts w:eastAsia="Calibri"/>
          <w:sz w:val="24"/>
          <w:szCs w:val="24"/>
          <w:lang w:val="fr-FR"/>
        </w:rPr>
      </w:pPr>
      <w:r>
        <w:tab/>
      </w:r>
      <w:r>
        <w:tab/>
        <w:t>Réponse au paragraphe 19 d) et e) de la liste de points</w:t>
      </w:r>
    </w:p>
    <w:p w14:paraId="245ADD4E" w14:textId="51DA2F24" w:rsidR="00794E0E" w:rsidRDefault="00146BDA" w:rsidP="00794E0E">
      <w:pPr>
        <w:pStyle w:val="SingleTxtG"/>
        <w:rPr>
          <w:lang w:val="fr-FR"/>
        </w:rPr>
      </w:pPr>
      <w:r w:rsidRPr="00146BDA">
        <w:rPr>
          <w:lang w:val="fr-FR"/>
        </w:rPr>
        <w:t>128.</w:t>
      </w:r>
      <w:r w:rsidRPr="00146BDA">
        <w:rPr>
          <w:lang w:val="fr-FR"/>
        </w:rPr>
        <w:tab/>
        <w:t xml:space="preserve">En ce qui concerne les détenus </w:t>
      </w:r>
      <w:proofErr w:type="spellStart"/>
      <w:r w:rsidRPr="00146BDA">
        <w:rPr>
          <w:lang w:val="fr-FR"/>
        </w:rPr>
        <w:t>Séni</w:t>
      </w:r>
      <w:proofErr w:type="spellEnd"/>
      <w:r w:rsidRPr="00146BDA">
        <w:rPr>
          <w:lang w:val="fr-FR"/>
        </w:rPr>
        <w:t xml:space="preserve"> </w:t>
      </w:r>
      <w:proofErr w:type="spellStart"/>
      <w:r w:rsidR="00C55D22" w:rsidRPr="00146BDA">
        <w:rPr>
          <w:lang w:val="fr-FR"/>
        </w:rPr>
        <w:t>Sane</w:t>
      </w:r>
      <w:proofErr w:type="spellEnd"/>
      <w:r w:rsidR="00C55D22" w:rsidRPr="00146BDA">
        <w:rPr>
          <w:lang w:val="fr-FR"/>
        </w:rPr>
        <w:t xml:space="preserve"> </w:t>
      </w:r>
      <w:r w:rsidRPr="00146BDA">
        <w:rPr>
          <w:lang w:val="fr-FR"/>
        </w:rPr>
        <w:t xml:space="preserve">et El hadji Ousmane </w:t>
      </w:r>
      <w:r w:rsidR="00C55D22" w:rsidRPr="00146BDA">
        <w:rPr>
          <w:lang w:val="fr-FR"/>
        </w:rPr>
        <w:t>Diop</w:t>
      </w:r>
      <w:r w:rsidRPr="00146BDA">
        <w:rPr>
          <w:lang w:val="fr-FR"/>
        </w:rPr>
        <w:t>, l’enquête a révélé qu’ils sont décédés des suites de leur maladie.</w:t>
      </w:r>
    </w:p>
    <w:p w14:paraId="62BC397C" w14:textId="6B5EDE90" w:rsidR="00146BDA" w:rsidRPr="00146BDA" w:rsidRDefault="004B7B07" w:rsidP="004B7B07">
      <w:pPr>
        <w:pStyle w:val="H23G"/>
        <w:rPr>
          <w:rFonts w:eastAsia="Calibri"/>
          <w:i/>
          <w:sz w:val="24"/>
          <w:szCs w:val="24"/>
          <w:lang w:val="fr-FR"/>
        </w:rPr>
      </w:pPr>
      <w:r>
        <w:tab/>
      </w:r>
      <w:r>
        <w:tab/>
        <w:t>Réponse au paragraphe 20 de la liste de points</w:t>
      </w:r>
      <w:r w:rsidR="00146BDA" w:rsidRPr="00146BDA">
        <w:rPr>
          <w:rFonts w:eastAsia="Calibri"/>
          <w:i/>
          <w:sz w:val="24"/>
          <w:szCs w:val="24"/>
          <w:lang w:val="fr-FR"/>
        </w:rPr>
        <w:t xml:space="preserve"> </w:t>
      </w:r>
    </w:p>
    <w:p w14:paraId="1A679D9E" w14:textId="77777777" w:rsidR="00794E0E" w:rsidRDefault="00146BDA" w:rsidP="00794E0E">
      <w:pPr>
        <w:pStyle w:val="SingleTxtG"/>
        <w:rPr>
          <w:lang w:val="fr-FR"/>
        </w:rPr>
      </w:pPr>
      <w:r w:rsidRPr="00146BDA">
        <w:rPr>
          <w:lang w:val="fr-FR"/>
        </w:rPr>
        <w:t>129.</w:t>
      </w:r>
      <w:r w:rsidRPr="00146BDA">
        <w:rPr>
          <w:lang w:val="fr-FR"/>
        </w:rPr>
        <w:tab/>
        <w:t>Le Sénégal reconnait le droit à l’immigration, en ce qu’il est connu comme étant une terre d’accueil et d’hospitalité. La législation sénégalaise se montre tolérant vis-à-vis des personnes interpellées dans le cadre de l’immigration.</w:t>
      </w:r>
    </w:p>
    <w:p w14:paraId="3D978923" w14:textId="3602FCEC" w:rsidR="00794E0E" w:rsidRDefault="00146BDA" w:rsidP="00794E0E">
      <w:pPr>
        <w:pStyle w:val="SingleTxtG"/>
        <w:rPr>
          <w:lang w:val="fr-FR"/>
        </w:rPr>
      </w:pPr>
      <w:r w:rsidRPr="00146BDA">
        <w:rPr>
          <w:lang w:val="fr-FR"/>
        </w:rPr>
        <w:t>130.</w:t>
      </w:r>
      <w:r w:rsidRPr="00146BDA">
        <w:rPr>
          <w:lang w:val="fr-FR"/>
        </w:rPr>
        <w:tab/>
      </w:r>
      <w:r w:rsidR="00C55D22">
        <w:rPr>
          <w:lang w:val="fr-FR"/>
        </w:rPr>
        <w:t>À</w:t>
      </w:r>
      <w:r w:rsidRPr="00146BDA">
        <w:rPr>
          <w:lang w:val="fr-FR"/>
        </w:rPr>
        <w:t xml:space="preserve"> titre illustratif, les migrants bénéficient d’une quasi irresponsabilité pénale même en cas d’entrée illégale sur le territoire. C’est le sens de l’article 12 de la loi </w:t>
      </w:r>
      <w:r w:rsidR="00C55D22">
        <w:rPr>
          <w:lang w:val="fr-FR"/>
        </w:rPr>
        <w:t>n</w:t>
      </w:r>
      <w:r w:rsidR="00C55D22" w:rsidRPr="005A743A">
        <w:rPr>
          <w:vertAlign w:val="superscript"/>
          <w:lang w:val="fr-FR"/>
        </w:rPr>
        <w:t>o</w:t>
      </w:r>
      <w:r w:rsidR="00C55D22">
        <w:rPr>
          <w:lang w:val="fr-FR"/>
        </w:rPr>
        <w:t> </w:t>
      </w:r>
      <w:r w:rsidRPr="00146BDA">
        <w:rPr>
          <w:lang w:val="fr-FR"/>
        </w:rPr>
        <w:t>2005-06 du 10 mai 2005 relative à la lutte contre la traite des personnes et pratiques assimilées et la protection des victimes. C’est pour dire que le droit sénégalais ne réprime que le trafic de migrants ou l’auteur de la traite des personnes.</w:t>
      </w:r>
    </w:p>
    <w:p w14:paraId="15332D70" w14:textId="52C0E23A" w:rsidR="00794E0E" w:rsidRDefault="00146BDA" w:rsidP="00794E0E">
      <w:pPr>
        <w:pStyle w:val="SingleTxtG"/>
        <w:rPr>
          <w:lang w:val="fr-FR"/>
        </w:rPr>
      </w:pPr>
      <w:r w:rsidRPr="00146BDA">
        <w:rPr>
          <w:lang w:val="fr-FR"/>
        </w:rPr>
        <w:t>131.</w:t>
      </w:r>
      <w:r w:rsidRPr="00146BDA">
        <w:rPr>
          <w:lang w:val="fr-FR"/>
        </w:rPr>
        <w:tab/>
      </w:r>
      <w:r w:rsidR="008F2675">
        <w:rPr>
          <w:lang w:val="fr-FR"/>
        </w:rPr>
        <w:t>À</w:t>
      </w:r>
      <w:r w:rsidRPr="00146BDA">
        <w:rPr>
          <w:lang w:val="fr-FR"/>
        </w:rPr>
        <w:t xml:space="preserve"> propos des demandes d’asile, la Police nationale en a reçu pour enquêtes, entre le 1</w:t>
      </w:r>
      <w:r w:rsidR="003562DE" w:rsidRPr="006D217C">
        <w:rPr>
          <w:vertAlign w:val="superscript"/>
          <w:lang w:val="fr-FR"/>
        </w:rPr>
        <w:t>er</w:t>
      </w:r>
      <w:r w:rsidR="003562DE">
        <w:rPr>
          <w:lang w:val="fr-FR"/>
        </w:rPr>
        <w:t> </w:t>
      </w:r>
      <w:r w:rsidRPr="00146BDA">
        <w:rPr>
          <w:lang w:val="fr-FR"/>
        </w:rPr>
        <w:t xml:space="preserve">janvier 2018 et le 11 février 2022, sept cent trente-trois (733). L’enquête de police permet de repérer parmi les demandeurs d’asile les personnes en situation de vulnérabilité y compris les victimes de torture, de traite ou de violence fondée sur le genre, ainsi que les mineurs non accompagnés ou séparés de leur famille. </w:t>
      </w:r>
      <w:r w:rsidR="00C55D22">
        <w:rPr>
          <w:lang w:val="fr-FR"/>
        </w:rPr>
        <w:t>À</w:t>
      </w:r>
      <w:r w:rsidRPr="00146BDA">
        <w:rPr>
          <w:lang w:val="fr-FR"/>
        </w:rPr>
        <w:t xml:space="preserve"> l’issue de l’enquête, le dossier est transmis à la Commission nationale d’éligibilité au statut de Réfugié, laquelle tient compte de la situation de vulnérabilité de la personne et les dispositions qui garantissent le principe de non-refoulement, dans son avis adressé au Président de la République.</w:t>
      </w:r>
    </w:p>
    <w:p w14:paraId="5997CFE3" w14:textId="77777777" w:rsidR="00794E0E" w:rsidRDefault="00146BDA" w:rsidP="00794E0E">
      <w:pPr>
        <w:pStyle w:val="SingleTxtG"/>
        <w:rPr>
          <w:lang w:val="fr-FR"/>
        </w:rPr>
      </w:pPr>
      <w:r w:rsidRPr="00146BDA">
        <w:rPr>
          <w:lang w:val="fr-FR"/>
        </w:rPr>
        <w:t>132.</w:t>
      </w:r>
      <w:r w:rsidRPr="00146BDA">
        <w:rPr>
          <w:lang w:val="fr-FR"/>
        </w:rPr>
        <w:tab/>
        <w:t>En tout état de cause, toutes ces catégories de personnes bénéficient d’un traitement approprié et sont entendues suivant des méthodes d’interrogatoire non coercitives.</w:t>
      </w:r>
    </w:p>
    <w:p w14:paraId="597EE488" w14:textId="788A50F8" w:rsidR="00146BDA" w:rsidRPr="00146BDA" w:rsidRDefault="00146BDA" w:rsidP="007F5E8F">
      <w:pPr>
        <w:pStyle w:val="H1G"/>
        <w:rPr>
          <w:lang w:val="fr-FR"/>
        </w:rPr>
      </w:pPr>
      <w:r w:rsidRPr="00146BDA">
        <w:rPr>
          <w:lang w:val="fr-FR"/>
        </w:rPr>
        <w:tab/>
      </w:r>
      <w:r w:rsidR="004B7B07">
        <w:rPr>
          <w:lang w:val="fr-FR"/>
        </w:rPr>
        <w:tab/>
      </w:r>
      <w:r w:rsidR="004B7B07">
        <w:rPr>
          <w:lang w:val="fr-FR"/>
        </w:rPr>
        <w:tab/>
      </w:r>
      <w:r w:rsidRPr="00146BDA">
        <w:rPr>
          <w:lang w:val="fr-FR"/>
        </w:rPr>
        <w:t>Articles 12 et 13</w:t>
      </w:r>
    </w:p>
    <w:p w14:paraId="74E829A8" w14:textId="5CA4307B" w:rsidR="00146BDA" w:rsidRPr="00146BDA" w:rsidRDefault="004B7B07" w:rsidP="004B7B07">
      <w:pPr>
        <w:pStyle w:val="H23G"/>
        <w:rPr>
          <w:rFonts w:eastAsia="Calibri"/>
          <w:sz w:val="24"/>
          <w:szCs w:val="24"/>
        </w:rPr>
      </w:pPr>
      <w:r>
        <w:tab/>
      </w:r>
      <w:r>
        <w:tab/>
        <w:t>Réponse au paragraphe 21 a) de la liste de points</w:t>
      </w:r>
    </w:p>
    <w:p w14:paraId="0993166F" w14:textId="4CB3A8CE" w:rsidR="00146BDA" w:rsidRPr="00146BDA" w:rsidRDefault="00146BDA" w:rsidP="00794E0E">
      <w:pPr>
        <w:pStyle w:val="SingleTxtG"/>
        <w:rPr>
          <w:lang w:val="fr-FR"/>
        </w:rPr>
      </w:pPr>
      <w:r w:rsidRPr="00146BDA">
        <w:t>133.</w:t>
      </w:r>
      <w:r w:rsidRPr="00146BDA">
        <w:tab/>
      </w:r>
      <w:r w:rsidR="00C55D22">
        <w:t>À</w:t>
      </w:r>
      <w:r w:rsidRPr="00146BDA">
        <w:t xml:space="preserve"> l’heure actuelle, il n’y a aucune mesure tendant à l’abrogation de la loi d’amnistie prise en 2004 concernant les actes commis dans le cadre du conflit casamançais.</w:t>
      </w:r>
    </w:p>
    <w:p w14:paraId="6AD0524D" w14:textId="6070685D" w:rsidR="00146BDA" w:rsidRPr="00146BDA" w:rsidRDefault="004B7B07" w:rsidP="004B7B07">
      <w:pPr>
        <w:pStyle w:val="H23G"/>
        <w:rPr>
          <w:rFonts w:eastAsia="Calibri"/>
          <w:i/>
          <w:color w:val="000000"/>
          <w:sz w:val="24"/>
          <w:szCs w:val="24"/>
          <w:lang w:val="fr-FR"/>
        </w:rPr>
      </w:pPr>
      <w:r>
        <w:lastRenderedPageBreak/>
        <w:tab/>
      </w:r>
      <w:r>
        <w:tab/>
        <w:t>Réponse au paragraphe 21 b) de la liste de points</w:t>
      </w:r>
      <w:r w:rsidR="00146BDA" w:rsidRPr="00146BDA">
        <w:rPr>
          <w:rFonts w:eastAsia="Calibri"/>
          <w:i/>
          <w:color w:val="000000"/>
          <w:sz w:val="24"/>
          <w:szCs w:val="24"/>
          <w:lang w:val="fr-FR"/>
        </w:rPr>
        <w:t xml:space="preserve"> </w:t>
      </w:r>
    </w:p>
    <w:p w14:paraId="54F233BB" w14:textId="5360AD7F" w:rsidR="00146BDA" w:rsidRPr="00146BDA" w:rsidRDefault="00146BDA" w:rsidP="00794E0E">
      <w:pPr>
        <w:pStyle w:val="SingleTxtG"/>
        <w:rPr>
          <w:lang w:val="fr-FR"/>
        </w:rPr>
      </w:pPr>
      <w:r w:rsidRPr="00146BDA">
        <w:rPr>
          <w:lang w:val="fr-FR"/>
        </w:rPr>
        <w:t>134.</w:t>
      </w:r>
      <w:r>
        <w:rPr>
          <w:lang w:val="fr-FR"/>
        </w:rPr>
        <w:t xml:space="preserve"> </w:t>
      </w:r>
      <w:r w:rsidR="004B7B07">
        <w:rPr>
          <w:lang w:val="fr-FR"/>
        </w:rPr>
        <w:tab/>
      </w:r>
      <w:r w:rsidRPr="00146BDA">
        <w:rPr>
          <w:lang w:val="fr-FR"/>
        </w:rPr>
        <w:t xml:space="preserve">Effectivement, depuis 2018, pour la sécurité et la protection des civils, des mesures sont prises en Casamance par les autorités, allant des patrouilles, aux contrôles des frontières en passant par des vérifications d’identité. </w:t>
      </w:r>
    </w:p>
    <w:p w14:paraId="6AB76C2A" w14:textId="1CDBE2D4" w:rsidR="00146BDA" w:rsidRPr="00146BDA" w:rsidRDefault="004B7B07" w:rsidP="004B7B07">
      <w:pPr>
        <w:pStyle w:val="H23G"/>
        <w:rPr>
          <w:rFonts w:eastAsia="Calibri"/>
          <w:i/>
          <w:sz w:val="24"/>
          <w:szCs w:val="24"/>
          <w:lang w:val="fr-FR"/>
        </w:rPr>
      </w:pPr>
      <w:r>
        <w:tab/>
      </w:r>
      <w:r>
        <w:tab/>
        <w:t>Réponse au paragraphe 21 c) de la liste de points</w:t>
      </w:r>
      <w:r w:rsidR="00146BDA">
        <w:rPr>
          <w:rFonts w:eastAsia="Calibri"/>
          <w:i/>
          <w:w w:val="103"/>
          <w:sz w:val="24"/>
          <w:szCs w:val="24"/>
          <w:lang w:val="fr-CA"/>
        </w:rPr>
        <w:t xml:space="preserve"> </w:t>
      </w:r>
    </w:p>
    <w:p w14:paraId="19BD824B" w14:textId="480D7F53" w:rsidR="00146BDA" w:rsidRPr="00146BDA" w:rsidRDefault="00146BDA" w:rsidP="00794E0E">
      <w:pPr>
        <w:pStyle w:val="SingleTxtG"/>
        <w:rPr>
          <w:lang w:val="fr-FR"/>
        </w:rPr>
      </w:pPr>
      <w:r w:rsidRPr="00146BDA">
        <w:rPr>
          <w:lang w:val="fr-FR"/>
        </w:rPr>
        <w:t>135.</w:t>
      </w:r>
      <w:r>
        <w:rPr>
          <w:lang w:val="fr-FR"/>
        </w:rPr>
        <w:t xml:space="preserve"> </w:t>
      </w:r>
      <w:r w:rsidR="004B7B07">
        <w:rPr>
          <w:lang w:val="fr-FR"/>
        </w:rPr>
        <w:tab/>
      </w:r>
      <w:r w:rsidRPr="00146BDA">
        <w:rPr>
          <w:lang w:val="fr-FR"/>
        </w:rPr>
        <w:t>Aucune personne n’a été signalée disparue après avoir été arrêtée par les forces de l’ordre.</w:t>
      </w:r>
    </w:p>
    <w:p w14:paraId="163C3477" w14:textId="327B8797" w:rsidR="00146BDA" w:rsidRPr="00146BDA" w:rsidRDefault="004B7B07" w:rsidP="004B7B07">
      <w:pPr>
        <w:pStyle w:val="H23G"/>
        <w:rPr>
          <w:rFonts w:eastAsia="Calibri"/>
          <w:i/>
          <w:sz w:val="24"/>
          <w:szCs w:val="24"/>
          <w:lang w:val="fr-FR"/>
        </w:rPr>
      </w:pPr>
      <w:r>
        <w:tab/>
      </w:r>
      <w:r>
        <w:tab/>
        <w:t>Réponse au paragraphe 21 d) de la liste de points</w:t>
      </w:r>
    </w:p>
    <w:p w14:paraId="5161BD9B" w14:textId="77777777" w:rsidR="00794E0E" w:rsidRDefault="00146BDA" w:rsidP="00794E0E">
      <w:pPr>
        <w:pStyle w:val="SingleTxtG"/>
        <w:rPr>
          <w:lang w:val="fr-FR"/>
        </w:rPr>
      </w:pPr>
      <w:r w:rsidRPr="00146BDA">
        <w:t>136.</w:t>
      </w:r>
      <w:r w:rsidRPr="00146BDA">
        <w:tab/>
        <w:t>Les proches des personnes détenues sont effectivement informés du lieu de cette détention puisqu’ils bénéficient d’un droit de visite assez large. Le projet de réforme en cours envisage toutefois d’améliorer le droit à l’information des parents des personnes privées de liberté.</w:t>
      </w:r>
    </w:p>
    <w:p w14:paraId="63272F94" w14:textId="235FC998" w:rsidR="00794E0E" w:rsidRDefault="00146BDA" w:rsidP="00794E0E">
      <w:pPr>
        <w:pStyle w:val="SingleTxtG"/>
      </w:pPr>
      <w:r w:rsidRPr="00146BDA">
        <w:t>137.</w:t>
      </w:r>
      <w:r w:rsidRPr="00146BDA">
        <w:tab/>
        <w:t xml:space="preserve">S’agissant des quinze (15) personnes tuées dans la forêt de Boffa </w:t>
      </w:r>
      <w:proofErr w:type="spellStart"/>
      <w:r w:rsidRPr="00146BDA">
        <w:t>Bayotte</w:t>
      </w:r>
      <w:proofErr w:type="spellEnd"/>
      <w:r w:rsidRPr="00146BDA">
        <w:t>, des enquêtes impartiales et indépendantes avaient été ouvertes, et avaient abouti à l’arrestation de toutes les personnes présumées impliquées dans la commission de ces forfaits. Le procès qui s’est ouvert le 21 mars 2022 après quelques années d’instruction, s’est déroulé dans le respect des principes du contradictoire et de l’équité. Le délibéré est fixé au 13 juin 2022. Tous les accusés et les victimes ont été assistés par des avocats dont les frais ont été pris en charge par l’</w:t>
      </w:r>
      <w:r w:rsidR="009F3C58">
        <w:t>État</w:t>
      </w:r>
      <w:r w:rsidRPr="00146BDA">
        <w:t xml:space="preserve"> du Sénégal.</w:t>
      </w:r>
    </w:p>
    <w:p w14:paraId="05A0187B" w14:textId="7F1AF885" w:rsidR="00794E0E" w:rsidRDefault="00146BDA" w:rsidP="00794E0E">
      <w:pPr>
        <w:pStyle w:val="SingleTxtG"/>
      </w:pPr>
      <w:r w:rsidRPr="00146BDA">
        <w:t>138.</w:t>
      </w:r>
      <w:r w:rsidRPr="00146BDA">
        <w:tab/>
        <w:t xml:space="preserve">S’agissant de la mort survenue le 27 octobre 2019, d’Abdou </w:t>
      </w:r>
      <w:proofErr w:type="spellStart"/>
      <w:r w:rsidRPr="00146BDA">
        <w:t>Elinkine</w:t>
      </w:r>
      <w:proofErr w:type="spellEnd"/>
      <w:r w:rsidRPr="00146BDA">
        <w:t xml:space="preserve"> </w:t>
      </w:r>
      <w:r w:rsidR="00C55D22" w:rsidRPr="00146BDA">
        <w:t xml:space="preserve">Diatta </w:t>
      </w:r>
      <w:r w:rsidRPr="00146BDA">
        <w:t>du MFDC, l’enquête ouverte a abouti à l’identification des deux présumés auteurs de l’assassinat qui sont toujours en fuite. Le dossier est encore pendant au cabinet du juge d’instruction du Tribunal de Grande Instance de Ziguinchor.</w:t>
      </w:r>
    </w:p>
    <w:p w14:paraId="700190A7" w14:textId="6760E170" w:rsidR="004B7B07" w:rsidRDefault="004B7B07" w:rsidP="004B7B07">
      <w:pPr>
        <w:pStyle w:val="H23G"/>
      </w:pPr>
      <w:r>
        <w:tab/>
      </w:r>
      <w:r>
        <w:tab/>
        <w:t>Réponse au paragraphe 22 de la liste de points</w:t>
      </w:r>
      <w:r w:rsidRPr="00146BDA">
        <w:t xml:space="preserve"> </w:t>
      </w:r>
    </w:p>
    <w:p w14:paraId="4E6B6C7D" w14:textId="193FBB86" w:rsidR="00146BDA" w:rsidRPr="00146BDA" w:rsidRDefault="00146BDA" w:rsidP="00794E0E">
      <w:pPr>
        <w:pStyle w:val="SingleTxtG"/>
        <w:rPr>
          <w:lang w:val="fr-FR"/>
        </w:rPr>
      </w:pPr>
      <w:r w:rsidRPr="00146BDA">
        <w:t>139.</w:t>
      </w:r>
      <w:r w:rsidRPr="00146BDA">
        <w:tab/>
        <w:t xml:space="preserve">Il n’y a pas, à l’heure actuelle, de projet ou proposition de loi tendant à réformer le Conseil Supérieur de la Magistrature (CSM) afin que le Président de </w:t>
      </w:r>
      <w:r w:rsidR="00C55D22">
        <w:t xml:space="preserve">la </w:t>
      </w:r>
      <w:r w:rsidRPr="00146BDA">
        <w:t xml:space="preserve">République et le Ministre de la </w:t>
      </w:r>
      <w:r w:rsidR="00C55D22">
        <w:t>j</w:t>
      </w:r>
      <w:r w:rsidRPr="00146BDA">
        <w:t xml:space="preserve">ustice ne puissent plus en être membres étant entendu qu’il n’est pas encore suffisamment démontré que la composition actuelle du CSM constitue une entorse à l’indépendance de la Justice et à la transparence des nominations. </w:t>
      </w:r>
      <w:r w:rsidR="008F2675">
        <w:t>À</w:t>
      </w:r>
      <w:r w:rsidRPr="00146BDA">
        <w:t xml:space="preserve"> ce sujet, il est important de relever que les décisions prises sur proposition du CSM sont susceptibles d’annulation par la chambre administrative de la Cour suprême (Cf. arrêt </w:t>
      </w:r>
      <w:r w:rsidR="00C55D22">
        <w:rPr>
          <w:lang w:val="fr-FR"/>
        </w:rPr>
        <w:t>n</w:t>
      </w:r>
      <w:r w:rsidR="00C55D22" w:rsidRPr="005A743A">
        <w:rPr>
          <w:vertAlign w:val="superscript"/>
          <w:lang w:val="fr-FR"/>
        </w:rPr>
        <w:t>o</w:t>
      </w:r>
      <w:r w:rsidR="00C55D22">
        <w:rPr>
          <w:lang w:val="fr-FR"/>
        </w:rPr>
        <w:t> </w:t>
      </w:r>
      <w:r w:rsidRPr="00146BDA">
        <w:t xml:space="preserve">8 du 10 mars 2022, Ngor </w:t>
      </w:r>
      <w:r w:rsidR="00C55D22" w:rsidRPr="00146BDA">
        <w:t xml:space="preserve">Diop </w:t>
      </w:r>
      <w:r w:rsidRPr="00146BDA">
        <w:t xml:space="preserve">contre </w:t>
      </w:r>
      <w:r w:rsidR="009F3C58">
        <w:t>État</w:t>
      </w:r>
      <w:r w:rsidRPr="00146BDA">
        <w:t xml:space="preserve"> du Sénégal).</w:t>
      </w:r>
    </w:p>
    <w:p w14:paraId="1CC99E84" w14:textId="0AB5825F" w:rsidR="00146BDA" w:rsidRPr="00146BDA" w:rsidRDefault="00146BDA" w:rsidP="00794E0E">
      <w:pPr>
        <w:pStyle w:val="SingleTxtG"/>
        <w:rPr>
          <w:lang w:val="fr-FR"/>
        </w:rPr>
      </w:pPr>
      <w:r w:rsidRPr="00146BDA">
        <w:rPr>
          <w:lang w:val="fr-FR"/>
        </w:rPr>
        <w:t>140.</w:t>
      </w:r>
      <w:r>
        <w:rPr>
          <w:lang w:val="fr-FR"/>
        </w:rPr>
        <w:t xml:space="preserve"> </w:t>
      </w:r>
      <w:r w:rsidR="004B7B07">
        <w:rPr>
          <w:lang w:val="fr-FR"/>
        </w:rPr>
        <w:tab/>
      </w:r>
      <w:r w:rsidRPr="00146BDA">
        <w:rPr>
          <w:lang w:val="fr-FR"/>
        </w:rPr>
        <w:t>La dernière réforme du CSM a permis d’augmenter le nombre de membres magistrats.</w:t>
      </w:r>
    </w:p>
    <w:p w14:paraId="2141068E" w14:textId="5C629007" w:rsidR="00146BDA" w:rsidRPr="00146BDA" w:rsidRDefault="004B7B07" w:rsidP="004B7B07">
      <w:pPr>
        <w:pStyle w:val="H23G"/>
        <w:rPr>
          <w:rFonts w:eastAsia="Calibri"/>
          <w:sz w:val="24"/>
          <w:szCs w:val="24"/>
        </w:rPr>
      </w:pPr>
      <w:r>
        <w:tab/>
      </w:r>
      <w:r>
        <w:tab/>
        <w:t>Réponse au paragraphe 22 a) et b) de la liste de points</w:t>
      </w:r>
    </w:p>
    <w:p w14:paraId="56A529CF" w14:textId="77777777" w:rsidR="00146BDA" w:rsidRPr="006D217C" w:rsidRDefault="00146BDA" w:rsidP="00794E0E">
      <w:pPr>
        <w:pStyle w:val="SingleTxtG"/>
        <w:rPr>
          <w:color w:val="000000" w:themeColor="text1"/>
          <w:lang w:val="fr-FR"/>
        </w:rPr>
      </w:pPr>
      <w:r w:rsidRPr="00146BDA">
        <w:t>141.</w:t>
      </w:r>
      <w:r w:rsidRPr="00146BDA">
        <w:tab/>
        <w:t xml:space="preserve">Il n’y a pas encore de mesures législatives tendant à la suppression de la possibilité pour le Garde des Sceaux, Ministre de la Justice de donner des instructions aux procureurs ni de la formalité préalable de l’ordre de poursuite délivré pour certains agents des forces de l’ordre pour des infractions commises dans ou à l’occasion de l’exercice de leurs fonctions. </w:t>
      </w:r>
    </w:p>
    <w:p w14:paraId="0E82BD59" w14:textId="3D09C072" w:rsidR="00146BDA" w:rsidRPr="00146BDA" w:rsidRDefault="00146BDA" w:rsidP="00794E0E">
      <w:pPr>
        <w:pStyle w:val="SingleTxtG"/>
      </w:pPr>
      <w:r w:rsidRPr="00146BDA">
        <w:t>142.</w:t>
      </w:r>
      <w:r w:rsidRPr="00146BDA">
        <w:tab/>
        <w:t>De même, l’élaboration en 2018 d’une circulaire de politique pénale générale a permis de définir, à l’attention des magistrats du ministère public, les grandes orientations de l’</w:t>
      </w:r>
      <w:r w:rsidR="009F3C58">
        <w:t>État</w:t>
      </w:r>
      <w:r w:rsidRPr="00146BDA">
        <w:t xml:space="preserve"> en matière de lutte contre les différentes formes de criminalité. </w:t>
      </w:r>
    </w:p>
    <w:p w14:paraId="3CF8AE73" w14:textId="4C3C3FAC" w:rsidR="00146BDA" w:rsidRPr="00146BDA" w:rsidRDefault="00146BDA" w:rsidP="00794E0E">
      <w:pPr>
        <w:pStyle w:val="SingleTxtG"/>
        <w:rPr>
          <w:b/>
          <w:i/>
        </w:rPr>
      </w:pPr>
      <w:r w:rsidRPr="00146BDA">
        <w:t>143.</w:t>
      </w:r>
      <w:r>
        <w:t xml:space="preserve"> </w:t>
      </w:r>
      <w:r w:rsidR="004B7B07">
        <w:tab/>
      </w:r>
      <w:r w:rsidRPr="00146BDA">
        <w:t>Bien qu’il y ait des unités d’enquêtes spéciales pour connaitre des infractions commises par les différents corps des forces de l’ordre, il appartient au procureur chargé des poursuites de confier l’enquête à l’unité qu’il choisit librement. Le procureur n’est pas tenu de confier l’enquête à l’unité à laquelle appartient l’agent impliqué et il peut selon ses attentes et ses objectifs, choisir librement un autre organe selon l’importance ou la complexité de l’affaire.</w:t>
      </w:r>
      <w:r w:rsidRPr="00146BDA">
        <w:rPr>
          <w:b/>
          <w:i/>
        </w:rPr>
        <w:t xml:space="preserve"> </w:t>
      </w:r>
    </w:p>
    <w:p w14:paraId="2B4955E2" w14:textId="0C7AE444" w:rsidR="00146BDA" w:rsidRPr="006D217C" w:rsidRDefault="004B7B07" w:rsidP="004B7B07">
      <w:pPr>
        <w:pStyle w:val="H23G"/>
        <w:rPr>
          <w:rFonts w:eastAsia="Calibri"/>
          <w:color w:val="000000" w:themeColor="text1"/>
          <w:sz w:val="24"/>
          <w:szCs w:val="24"/>
          <w:lang w:val="fr-FR" w:eastAsia="es-ES"/>
        </w:rPr>
      </w:pPr>
      <w:r>
        <w:lastRenderedPageBreak/>
        <w:tab/>
      </w:r>
      <w:r>
        <w:tab/>
        <w:t>Réponse au paragraphe 23 de la liste de points</w:t>
      </w:r>
    </w:p>
    <w:p w14:paraId="37708C5A" w14:textId="77777777" w:rsidR="00146BDA" w:rsidRPr="00146BDA" w:rsidRDefault="00146BDA" w:rsidP="004B7B07">
      <w:pPr>
        <w:pStyle w:val="SingleTxtG"/>
        <w:rPr>
          <w:lang w:val="fr-FR"/>
        </w:rPr>
      </w:pPr>
      <w:r w:rsidRPr="00146BDA">
        <w:t>144.</w:t>
      </w:r>
      <w:r w:rsidRPr="00146BDA">
        <w:tab/>
        <w:t xml:space="preserve">Chaque fois que des actes de torture ou de mauvais traitement sont dénoncés ou portés à la connaissance des organes de poursuite, ces derniers ouvrent des enquêtes dont le résultat déterminera la </w:t>
      </w:r>
      <w:r w:rsidRPr="004B7B07">
        <w:t>suite</w:t>
      </w:r>
      <w:r w:rsidRPr="00146BDA">
        <w:t xml:space="preserve"> de la procédure (poursuite, classement sans suite, ou non-lieu, condamnation ou relaxe).</w:t>
      </w:r>
    </w:p>
    <w:p w14:paraId="73C53CF2" w14:textId="7A867475" w:rsidR="00146BDA" w:rsidRPr="00146BDA" w:rsidRDefault="00146BDA" w:rsidP="007F5E8F">
      <w:pPr>
        <w:pStyle w:val="H1G"/>
        <w:rPr>
          <w:lang w:val="fr-FR"/>
        </w:rPr>
      </w:pPr>
      <w:r w:rsidRPr="00146BDA">
        <w:rPr>
          <w:lang w:val="fr-FR"/>
        </w:rPr>
        <w:tab/>
      </w:r>
      <w:r w:rsidR="004B7B07">
        <w:rPr>
          <w:lang w:val="fr-FR"/>
        </w:rPr>
        <w:tab/>
      </w:r>
      <w:r w:rsidR="004B7B07">
        <w:rPr>
          <w:lang w:val="fr-FR"/>
        </w:rPr>
        <w:tab/>
      </w:r>
      <w:r w:rsidRPr="00146BDA">
        <w:rPr>
          <w:lang w:val="fr-FR"/>
        </w:rPr>
        <w:t>Article 14</w:t>
      </w:r>
    </w:p>
    <w:p w14:paraId="3E35830D" w14:textId="00DB0B1F" w:rsidR="004B7B07" w:rsidRDefault="004B7B07" w:rsidP="004B7B07">
      <w:pPr>
        <w:pStyle w:val="H23G"/>
      </w:pPr>
      <w:r>
        <w:tab/>
      </w:r>
      <w:r>
        <w:tab/>
        <w:t>Réponse au paragraphe 24 de la liste de points</w:t>
      </w:r>
      <w:r w:rsidRPr="00146BDA">
        <w:t xml:space="preserve"> </w:t>
      </w:r>
    </w:p>
    <w:p w14:paraId="136ADE52" w14:textId="6E4663A6" w:rsidR="00146BDA" w:rsidRPr="00146BDA" w:rsidRDefault="00146BDA" w:rsidP="00794E0E">
      <w:pPr>
        <w:pStyle w:val="SingleTxtG"/>
        <w:rPr>
          <w:b/>
          <w:i/>
          <w:color w:val="FF0000"/>
          <w:lang w:val="fr-FR" w:eastAsia="es-ES"/>
        </w:rPr>
      </w:pPr>
      <w:r w:rsidRPr="00146BDA">
        <w:t>145.</w:t>
      </w:r>
      <w:r>
        <w:t xml:space="preserve"> </w:t>
      </w:r>
      <w:r w:rsidR="004B7B07">
        <w:tab/>
      </w:r>
      <w:r w:rsidRPr="00146BDA">
        <w:t>Les mesures en vue d’indemniser les victimes de torture dans les cas où les auteurs desdits actes n’auraient pas été identifiés, ne sont pas encore envisagées.</w:t>
      </w:r>
    </w:p>
    <w:p w14:paraId="05DFAC69" w14:textId="2D02F67D" w:rsidR="00146BDA" w:rsidRPr="00146BDA" w:rsidRDefault="004B7B07" w:rsidP="004B7B07">
      <w:pPr>
        <w:pStyle w:val="H23G"/>
        <w:rPr>
          <w:rFonts w:eastAsia="Calibri"/>
          <w:sz w:val="24"/>
          <w:szCs w:val="24"/>
        </w:rPr>
      </w:pPr>
      <w:r>
        <w:tab/>
      </w:r>
      <w:r>
        <w:tab/>
        <w:t>Réponse au paragraphe 25 de la liste de points</w:t>
      </w:r>
    </w:p>
    <w:p w14:paraId="70E5E998" w14:textId="47A12DB9" w:rsidR="00146BDA" w:rsidRPr="00146BDA" w:rsidRDefault="00146BDA" w:rsidP="00794E0E">
      <w:pPr>
        <w:pStyle w:val="SingleTxtG"/>
      </w:pPr>
      <w:r w:rsidRPr="00146BDA">
        <w:t>146.</w:t>
      </w:r>
      <w:r>
        <w:t xml:space="preserve"> </w:t>
      </w:r>
      <w:r w:rsidR="004B7B07">
        <w:tab/>
      </w:r>
      <w:r w:rsidRPr="00146BDA">
        <w:t xml:space="preserve">Après le procès de </w:t>
      </w:r>
      <w:r w:rsidR="00C55D22" w:rsidRPr="00146BDA">
        <w:t>l’ex-Président</w:t>
      </w:r>
      <w:r w:rsidRPr="00146BDA">
        <w:t xml:space="preserve"> Tchadien </w:t>
      </w:r>
      <w:proofErr w:type="spellStart"/>
      <w:r w:rsidRPr="00146BDA">
        <w:t>Hissène</w:t>
      </w:r>
      <w:proofErr w:type="spellEnd"/>
      <w:r w:rsidRPr="00146BDA">
        <w:t xml:space="preserve"> Habré organisé par les Chambres Africaines Extraordinaires à Dakar, environ 82 milliards de f CFA devaient être versés à 7</w:t>
      </w:r>
      <w:r w:rsidR="00C55D22">
        <w:t> </w:t>
      </w:r>
      <w:r w:rsidRPr="00146BDA">
        <w:t>396 victimes identifiées, via un fond fiduciaire de l’Union Africaine. Cela reste le plus grand montant de compensation accordé par un tribunal pénal internationalisé. La Commission de l’Union Africaine travaille fermement à rendre opérationnel ce fond dans les meilleurs délais pour les victimes. Il est important de préciser qu’après la suppression des Chambres Africaines Extraordinaires, l’</w:t>
      </w:r>
      <w:r w:rsidR="009F3C58">
        <w:t>État</w:t>
      </w:r>
      <w:r w:rsidRPr="00146BDA">
        <w:t xml:space="preserve"> du Sénégal a reversé le reste du budget dans le fond fiduciaire de l’Union Africaine. </w:t>
      </w:r>
    </w:p>
    <w:p w14:paraId="3F3F67ED" w14:textId="51C70B69" w:rsidR="00146BDA" w:rsidRPr="00146BDA" w:rsidRDefault="004B7B07" w:rsidP="007F5E8F">
      <w:pPr>
        <w:pStyle w:val="H1G"/>
        <w:rPr>
          <w:lang w:val="fr-FR"/>
        </w:rPr>
      </w:pPr>
      <w:r>
        <w:rPr>
          <w:lang w:val="fr-FR"/>
        </w:rPr>
        <w:tab/>
      </w:r>
      <w:r>
        <w:rPr>
          <w:lang w:val="fr-FR"/>
        </w:rPr>
        <w:tab/>
      </w:r>
      <w:r w:rsidR="00146BDA" w:rsidRPr="00146BDA">
        <w:rPr>
          <w:lang w:val="fr-FR"/>
        </w:rPr>
        <w:t>Article 15</w:t>
      </w:r>
    </w:p>
    <w:p w14:paraId="7E82C4BD" w14:textId="0EC07435" w:rsidR="00146BDA" w:rsidRPr="00146BDA" w:rsidRDefault="004B7B07" w:rsidP="004B7B07">
      <w:pPr>
        <w:pStyle w:val="H23G"/>
        <w:rPr>
          <w:rFonts w:eastAsia="Calibri"/>
          <w:sz w:val="24"/>
          <w:szCs w:val="24"/>
          <w:lang w:val="fr-FR"/>
        </w:rPr>
      </w:pPr>
      <w:r>
        <w:tab/>
      </w:r>
      <w:r>
        <w:tab/>
        <w:t>Réponse au paragraphe 26 de la liste de points</w:t>
      </w:r>
    </w:p>
    <w:p w14:paraId="79C27819" w14:textId="0D63E887" w:rsidR="00146BDA" w:rsidRPr="00146BDA" w:rsidRDefault="00146BDA" w:rsidP="00794E0E">
      <w:pPr>
        <w:pStyle w:val="SingleTxtG"/>
        <w:rPr>
          <w:b/>
          <w:lang w:val="fr-FR"/>
        </w:rPr>
      </w:pPr>
      <w:r w:rsidRPr="00146BDA">
        <w:rPr>
          <w:lang w:val="fr-FR"/>
        </w:rPr>
        <w:t>147.</w:t>
      </w:r>
      <w:r>
        <w:rPr>
          <w:lang w:val="fr-FR"/>
        </w:rPr>
        <w:t xml:space="preserve"> </w:t>
      </w:r>
      <w:r w:rsidR="004B7B07">
        <w:rPr>
          <w:lang w:val="fr-FR"/>
        </w:rPr>
        <w:tab/>
      </w:r>
      <w:r w:rsidRPr="00146BDA">
        <w:rPr>
          <w:lang w:val="fr-FR"/>
        </w:rPr>
        <w:t>L’</w:t>
      </w:r>
      <w:r w:rsidR="009F3C58">
        <w:rPr>
          <w:lang w:val="fr-FR"/>
        </w:rPr>
        <w:t>État</w:t>
      </w:r>
      <w:r w:rsidRPr="00146BDA">
        <w:rPr>
          <w:lang w:val="fr-FR"/>
        </w:rPr>
        <w:t xml:space="preserve"> du Sénégal considère qu’il n’est pas utile de mentionner explicitement dans sa législation l’irrecevabilité d’aveu extorqué car comme</w:t>
      </w:r>
      <w:r w:rsidRPr="00146BDA">
        <w:rPr>
          <w:b/>
          <w:lang w:val="fr-FR"/>
        </w:rPr>
        <w:t xml:space="preserve"> </w:t>
      </w:r>
      <w:r w:rsidRPr="00146BDA">
        <w:t>tous les autres éléments de preuve, l’aveu est laissé à la souveraine appréciation du juge et compte tenu du principe de la loyauté de la preuve, un aveu extorqué sous le coup d’actes de tortures ne saurait nullement constituer une preuve recevable.</w:t>
      </w:r>
    </w:p>
    <w:p w14:paraId="075381A1" w14:textId="59134F2D" w:rsidR="00146BDA" w:rsidRPr="00146BDA" w:rsidRDefault="004B7B07" w:rsidP="004B7B07">
      <w:pPr>
        <w:pStyle w:val="H23G"/>
        <w:rPr>
          <w:rFonts w:eastAsia="Calibri"/>
          <w:sz w:val="24"/>
          <w:szCs w:val="24"/>
          <w:lang w:val="fr-FR"/>
        </w:rPr>
      </w:pPr>
      <w:r>
        <w:tab/>
      </w:r>
      <w:r>
        <w:tab/>
        <w:t>Réponse au paragraphe 26 a) à c) de la liste de points</w:t>
      </w:r>
    </w:p>
    <w:p w14:paraId="29A0A2BB" w14:textId="4CDC401C" w:rsidR="00146BDA" w:rsidRPr="00146BDA" w:rsidRDefault="00146BDA" w:rsidP="00794E0E">
      <w:pPr>
        <w:pStyle w:val="SingleTxtG"/>
      </w:pPr>
      <w:r w:rsidRPr="00146BDA">
        <w:rPr>
          <w:color w:val="000000"/>
        </w:rPr>
        <w:t>148.</w:t>
      </w:r>
      <w:r>
        <w:rPr>
          <w:color w:val="000000"/>
        </w:rPr>
        <w:t xml:space="preserve"> </w:t>
      </w:r>
      <w:r w:rsidR="004B7B07">
        <w:rPr>
          <w:color w:val="000000"/>
        </w:rPr>
        <w:tab/>
      </w:r>
      <w:r w:rsidRPr="00146BDA">
        <w:rPr>
          <w:color w:val="000000"/>
        </w:rPr>
        <w:t xml:space="preserve">Ces statistiques ne sont pas encore disponibles, </w:t>
      </w:r>
      <w:r w:rsidRPr="00146BDA">
        <w:t>par contre l’</w:t>
      </w:r>
      <w:r w:rsidR="009F3C58">
        <w:t>État</w:t>
      </w:r>
      <w:r w:rsidRPr="00146BDA">
        <w:t xml:space="preserve"> du Sénégal travaille à mettre en place des données fiables au niveau de tous les lieux de privation de liberté sur toute allégation présumée d’aveux extorqués. Toutefois, les victimes de torture peuvent saisir les juridictions compétentes afin que les sanctions appropriées soient prises si de tels faits sont avérés.</w:t>
      </w:r>
      <w:r>
        <w:t xml:space="preserve"> </w:t>
      </w:r>
    </w:p>
    <w:p w14:paraId="128F9DFA" w14:textId="5214F2F0" w:rsidR="00146BDA" w:rsidRPr="00146BDA" w:rsidRDefault="00146BDA" w:rsidP="007F5E8F">
      <w:pPr>
        <w:pStyle w:val="H1G"/>
        <w:rPr>
          <w:lang w:val="fr-FR"/>
        </w:rPr>
      </w:pPr>
      <w:r w:rsidRPr="00146BDA">
        <w:rPr>
          <w:lang w:val="fr-FR"/>
        </w:rPr>
        <w:tab/>
      </w:r>
      <w:r w:rsidR="004B7B07">
        <w:rPr>
          <w:lang w:val="fr-FR"/>
        </w:rPr>
        <w:tab/>
      </w:r>
      <w:r w:rsidR="004B7B07">
        <w:rPr>
          <w:lang w:val="fr-FR"/>
        </w:rPr>
        <w:tab/>
      </w:r>
      <w:r w:rsidRPr="00146BDA">
        <w:rPr>
          <w:lang w:val="fr-FR"/>
        </w:rPr>
        <w:t>Article 16</w:t>
      </w:r>
    </w:p>
    <w:p w14:paraId="2AAC4295" w14:textId="318A119D" w:rsidR="00146BDA" w:rsidRPr="00146BDA" w:rsidRDefault="004B7B07" w:rsidP="004B7B07">
      <w:pPr>
        <w:pStyle w:val="H23G"/>
        <w:rPr>
          <w:rFonts w:eastAsia="Calibri"/>
          <w:sz w:val="24"/>
          <w:szCs w:val="24"/>
        </w:rPr>
      </w:pPr>
      <w:r>
        <w:tab/>
      </w:r>
      <w:r>
        <w:tab/>
        <w:t xml:space="preserve">Réponse au </w:t>
      </w:r>
      <w:r w:rsidRPr="004B7B07">
        <w:t>paragraphe</w:t>
      </w:r>
      <w:r>
        <w:t xml:space="preserve"> 27 de la liste de points</w:t>
      </w:r>
    </w:p>
    <w:p w14:paraId="2D8321E6" w14:textId="117DFA1B" w:rsidR="00146BDA" w:rsidRPr="00146BDA" w:rsidRDefault="00146BDA" w:rsidP="00794E0E">
      <w:pPr>
        <w:pStyle w:val="SingleTxtG"/>
        <w:rPr>
          <w:lang w:val="fr-FR"/>
        </w:rPr>
      </w:pPr>
      <w:r w:rsidRPr="00146BDA">
        <w:rPr>
          <w:lang w:val="fr-FR"/>
        </w:rPr>
        <w:t>149.</w:t>
      </w:r>
      <w:r w:rsidRPr="00146BDA">
        <w:rPr>
          <w:lang w:val="fr-FR"/>
        </w:rPr>
        <w:tab/>
        <w:t xml:space="preserve">Tout d’abord, l’usage de la force fait l’objet d’un encadrement strict par des textes dont le </w:t>
      </w:r>
      <w:r w:rsidR="00C9311F" w:rsidRPr="00146BDA">
        <w:rPr>
          <w:lang w:val="fr-FR"/>
        </w:rPr>
        <w:t xml:space="preserve">Code </w:t>
      </w:r>
      <w:r w:rsidRPr="00146BDA">
        <w:rPr>
          <w:lang w:val="fr-FR"/>
        </w:rPr>
        <w:t>pénal à travers l’article 295-1 qui prévoit des sanctions à l’encontre des agents de la force publique qui seraient reconnus coupables d’actes de torture.</w:t>
      </w:r>
    </w:p>
    <w:p w14:paraId="2C118573" w14:textId="38944D6F" w:rsidR="00146BDA" w:rsidRPr="00146BDA" w:rsidRDefault="00146BDA" w:rsidP="00794E0E">
      <w:pPr>
        <w:pStyle w:val="SingleTxtG"/>
        <w:rPr>
          <w:lang w:val="fr-FR"/>
        </w:rPr>
      </w:pPr>
      <w:r w:rsidRPr="00146BDA">
        <w:rPr>
          <w:lang w:val="fr-FR"/>
        </w:rPr>
        <w:t>150.</w:t>
      </w:r>
      <w:r w:rsidRPr="00146BDA">
        <w:rPr>
          <w:lang w:val="fr-FR"/>
        </w:rPr>
        <w:tab/>
        <w:t xml:space="preserve">Ensuite, des textes spécifiques de la gendarmerie réglementent l’action du personnel de la Gendarmerie. Il s’agit, entre autres, du décret </w:t>
      </w:r>
      <w:r w:rsidR="00C55D22">
        <w:rPr>
          <w:lang w:val="fr-FR"/>
        </w:rPr>
        <w:t>n</w:t>
      </w:r>
      <w:r w:rsidR="00C55D22" w:rsidRPr="005A743A">
        <w:rPr>
          <w:vertAlign w:val="superscript"/>
          <w:lang w:val="fr-FR"/>
        </w:rPr>
        <w:t>o</w:t>
      </w:r>
      <w:r w:rsidR="00C55D22">
        <w:rPr>
          <w:lang w:val="fr-FR"/>
        </w:rPr>
        <w:t> </w:t>
      </w:r>
      <w:r w:rsidRPr="00146BDA">
        <w:rPr>
          <w:lang w:val="fr-FR"/>
        </w:rPr>
        <w:t xml:space="preserve">74-571 du 13 juin 1974 portant sur l’emploi de la gendarmerie nationale et de l’instruction </w:t>
      </w:r>
      <w:r w:rsidR="00C55D22">
        <w:rPr>
          <w:lang w:val="fr-FR"/>
        </w:rPr>
        <w:t>n</w:t>
      </w:r>
      <w:r w:rsidR="00C55D22" w:rsidRPr="005A743A">
        <w:rPr>
          <w:vertAlign w:val="superscript"/>
          <w:lang w:val="fr-FR"/>
        </w:rPr>
        <w:t>o</w:t>
      </w:r>
      <w:r w:rsidR="00C55D22">
        <w:rPr>
          <w:lang w:val="fr-FR"/>
        </w:rPr>
        <w:t> </w:t>
      </w:r>
      <w:r w:rsidRPr="00146BDA">
        <w:rPr>
          <w:lang w:val="fr-FR"/>
        </w:rPr>
        <w:t xml:space="preserve">20 du 10 novembre 1970 relative à la participation des forces armées au maintien de l’ordre. La Gendarmerie s’emploie à rappeler, communiquer, enseigner, interpréter le contenu de ces textes à son personnel pour qu’il en saisisse la portée. </w:t>
      </w:r>
    </w:p>
    <w:p w14:paraId="2F989347" w14:textId="77777777" w:rsidR="00146BDA" w:rsidRPr="00146BDA" w:rsidRDefault="00146BDA" w:rsidP="00794E0E">
      <w:pPr>
        <w:pStyle w:val="SingleTxtG"/>
        <w:rPr>
          <w:lang w:val="fr-FR"/>
        </w:rPr>
      </w:pPr>
      <w:r w:rsidRPr="00146BDA">
        <w:rPr>
          <w:lang w:val="fr-FR"/>
        </w:rPr>
        <w:t>151.</w:t>
      </w:r>
      <w:r w:rsidRPr="00146BDA">
        <w:rPr>
          <w:lang w:val="fr-FR"/>
        </w:rPr>
        <w:tab/>
        <w:t xml:space="preserve">Enfin, en plus des dispositifs cités ci-dessus, d’autres sont prises en parallèle dans le programme annuel d’instruction de la Gendarmerie nationale. Elles sont appliquées au niveau des écoles de formation, des centres de formation continue comme le CNEFIG (Centre </w:t>
      </w:r>
      <w:r w:rsidRPr="00146BDA">
        <w:rPr>
          <w:lang w:val="fr-FR"/>
        </w:rPr>
        <w:lastRenderedPageBreak/>
        <w:t xml:space="preserve">National d’Entrainement des Forces d’Intervention de la Gendarmerie) et au sein des unités. Elles reviennent en permanence sur les relations entre la population et le gendarme dans le service courant où l’ordre doit être rétabli ou maintenu, et surtout sur l’usage des armes et le respect de la dignité, de l’intégrité physique de tout individu. </w:t>
      </w:r>
    </w:p>
    <w:p w14:paraId="2062A2F5" w14:textId="77777777" w:rsidR="00146BDA" w:rsidRPr="00146BDA" w:rsidRDefault="00146BDA" w:rsidP="00794E0E">
      <w:pPr>
        <w:pStyle w:val="SingleTxtG"/>
        <w:rPr>
          <w:lang w:val="fr-FR"/>
        </w:rPr>
      </w:pPr>
      <w:r w:rsidRPr="00146BDA">
        <w:rPr>
          <w:lang w:val="fr-FR"/>
        </w:rPr>
        <w:t>152.</w:t>
      </w:r>
      <w:r w:rsidRPr="00146BDA">
        <w:rPr>
          <w:lang w:val="fr-FR"/>
        </w:rPr>
        <w:tab/>
        <w:t xml:space="preserve">Il faut ajouter aussi la participation du personnel (ciblé par leur contrat avec la population) à certains séminaires et ateliers se rapportant à ce sujet. </w:t>
      </w:r>
    </w:p>
    <w:p w14:paraId="6F1371C4" w14:textId="2C6B7E4E" w:rsidR="00146BDA" w:rsidRPr="00146BDA" w:rsidRDefault="00146BDA" w:rsidP="00794E0E">
      <w:pPr>
        <w:pStyle w:val="SingleTxtG"/>
        <w:rPr>
          <w:lang w:val="fr-FR"/>
        </w:rPr>
      </w:pPr>
      <w:r w:rsidRPr="00146BDA">
        <w:rPr>
          <w:lang w:val="fr-FR"/>
        </w:rPr>
        <w:t>153.</w:t>
      </w:r>
      <w:r w:rsidRPr="00146BDA">
        <w:rPr>
          <w:lang w:val="fr-FR"/>
        </w:rPr>
        <w:tab/>
      </w:r>
      <w:r w:rsidR="00C55D22">
        <w:rPr>
          <w:lang w:val="fr-FR"/>
        </w:rPr>
        <w:t>À</w:t>
      </w:r>
      <w:r w:rsidRPr="00146BDA">
        <w:rPr>
          <w:lang w:val="fr-FR"/>
        </w:rPr>
        <w:t xml:space="preserve"> propos des manifestations, de nouveaux paradigmes sont notés avec la conceptualisation de la gestion démocratique des foules. Tous les fonctionnaires de police reçoivent une formation sur le cadre légal et règlementaire de maintien de l’ordre notamment à l’emploi de la force et à l’usage des armes. Aujourd’hui, la gestion démocratique des foules est devenue une réalité, les membres des forces de sécurité font recours de plus en plus au dialogue avec les manifestants, pour cesser le trouble à l’ordre public sans faire usage de gaz lacrymogènes.</w:t>
      </w:r>
    </w:p>
    <w:p w14:paraId="22600510" w14:textId="77777777" w:rsidR="00146BDA" w:rsidRPr="00146BDA" w:rsidRDefault="00146BDA" w:rsidP="00794E0E">
      <w:pPr>
        <w:pStyle w:val="SingleTxtG"/>
        <w:rPr>
          <w:lang w:val="fr-FR"/>
        </w:rPr>
      </w:pPr>
      <w:r w:rsidRPr="00146BDA">
        <w:rPr>
          <w:lang w:val="fr-FR"/>
        </w:rPr>
        <w:t>154.</w:t>
      </w:r>
      <w:r w:rsidRPr="00146BDA">
        <w:rPr>
          <w:lang w:val="fr-FR"/>
        </w:rPr>
        <w:tab/>
        <w:t xml:space="preserve">Outre l’instruction et la formation, d’autres mesures sont aussi adaptées par les commandants d’unité et les chefs de formation. Elles passent par les causeries morales, les briefings, débriefings et la gestion des munitions et armement. </w:t>
      </w:r>
    </w:p>
    <w:p w14:paraId="7A49D998" w14:textId="5F82B97F" w:rsidR="00146BDA" w:rsidRPr="00146BDA" w:rsidRDefault="00146BDA" w:rsidP="00794E0E">
      <w:pPr>
        <w:pStyle w:val="SingleTxtG"/>
        <w:rPr>
          <w:lang w:val="fr-FR"/>
        </w:rPr>
      </w:pPr>
      <w:r w:rsidRPr="00146BDA">
        <w:rPr>
          <w:lang w:val="fr-FR"/>
        </w:rPr>
        <w:t>155.</w:t>
      </w:r>
      <w:r w:rsidRPr="00146BDA">
        <w:rPr>
          <w:lang w:val="fr-FR"/>
        </w:rPr>
        <w:tab/>
        <w:t xml:space="preserve">Les données relatives à l’usage excessif de la force ne sont pas disponibles. En revanche, lorsque des gendarmes sont cités dans une affaire relative à des tortures sur des citoyens, la justice mène une enquête exhaustive afin de situer les responsabilités. C’est le cas des deux gendarmes dont les procédures ont été enclenchées au tribunal de grande instance de Kédougou en 2020 : l’une a eu lieu lors des mesures de restriction pendant la propagation du </w:t>
      </w:r>
      <w:r w:rsidR="00C55D22" w:rsidRPr="00146BDA">
        <w:rPr>
          <w:lang w:val="fr-FR"/>
        </w:rPr>
        <w:t>Covid</w:t>
      </w:r>
      <w:r w:rsidRPr="00146BDA">
        <w:rPr>
          <w:lang w:val="fr-FR"/>
        </w:rPr>
        <w:t>-19, l’autre est relative à des violences exercées sur un citoyen en 2021. Ces deux affaires sont toujours pendantes devant le premier cabinet du juge d’instruction du Tribunal de Grande Instance Hors classe de Dakar.</w:t>
      </w:r>
      <w:r w:rsidR="00794E0E">
        <w:rPr>
          <w:lang w:val="fr-FR"/>
        </w:rPr>
        <w:t xml:space="preserve"> </w:t>
      </w:r>
      <w:r w:rsidRPr="00146BDA">
        <w:rPr>
          <w:lang w:val="fr-FR"/>
        </w:rPr>
        <w:t xml:space="preserve">Les gendarmes demeurent des agents de la force publique dont la formation et l’exercice de la fonction sont encadrés par des lois et règlements qu’ils appliquent avec beaucoup de rigueur. </w:t>
      </w:r>
    </w:p>
    <w:p w14:paraId="7E2D893C" w14:textId="3D0D7804" w:rsidR="00146BDA" w:rsidRPr="00146BDA" w:rsidRDefault="004B7B07" w:rsidP="004B7B07">
      <w:pPr>
        <w:pStyle w:val="H23G"/>
        <w:rPr>
          <w:rFonts w:eastAsia="Calibri"/>
          <w:sz w:val="24"/>
          <w:szCs w:val="24"/>
        </w:rPr>
      </w:pPr>
      <w:r>
        <w:tab/>
      </w:r>
      <w:r>
        <w:tab/>
        <w:t>Réponse au paragraphe 27 a) de la liste de points</w:t>
      </w:r>
    </w:p>
    <w:p w14:paraId="33F6CE17" w14:textId="19284668" w:rsidR="00146BDA" w:rsidRPr="00146BDA" w:rsidRDefault="00146BDA" w:rsidP="00794E0E">
      <w:pPr>
        <w:pStyle w:val="SingleTxtG"/>
        <w:rPr>
          <w:bCs/>
          <w:iCs/>
        </w:rPr>
      </w:pPr>
      <w:r w:rsidRPr="00146BDA">
        <w:t>156.</w:t>
      </w:r>
      <w:r>
        <w:t xml:space="preserve"> </w:t>
      </w:r>
      <w:r w:rsidR="00794E0E">
        <w:tab/>
      </w:r>
      <w:r w:rsidRPr="00146BDA">
        <w:t xml:space="preserve">Suite à la mort survenue en mai 2018 de </w:t>
      </w:r>
      <w:proofErr w:type="spellStart"/>
      <w:r w:rsidRPr="00146BDA">
        <w:t>Fallou</w:t>
      </w:r>
      <w:proofErr w:type="spellEnd"/>
      <w:r w:rsidRPr="00146BDA">
        <w:t xml:space="preserve"> </w:t>
      </w:r>
      <w:proofErr w:type="spellStart"/>
      <w:r w:rsidR="00C55D22" w:rsidRPr="00146BDA">
        <w:t>Sene</w:t>
      </w:r>
      <w:proofErr w:type="spellEnd"/>
      <w:r w:rsidRPr="00146BDA">
        <w:t>, étudiant à l’université Gaston Berger de Saint Louis, une enquête indépendante a été ouverte et a abouti à l’arrestation du gendarme présumé auteur du coup de feu mortel. Le dossier, qui est au niveau du 1</w:t>
      </w:r>
      <w:r w:rsidRPr="00146BDA">
        <w:rPr>
          <w:vertAlign w:val="superscript"/>
        </w:rPr>
        <w:t>er</w:t>
      </w:r>
      <w:r w:rsidRPr="00146BDA">
        <w:t xml:space="preserve"> cabinet d’instruction du Tribunal de Grande Instance Hors Classe de Dakar suit son cours normal.</w:t>
      </w:r>
    </w:p>
    <w:p w14:paraId="1E4D159C" w14:textId="56C23338" w:rsidR="00146BDA" w:rsidRPr="00146BDA" w:rsidRDefault="004B7B07" w:rsidP="004B7B07">
      <w:pPr>
        <w:pStyle w:val="H23G"/>
        <w:rPr>
          <w:rFonts w:eastAsia="Calibri"/>
          <w:sz w:val="24"/>
          <w:szCs w:val="24"/>
        </w:rPr>
      </w:pPr>
      <w:r>
        <w:tab/>
      </w:r>
      <w:r>
        <w:tab/>
        <w:t>Réponse au paragraphe 27 b) de la liste de points</w:t>
      </w:r>
      <w:r w:rsidR="00146BDA">
        <w:rPr>
          <w:rFonts w:eastAsia="Calibri"/>
          <w:sz w:val="24"/>
          <w:szCs w:val="24"/>
          <w:lang w:val="fr-FR"/>
        </w:rPr>
        <w:t xml:space="preserve"> </w:t>
      </w:r>
    </w:p>
    <w:p w14:paraId="0E42BF91" w14:textId="4AD18AB0" w:rsidR="00146BDA" w:rsidRPr="00146BDA" w:rsidRDefault="00146BDA" w:rsidP="00794E0E">
      <w:pPr>
        <w:pStyle w:val="SingleTxtG"/>
        <w:rPr>
          <w:b/>
          <w:i/>
        </w:rPr>
      </w:pPr>
      <w:r w:rsidRPr="00146BDA">
        <w:rPr>
          <w:lang w:val="fr-FR"/>
        </w:rPr>
        <w:t>157.</w:t>
      </w:r>
      <w:r>
        <w:rPr>
          <w:lang w:val="fr-FR"/>
        </w:rPr>
        <w:t xml:space="preserve"> </w:t>
      </w:r>
      <w:r w:rsidR="00794E0E">
        <w:rPr>
          <w:lang w:val="fr-FR"/>
        </w:rPr>
        <w:tab/>
      </w:r>
      <w:r w:rsidRPr="00146BDA">
        <w:rPr>
          <w:lang w:val="fr-FR"/>
        </w:rPr>
        <w:t>Suite à la manifestation de la coalition « AAR LI NU BOKK » aucune plainte n’a été enregistrée.</w:t>
      </w:r>
      <w:r w:rsidRPr="00146BDA">
        <w:rPr>
          <w:b/>
          <w:i/>
        </w:rPr>
        <w:t xml:space="preserve"> </w:t>
      </w:r>
    </w:p>
    <w:p w14:paraId="31BBD280" w14:textId="266233C1" w:rsidR="00146BDA" w:rsidRPr="00146BDA" w:rsidRDefault="004B7B07" w:rsidP="004B7B07">
      <w:pPr>
        <w:pStyle w:val="H23G"/>
        <w:rPr>
          <w:rFonts w:eastAsia="Calibri"/>
          <w:sz w:val="24"/>
          <w:szCs w:val="24"/>
        </w:rPr>
      </w:pPr>
      <w:r>
        <w:tab/>
      </w:r>
      <w:r>
        <w:tab/>
        <w:t>Réponse au paragraphe 27 c) de la liste de points</w:t>
      </w:r>
    </w:p>
    <w:p w14:paraId="0D875484" w14:textId="63C27181" w:rsidR="00146BDA" w:rsidRPr="00146BDA" w:rsidRDefault="00146BDA" w:rsidP="00794E0E">
      <w:pPr>
        <w:pStyle w:val="SingleTxtG"/>
        <w:rPr>
          <w:lang w:val="fr-SN" w:eastAsia="es-ES"/>
        </w:rPr>
      </w:pPr>
      <w:r w:rsidRPr="00146BDA">
        <w:rPr>
          <w:lang w:val="fr-FR" w:eastAsia="es-ES"/>
        </w:rPr>
        <w:t>158.</w:t>
      </w:r>
      <w:r>
        <w:rPr>
          <w:lang w:val="fr-FR" w:eastAsia="es-ES"/>
        </w:rPr>
        <w:t xml:space="preserve"> </w:t>
      </w:r>
      <w:r w:rsidR="00794E0E">
        <w:rPr>
          <w:lang w:val="fr-FR" w:eastAsia="es-ES"/>
        </w:rPr>
        <w:tab/>
      </w:r>
      <w:r w:rsidRPr="00146BDA">
        <w:rPr>
          <w:lang w:val="fr-FR" w:eastAsia="es-ES"/>
        </w:rPr>
        <w:t>Les informations relatives à ces recommandations ne sont pas disponibles.</w:t>
      </w:r>
    </w:p>
    <w:p w14:paraId="237FE52F" w14:textId="7CA952AA" w:rsidR="00146BDA" w:rsidRPr="00146BDA" w:rsidRDefault="004B7B07" w:rsidP="004B7B07">
      <w:pPr>
        <w:pStyle w:val="H23G"/>
        <w:rPr>
          <w:rFonts w:eastAsia="Calibri"/>
          <w:sz w:val="24"/>
          <w:szCs w:val="24"/>
          <w:lang w:val="fr-BE"/>
        </w:rPr>
      </w:pPr>
      <w:r>
        <w:tab/>
      </w:r>
      <w:r>
        <w:tab/>
        <w:t>Réponse au paragraphe 28 a) et b) de la liste de points</w:t>
      </w:r>
    </w:p>
    <w:p w14:paraId="7C87EE7F" w14:textId="55980383" w:rsidR="00146BDA" w:rsidRPr="006D217C" w:rsidRDefault="00146BDA" w:rsidP="00794E0E">
      <w:pPr>
        <w:pStyle w:val="SingleTxtG"/>
        <w:rPr>
          <w:b/>
          <w:i/>
          <w:color w:val="000000" w:themeColor="text1"/>
          <w:lang w:val="fr-FR" w:eastAsia="es-ES"/>
        </w:rPr>
      </w:pPr>
      <w:r w:rsidRPr="00146BDA">
        <w:t>159.</w:t>
      </w:r>
      <w:r>
        <w:t xml:space="preserve"> </w:t>
      </w:r>
      <w:r w:rsidR="00794E0E">
        <w:tab/>
      </w:r>
      <w:r w:rsidR="00C55D22">
        <w:t>À</w:t>
      </w:r>
      <w:r w:rsidRPr="00146BDA">
        <w:t xml:space="preserve"> l’heure actuelle, il n’y a pas d’initiative législative tendant à l’abrogation de l’alinéa</w:t>
      </w:r>
      <w:r w:rsidR="00C55D22">
        <w:t> </w:t>
      </w:r>
      <w:r w:rsidRPr="00146BDA">
        <w:t xml:space="preserve">3 de l’article 319 du </w:t>
      </w:r>
      <w:r w:rsidR="00C9311F" w:rsidRPr="00146BDA">
        <w:t xml:space="preserve">Code </w:t>
      </w:r>
      <w:r w:rsidRPr="00146BDA">
        <w:t>pénal réprimant les actes contre-nature.</w:t>
      </w:r>
    </w:p>
    <w:p w14:paraId="05D587B5" w14:textId="0063A036" w:rsidR="00146BDA" w:rsidRPr="00146BDA" w:rsidRDefault="00146BDA" w:rsidP="007F5E8F">
      <w:pPr>
        <w:pStyle w:val="H1G"/>
        <w:rPr>
          <w:lang w:val="fr-FR"/>
        </w:rPr>
      </w:pPr>
      <w:r w:rsidRPr="00146BDA">
        <w:rPr>
          <w:szCs w:val="24"/>
          <w:lang w:val="fr-FR"/>
        </w:rPr>
        <w:tab/>
      </w:r>
      <w:r w:rsidR="00794E0E">
        <w:rPr>
          <w:szCs w:val="24"/>
          <w:lang w:val="fr-FR"/>
        </w:rPr>
        <w:tab/>
      </w:r>
      <w:r w:rsidR="00794E0E">
        <w:rPr>
          <w:szCs w:val="24"/>
          <w:lang w:val="fr-FR"/>
        </w:rPr>
        <w:tab/>
      </w:r>
      <w:r w:rsidRPr="00146BDA">
        <w:rPr>
          <w:lang w:val="fr-FR"/>
        </w:rPr>
        <w:t>Autres questions</w:t>
      </w:r>
    </w:p>
    <w:p w14:paraId="6BC3F11C" w14:textId="6ABF7856" w:rsidR="00146BDA" w:rsidRPr="00146BDA" w:rsidRDefault="004B7B07" w:rsidP="004B7B07">
      <w:pPr>
        <w:pStyle w:val="H23G"/>
        <w:rPr>
          <w:rFonts w:eastAsia="Calibri"/>
          <w:sz w:val="24"/>
          <w:szCs w:val="24"/>
        </w:rPr>
      </w:pPr>
      <w:r>
        <w:tab/>
      </w:r>
      <w:r>
        <w:tab/>
        <w:t>Réponse au paragraphe 29 de la liste de points</w:t>
      </w:r>
    </w:p>
    <w:p w14:paraId="1004D4CC" w14:textId="4458ECD8" w:rsidR="00146BDA" w:rsidRPr="00146BDA" w:rsidRDefault="00146BDA" w:rsidP="00794E0E">
      <w:pPr>
        <w:pStyle w:val="SingleTxtG"/>
        <w:rPr>
          <w:lang w:val="fr-FR"/>
        </w:rPr>
      </w:pPr>
      <w:r w:rsidRPr="00146BDA">
        <w:rPr>
          <w:lang w:val="fr-FR"/>
        </w:rPr>
        <w:t>160.</w:t>
      </w:r>
      <w:r w:rsidRPr="00146BDA">
        <w:rPr>
          <w:lang w:val="fr-FR"/>
        </w:rPr>
        <w:tab/>
        <w:t xml:space="preserve">Pour prévenir et lutter contre la pandémie de </w:t>
      </w:r>
      <w:r w:rsidR="00C55D22" w:rsidRPr="00146BDA">
        <w:rPr>
          <w:lang w:val="fr-FR"/>
        </w:rPr>
        <w:t>Covid</w:t>
      </w:r>
      <w:r w:rsidRPr="00146BDA">
        <w:rPr>
          <w:lang w:val="fr-FR"/>
        </w:rPr>
        <w:t>-19 en milieu carcéral, des mesures ont été prises par les autorités pénitentiaires et sanitaires. Elles sont relatives au respect des mesures barrières édictées par les autorités sanitaires (lavage systématique avec de l’eau et du savon, l’utilisation de gel hydro alcoolique et prise de température par des thermo flash),</w:t>
      </w:r>
      <w:r>
        <w:rPr>
          <w:lang w:val="fr-FR"/>
        </w:rPr>
        <w:t xml:space="preserve"> </w:t>
      </w:r>
      <w:r w:rsidRPr="00146BDA">
        <w:rPr>
          <w:lang w:val="fr-FR"/>
        </w:rPr>
        <w:t xml:space="preserve">à l’isolement des détenus nouveaux arrivants pendant la période de quatorzaine, la consigne du personnel de direction et de surveillance des établissements pénitentiaires, la suspension des visites des détenus tout en leur donnant la possibilité d’appeler gratuitement leur famille </w:t>
      </w:r>
      <w:r w:rsidRPr="00146BDA">
        <w:rPr>
          <w:lang w:val="fr-FR"/>
        </w:rPr>
        <w:lastRenderedPageBreak/>
        <w:t>au moins une fois par semaine, l’amélioration des conditions de prise en charge alimentaire et sanitaire, la production de masques au niveau du camp pénal de Liberté VI et la création d’une unité de production de produits d’entretien et d’hygiène dénommée PENIPRO à la maison d’arrêt et de correction du Cap Manuel etc.</w:t>
      </w:r>
    </w:p>
    <w:p w14:paraId="24645D98" w14:textId="1DA8900A" w:rsidR="00146BDA" w:rsidRPr="00146BDA" w:rsidRDefault="00146BDA" w:rsidP="00794E0E">
      <w:pPr>
        <w:pStyle w:val="SingleTxtG"/>
        <w:rPr>
          <w:lang w:val="fr-FR"/>
        </w:rPr>
      </w:pPr>
      <w:r w:rsidRPr="00146BDA">
        <w:rPr>
          <w:lang w:val="fr-FR"/>
        </w:rPr>
        <w:t>161.</w:t>
      </w:r>
      <w:r w:rsidRPr="00146BDA">
        <w:rPr>
          <w:lang w:val="fr-FR"/>
        </w:rPr>
        <w:tab/>
        <w:t xml:space="preserve">Toutefois, des dispositions nécessaires étaient prises pour que les mesures de prévention et de lutte contre la </w:t>
      </w:r>
      <w:r w:rsidR="008F2675" w:rsidRPr="00146BDA">
        <w:rPr>
          <w:lang w:val="fr-FR"/>
        </w:rPr>
        <w:t>Covid</w:t>
      </w:r>
      <w:r w:rsidRPr="00146BDA">
        <w:rPr>
          <w:lang w:val="fr-FR"/>
        </w:rPr>
        <w:t>-19 en milieu carcéral, soient en conformité avec les obligations prévues par la Convention contre la torture et autres peines ou traitements cruels, inhumains ou dégradants.</w:t>
      </w:r>
    </w:p>
    <w:p w14:paraId="39674EA2" w14:textId="77777777" w:rsidR="00146BDA" w:rsidRPr="00146BDA" w:rsidRDefault="00146BDA" w:rsidP="00794E0E">
      <w:pPr>
        <w:pStyle w:val="SingleTxtG"/>
        <w:rPr>
          <w:lang w:val="fr-SN"/>
        </w:rPr>
      </w:pPr>
      <w:r w:rsidRPr="00146BDA">
        <w:rPr>
          <w:lang w:val="fr-FR"/>
        </w:rPr>
        <w:t>162.</w:t>
      </w:r>
      <w:r w:rsidRPr="00146BDA">
        <w:rPr>
          <w:lang w:val="fr-FR"/>
        </w:rPr>
        <w:tab/>
        <w:t xml:space="preserve">En outre, </w:t>
      </w:r>
      <w:r w:rsidRPr="00146BDA">
        <w:rPr>
          <w:lang w:val="fr-SN"/>
        </w:rPr>
        <w:t>Il existe une Cellule psychosociale composée de psychologues, de psychiatres et de travailleurs sociaux exclusivement dédiée au service de la personne privée de liberté et mise en quarantaine.</w:t>
      </w:r>
    </w:p>
    <w:p w14:paraId="27505BAF" w14:textId="43CB8E28" w:rsidR="00146BDA" w:rsidRPr="00146BDA" w:rsidRDefault="00146BDA" w:rsidP="004B7B07">
      <w:pPr>
        <w:pStyle w:val="SingleTxtG"/>
        <w:rPr>
          <w:lang w:val="fr-SN"/>
        </w:rPr>
      </w:pPr>
      <w:r w:rsidRPr="00146BDA">
        <w:rPr>
          <w:lang w:val="fr-SN"/>
        </w:rPr>
        <w:t>163.</w:t>
      </w:r>
      <w:r w:rsidRPr="00146BDA">
        <w:rPr>
          <w:lang w:val="fr-SN"/>
        </w:rPr>
        <w:tab/>
      </w:r>
      <w:r w:rsidR="00C55D22">
        <w:rPr>
          <w:lang w:val="fr-SN"/>
        </w:rPr>
        <w:t>À</w:t>
      </w:r>
      <w:r w:rsidRPr="00146BDA">
        <w:rPr>
          <w:lang w:val="fr-SN"/>
        </w:rPr>
        <w:t xml:space="preserve"> l’issue de la quarantaine, Il y a la délivrance d’un certificat attestant du bon état de santé de l’individu, ce qui permet de rassurer les populations carcérales et de lutter ainsi contre la stigmatisation qui peut avoir des impacts psychologiques.</w:t>
      </w:r>
      <w:r w:rsidR="004B7B07">
        <w:rPr>
          <w:lang w:val="fr-SN"/>
        </w:rPr>
        <w:t xml:space="preserve"> </w:t>
      </w:r>
      <w:r w:rsidRPr="00146BDA">
        <w:rPr>
          <w:lang w:val="fr-SN"/>
        </w:rPr>
        <w:t>Cet accompagnement psychologique se fait également au profit des patients atteints de Covid-19 traités dans les Centres de Traitement Epidémiologiques installés dans les hôpitaux et dénommés CTE.</w:t>
      </w:r>
    </w:p>
    <w:p w14:paraId="6338DB2D" w14:textId="7E619FEE" w:rsidR="00146BDA" w:rsidRPr="00146BDA" w:rsidRDefault="00794E0E" w:rsidP="00F74010">
      <w:pPr>
        <w:pStyle w:val="HChG"/>
        <w:rPr>
          <w:lang w:val="fr-FR"/>
        </w:rPr>
      </w:pPr>
      <w:r>
        <w:rPr>
          <w:lang w:val="fr-SN"/>
        </w:rPr>
        <w:tab/>
      </w:r>
      <w:r>
        <w:rPr>
          <w:lang w:val="fr-SN"/>
        </w:rPr>
        <w:tab/>
      </w:r>
      <w:r w:rsidR="00146BDA" w:rsidRPr="00146BDA">
        <w:rPr>
          <w:lang w:val="fr-FR"/>
        </w:rPr>
        <w:t>Deuxième partie</w:t>
      </w:r>
      <w:r w:rsidR="00F74010">
        <w:rPr>
          <w:lang w:val="fr-FR"/>
        </w:rPr>
        <w:br/>
      </w:r>
      <w:r>
        <w:tab/>
      </w:r>
      <w:r w:rsidR="00146BDA" w:rsidRPr="00146BDA">
        <w:t>Renseignements d’ordre général sur les autres mesures et</w:t>
      </w:r>
      <w:r w:rsidR="00F74010">
        <w:t> </w:t>
      </w:r>
      <w:r w:rsidR="00146BDA" w:rsidRPr="00146BDA">
        <w:t>faits</w:t>
      </w:r>
      <w:r w:rsidR="003A4CB8">
        <w:t xml:space="preserve"> </w:t>
      </w:r>
      <w:r w:rsidR="00146BDA" w:rsidRPr="00146BDA">
        <w:t xml:space="preserve">nouveaux concernant la mise en œuvre </w:t>
      </w:r>
      <w:r w:rsidR="00F74010">
        <w:br/>
      </w:r>
      <w:r w:rsidR="00146BDA" w:rsidRPr="00146BDA">
        <w:t>de la Convention</w:t>
      </w:r>
      <w:r w:rsidR="00F74010">
        <w:t xml:space="preserve"> </w:t>
      </w:r>
      <w:r w:rsidR="00146BDA" w:rsidRPr="00146BDA">
        <w:t>dans l’État partie</w:t>
      </w:r>
    </w:p>
    <w:p w14:paraId="173D47C9" w14:textId="331A79E0" w:rsidR="00146BDA" w:rsidRPr="00146BDA" w:rsidRDefault="004B7B07" w:rsidP="004B7B07">
      <w:pPr>
        <w:pStyle w:val="H23G"/>
        <w:rPr>
          <w:rFonts w:eastAsia="Calibri"/>
          <w:sz w:val="24"/>
          <w:szCs w:val="24"/>
          <w:lang w:val="fr-FR" w:eastAsia="es-ES"/>
        </w:rPr>
      </w:pPr>
      <w:r>
        <w:tab/>
      </w:r>
      <w:r>
        <w:tab/>
        <w:t>Réponse au paragraphe 30 de la liste de points</w:t>
      </w:r>
    </w:p>
    <w:p w14:paraId="24F795DB" w14:textId="73197F00" w:rsidR="00146BDA" w:rsidRPr="00146BDA" w:rsidRDefault="00146BDA" w:rsidP="00794E0E">
      <w:pPr>
        <w:pStyle w:val="SingleTxtG"/>
        <w:rPr>
          <w:lang w:val="fr-SN" w:eastAsia="es-ES"/>
        </w:rPr>
      </w:pPr>
      <w:r w:rsidRPr="00146BDA">
        <w:rPr>
          <w:lang w:val="fr-SN" w:eastAsia="es-ES"/>
        </w:rPr>
        <w:t>164.</w:t>
      </w:r>
      <w:r>
        <w:rPr>
          <w:lang w:val="fr-SN" w:eastAsia="es-ES"/>
        </w:rPr>
        <w:t xml:space="preserve"> </w:t>
      </w:r>
      <w:r w:rsidR="004B7B07">
        <w:rPr>
          <w:lang w:val="fr-SN" w:eastAsia="es-ES"/>
        </w:rPr>
        <w:tab/>
      </w:r>
      <w:r w:rsidRPr="00146BDA">
        <w:rPr>
          <w:lang w:val="fr-SN" w:eastAsia="es-ES"/>
        </w:rPr>
        <w:t>Sur les mesures prises par l’</w:t>
      </w:r>
      <w:r w:rsidR="009F3C58">
        <w:rPr>
          <w:lang w:val="fr-SN" w:eastAsia="es-ES"/>
        </w:rPr>
        <w:t>État</w:t>
      </w:r>
      <w:r w:rsidRPr="00146BDA">
        <w:rPr>
          <w:lang w:val="fr-SN" w:eastAsia="es-ES"/>
        </w:rPr>
        <w:t xml:space="preserve"> du Sénégal pour une meilleure prise en charge de la Convention en droit interne, il convient de noter les développements suivants :</w:t>
      </w:r>
    </w:p>
    <w:p w14:paraId="493CB000" w14:textId="2306B498"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La modification du Code </w:t>
      </w:r>
      <w:r w:rsidR="003562DE">
        <w:rPr>
          <w:lang w:val="fr-SN" w:eastAsia="es-ES"/>
        </w:rPr>
        <w:t>p</w:t>
      </w:r>
      <w:r w:rsidR="00146BDA" w:rsidRPr="00146BDA">
        <w:rPr>
          <w:lang w:val="fr-SN" w:eastAsia="es-ES"/>
        </w:rPr>
        <w:t>énal par la l</w:t>
      </w:r>
      <w:proofErr w:type="spellStart"/>
      <w:r w:rsidR="00146BDA" w:rsidRPr="00146BDA">
        <w:rPr>
          <w:lang w:val="fr-FR" w:eastAsia="es-ES"/>
        </w:rPr>
        <w:t>oi</w:t>
      </w:r>
      <w:proofErr w:type="spellEnd"/>
      <w:r w:rsidR="00146BDA" w:rsidRPr="00146BDA">
        <w:rPr>
          <w:lang w:val="fr-FR" w:eastAsia="es-ES"/>
        </w:rPr>
        <w:t xml:space="preserve"> </w:t>
      </w:r>
      <w:r w:rsidR="003562DE">
        <w:rPr>
          <w:lang w:val="fr-FR"/>
        </w:rPr>
        <w:t>n</w:t>
      </w:r>
      <w:r w:rsidR="003562DE" w:rsidRPr="005A743A">
        <w:rPr>
          <w:vertAlign w:val="superscript"/>
          <w:lang w:val="fr-FR"/>
        </w:rPr>
        <w:t>o</w:t>
      </w:r>
      <w:r w:rsidR="003562DE">
        <w:rPr>
          <w:lang w:val="fr-FR"/>
        </w:rPr>
        <w:t> </w:t>
      </w:r>
      <w:r w:rsidR="00146BDA" w:rsidRPr="00146BDA">
        <w:rPr>
          <w:lang w:val="fr-FR" w:eastAsia="es-ES"/>
        </w:rPr>
        <w:t>96-15 du 26 août 1996</w:t>
      </w:r>
      <w:r w:rsidR="00146BDA" w:rsidRPr="00146BDA">
        <w:rPr>
          <w:lang w:val="fr-SN" w:eastAsia="es-ES"/>
        </w:rPr>
        <w:t xml:space="preserve"> qui a inséré un article 295-1 qui définit et punit la torture ;</w:t>
      </w:r>
    </w:p>
    <w:p w14:paraId="3838C7BE" w14:textId="147336B7"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La loi </w:t>
      </w:r>
      <w:r w:rsidR="003562DE">
        <w:rPr>
          <w:lang w:val="fr-FR"/>
        </w:rPr>
        <w:t>n</w:t>
      </w:r>
      <w:r w:rsidR="003562DE" w:rsidRPr="005A743A">
        <w:rPr>
          <w:vertAlign w:val="superscript"/>
          <w:lang w:val="fr-FR"/>
        </w:rPr>
        <w:t>o</w:t>
      </w:r>
      <w:r w:rsidR="003562DE">
        <w:rPr>
          <w:lang w:val="fr-FR"/>
        </w:rPr>
        <w:t> </w:t>
      </w:r>
      <w:r w:rsidR="00146BDA" w:rsidRPr="00146BDA">
        <w:rPr>
          <w:lang w:val="fr-SN" w:eastAsia="es-ES"/>
        </w:rPr>
        <w:t>2020-05 du janvier 2020 criminalisant le viol et la pédophilie</w:t>
      </w:r>
      <w:r w:rsidR="00C55D22">
        <w:rPr>
          <w:lang w:val="fr-SN" w:eastAsia="es-ES"/>
        </w:rPr>
        <w:t> : c</w:t>
      </w:r>
      <w:r w:rsidR="00146BDA" w:rsidRPr="00146BDA">
        <w:rPr>
          <w:lang w:val="fr-SN" w:eastAsia="es-ES"/>
        </w:rPr>
        <w:t>ette loi est accompagnée d’un plan stratégique de vulgarisation pour son appropriation effective par les acteurs et les populations ;</w:t>
      </w:r>
    </w:p>
    <w:p w14:paraId="75539265" w14:textId="4783557B"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La loi </w:t>
      </w:r>
      <w:r w:rsidR="003562DE">
        <w:rPr>
          <w:lang w:val="fr-FR"/>
        </w:rPr>
        <w:t>n</w:t>
      </w:r>
      <w:r w:rsidR="003562DE" w:rsidRPr="005A743A">
        <w:rPr>
          <w:vertAlign w:val="superscript"/>
          <w:lang w:val="fr-FR"/>
        </w:rPr>
        <w:t>o</w:t>
      </w:r>
      <w:r w:rsidR="003562DE">
        <w:rPr>
          <w:lang w:val="fr-FR"/>
        </w:rPr>
        <w:t> </w:t>
      </w:r>
      <w:r w:rsidR="00146BDA" w:rsidRPr="00146BDA">
        <w:rPr>
          <w:lang w:val="fr-SN" w:eastAsia="es-ES"/>
        </w:rPr>
        <w:t>2022-01 du 14 avril 2022 portant statut des réfugiés et apatrides ;</w:t>
      </w:r>
    </w:p>
    <w:p w14:paraId="22242CBF" w14:textId="52F62201"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bCs/>
          <w:lang w:eastAsia="es-ES"/>
        </w:rPr>
        <w:t>Les lois</w:t>
      </w:r>
      <w:r w:rsidR="00146BDA" w:rsidRPr="00146BDA">
        <w:rPr>
          <w:b/>
          <w:bCs/>
          <w:lang w:eastAsia="es-ES"/>
        </w:rPr>
        <w:t xml:space="preserve"> </w:t>
      </w:r>
      <w:r w:rsidR="003562DE">
        <w:rPr>
          <w:lang w:val="fr-FR"/>
        </w:rPr>
        <w:t>n</w:t>
      </w:r>
      <w:r w:rsidR="003562DE" w:rsidRPr="005A743A">
        <w:rPr>
          <w:vertAlign w:val="superscript"/>
          <w:lang w:val="fr-FR"/>
        </w:rPr>
        <w:t>o</w:t>
      </w:r>
      <w:r w:rsidR="003562DE">
        <w:rPr>
          <w:lang w:val="fr-FR"/>
        </w:rPr>
        <w:t> </w:t>
      </w:r>
      <w:r w:rsidR="00146BDA" w:rsidRPr="00146BDA">
        <w:rPr>
          <w:lang w:eastAsia="es-ES"/>
        </w:rPr>
        <w:t xml:space="preserve">2000-38 et 2000-39 du 29 décembre 2000 ainsi que du décret d’application </w:t>
      </w:r>
      <w:r w:rsidR="003562DE">
        <w:rPr>
          <w:lang w:val="fr-FR"/>
        </w:rPr>
        <w:t>n</w:t>
      </w:r>
      <w:r w:rsidR="003562DE" w:rsidRPr="005A743A">
        <w:rPr>
          <w:vertAlign w:val="superscript"/>
          <w:lang w:val="fr-FR"/>
        </w:rPr>
        <w:t>o</w:t>
      </w:r>
      <w:r w:rsidR="003562DE">
        <w:rPr>
          <w:lang w:val="fr-FR"/>
        </w:rPr>
        <w:t> </w:t>
      </w:r>
      <w:r w:rsidR="00146BDA" w:rsidRPr="00146BDA">
        <w:rPr>
          <w:lang w:eastAsia="es-ES"/>
        </w:rPr>
        <w:t>362-2001 du 4 mars 2001 relatives aux mesures alternatives à l’incarcération ;</w:t>
      </w:r>
    </w:p>
    <w:p w14:paraId="60D55F32" w14:textId="42019D23"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La réglementation sur la détention provisoire est modifiée par la loi </w:t>
      </w:r>
      <w:r w:rsidR="003562DE">
        <w:rPr>
          <w:lang w:val="fr-FR"/>
        </w:rPr>
        <w:t>n</w:t>
      </w:r>
      <w:r w:rsidR="003562DE" w:rsidRPr="005A743A">
        <w:rPr>
          <w:vertAlign w:val="superscript"/>
          <w:lang w:val="fr-FR"/>
        </w:rPr>
        <w:t>o</w:t>
      </w:r>
      <w:r w:rsidR="003562DE">
        <w:rPr>
          <w:lang w:val="fr-FR"/>
        </w:rPr>
        <w:t> </w:t>
      </w:r>
      <w:r w:rsidR="00146BDA" w:rsidRPr="00146BDA">
        <w:rPr>
          <w:lang w:val="fr-SN" w:eastAsia="es-ES"/>
        </w:rPr>
        <w:t>2020-28 du 7</w:t>
      </w:r>
      <w:r w:rsidR="003562DE">
        <w:rPr>
          <w:lang w:val="fr-SN" w:eastAsia="es-ES"/>
        </w:rPr>
        <w:t> </w:t>
      </w:r>
      <w:r w:rsidR="00146BDA" w:rsidRPr="00146BDA">
        <w:rPr>
          <w:lang w:val="fr-SN" w:eastAsia="es-ES"/>
        </w:rPr>
        <w:t>juillet 2020 modifiant le Code pénal et consacrant le placement sous surveillance électronique comme mode d’aménagement des peines</w:t>
      </w:r>
      <w:r w:rsidR="003562DE">
        <w:rPr>
          <w:lang w:val="fr-SN" w:eastAsia="es-ES"/>
        </w:rPr>
        <w:t xml:space="preserve"> </w:t>
      </w:r>
      <w:r w:rsidR="00146BDA" w:rsidRPr="00146BDA">
        <w:rPr>
          <w:lang w:val="fr-SN" w:eastAsia="es-ES"/>
        </w:rPr>
        <w:t>et</w:t>
      </w:r>
      <w:r w:rsidR="00146BDA">
        <w:rPr>
          <w:lang w:val="fr-SN" w:eastAsia="es-ES"/>
        </w:rPr>
        <w:t xml:space="preserve"> </w:t>
      </w:r>
      <w:r w:rsidR="00146BDA" w:rsidRPr="00146BDA">
        <w:rPr>
          <w:lang w:val="fr-SN" w:eastAsia="es-ES"/>
        </w:rPr>
        <w:t xml:space="preserve">l’assignation à résidence avec placement sous surveillance électronique, à travers la loi </w:t>
      </w:r>
      <w:r w:rsidR="003562DE">
        <w:rPr>
          <w:lang w:val="fr-FR"/>
        </w:rPr>
        <w:t>n</w:t>
      </w:r>
      <w:r w:rsidR="003562DE" w:rsidRPr="005A743A">
        <w:rPr>
          <w:vertAlign w:val="superscript"/>
          <w:lang w:val="fr-FR"/>
        </w:rPr>
        <w:t>o</w:t>
      </w:r>
      <w:r w:rsidR="003562DE">
        <w:rPr>
          <w:lang w:val="fr-FR"/>
        </w:rPr>
        <w:t> </w:t>
      </w:r>
      <w:r w:rsidR="00146BDA" w:rsidRPr="00146BDA">
        <w:rPr>
          <w:lang w:val="fr-SN" w:eastAsia="es-ES"/>
        </w:rPr>
        <w:t>2020-29 du 17 juillet 2020 ;</w:t>
      </w:r>
    </w:p>
    <w:p w14:paraId="74B1E9C3" w14:textId="2A7ABF17"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Un projet de loi a été validé au niveau du Ministère de la </w:t>
      </w:r>
      <w:r w:rsidR="00C9311F">
        <w:rPr>
          <w:lang w:val="fr-SN" w:eastAsia="es-ES"/>
        </w:rPr>
        <w:t>j</w:t>
      </w:r>
      <w:r w:rsidR="00146BDA" w:rsidRPr="00146BDA">
        <w:rPr>
          <w:lang w:val="fr-SN" w:eastAsia="es-ES"/>
        </w:rPr>
        <w:t>ustice et déposé au Secrétariat Général du Gouvernement. Il contient des dispositions garantissant à tous les justiciables l’accès à un défenseur avec une gestion plus transparente de l’aide et une possible diversification des sources de financement. En attendant son adoption, le Gouvernement n’a de cesse d’accroitre chaque année l’enveloppe budgétaire destinée à l’aide juridictionnelle. Elle est portée à huit</w:t>
      </w:r>
      <w:r w:rsidR="00923003">
        <w:rPr>
          <w:lang w:val="fr-SN" w:eastAsia="es-ES"/>
        </w:rPr>
        <w:t> </w:t>
      </w:r>
      <w:r w:rsidR="00923003" w:rsidRPr="00146BDA">
        <w:rPr>
          <w:lang w:val="fr-SN" w:eastAsia="es-ES"/>
        </w:rPr>
        <w:t>cents</w:t>
      </w:r>
      <w:r w:rsidR="00146BDA" w:rsidRPr="00146BDA">
        <w:rPr>
          <w:lang w:val="fr-SN" w:eastAsia="es-ES"/>
        </w:rPr>
        <w:t xml:space="preserve"> millions de francs (800</w:t>
      </w:r>
      <w:r w:rsidR="003562DE">
        <w:rPr>
          <w:lang w:val="fr-SN" w:eastAsia="es-ES"/>
        </w:rPr>
        <w:t> </w:t>
      </w:r>
      <w:r w:rsidR="00146BDA" w:rsidRPr="00146BDA">
        <w:rPr>
          <w:lang w:val="fr-SN" w:eastAsia="es-ES"/>
        </w:rPr>
        <w:t>000</w:t>
      </w:r>
      <w:r w:rsidR="003562DE">
        <w:rPr>
          <w:lang w:val="fr-SN" w:eastAsia="es-ES"/>
        </w:rPr>
        <w:t> </w:t>
      </w:r>
      <w:r w:rsidR="00146BDA" w:rsidRPr="00146BDA">
        <w:rPr>
          <w:lang w:val="fr-SN" w:eastAsia="es-ES"/>
        </w:rPr>
        <w:t>000</w:t>
      </w:r>
      <w:r w:rsidR="003562DE">
        <w:rPr>
          <w:lang w:val="fr-SN" w:eastAsia="es-ES"/>
        </w:rPr>
        <w:t> </w:t>
      </w:r>
      <w:r w:rsidR="00146BDA" w:rsidRPr="00146BDA">
        <w:rPr>
          <w:lang w:val="fr-SN" w:eastAsia="es-ES"/>
        </w:rPr>
        <w:t>FCFA) en 2022</w:t>
      </w:r>
      <w:r w:rsidR="00794E0E">
        <w:rPr>
          <w:lang w:val="fr-SN" w:eastAsia="es-ES"/>
        </w:rPr>
        <w:t> ;</w:t>
      </w:r>
    </w:p>
    <w:p w14:paraId="6861CD8E" w14:textId="3EB46B07"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 xml:space="preserve">L’adoption en conseil des ministres du projet de loi portant </w:t>
      </w:r>
      <w:r w:rsidR="00C9311F">
        <w:rPr>
          <w:lang w:val="fr-SN" w:eastAsia="es-ES"/>
        </w:rPr>
        <w:t>s</w:t>
      </w:r>
      <w:r w:rsidR="00146BDA" w:rsidRPr="00146BDA">
        <w:rPr>
          <w:lang w:val="fr-SN" w:eastAsia="es-ES"/>
        </w:rPr>
        <w:t>tatut du « </w:t>
      </w:r>
      <w:r w:rsidR="00C9311F">
        <w:rPr>
          <w:lang w:val="fr-SN" w:eastAsia="es-ES"/>
        </w:rPr>
        <w:t>d</w:t>
      </w:r>
      <w:r w:rsidR="00146BDA" w:rsidRPr="00146BDA">
        <w:rPr>
          <w:lang w:val="fr-SN" w:eastAsia="es-ES"/>
        </w:rPr>
        <w:t>aara » le 6</w:t>
      </w:r>
      <w:r w:rsidR="00C9311F">
        <w:rPr>
          <w:lang w:val="fr-SN" w:eastAsia="es-ES"/>
        </w:rPr>
        <w:t> </w:t>
      </w:r>
      <w:r w:rsidR="00146BDA" w:rsidRPr="00146BDA">
        <w:rPr>
          <w:lang w:val="fr-SN" w:eastAsia="es-ES"/>
        </w:rPr>
        <w:t>juin 2018 qui est déposé à l’Assemblée nationale pour vote ;</w:t>
      </w:r>
    </w:p>
    <w:p w14:paraId="0B17BA33" w14:textId="4B02D752"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La création du Comité national de Lutte contre la Traite des Personnes et le Trafic illicite de migrants, par décret n</w:t>
      </w:r>
      <w:r w:rsidR="001209CF" w:rsidRPr="001209CF">
        <w:rPr>
          <w:vertAlign w:val="superscript"/>
          <w:lang w:val="fr-SN" w:eastAsia="es-ES"/>
        </w:rPr>
        <w:t>o</w:t>
      </w:r>
      <w:r w:rsidR="001209CF">
        <w:rPr>
          <w:lang w:val="fr-SN" w:eastAsia="es-ES"/>
        </w:rPr>
        <w:t> </w:t>
      </w:r>
      <w:r w:rsidR="00146BDA" w:rsidRPr="00146BDA">
        <w:rPr>
          <w:lang w:val="fr-SN" w:eastAsia="es-ES"/>
        </w:rPr>
        <w:t>2020-2064 du 27 octobre 2020 ;</w:t>
      </w:r>
    </w:p>
    <w:p w14:paraId="284EE270" w14:textId="172E303A"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lastRenderedPageBreak/>
        <w:t>•</w:t>
      </w:r>
      <w:r w:rsidRPr="00146BDA">
        <w:rPr>
          <w:lang w:val="fr-SN" w:eastAsia="es-ES"/>
        </w:rPr>
        <w:tab/>
      </w:r>
      <w:r w:rsidR="00146BDA" w:rsidRPr="00146BDA">
        <w:rPr>
          <w:lang w:val="fr-SN" w:eastAsia="es-ES"/>
        </w:rPr>
        <w:t xml:space="preserve">L’installation d’un portail de signalement d’images d’abus sexuels sur enfants en ligne au Sénégal en septembre 2019 par la MFFGPE à travers la CAPE en partenariat avec Internet Watch </w:t>
      </w:r>
      <w:proofErr w:type="spellStart"/>
      <w:r w:rsidR="00146BDA" w:rsidRPr="00146BDA">
        <w:rPr>
          <w:lang w:val="fr-SN" w:eastAsia="es-ES"/>
        </w:rPr>
        <w:t>Foundation</w:t>
      </w:r>
      <w:proofErr w:type="spellEnd"/>
      <w:r w:rsidR="00146BDA" w:rsidRPr="00146BDA">
        <w:rPr>
          <w:lang w:val="fr-SN" w:eastAsia="es-ES"/>
        </w:rPr>
        <w:t> ;</w:t>
      </w:r>
    </w:p>
    <w:p w14:paraId="7551A718" w14:textId="70D0D953" w:rsidR="00146BDA" w:rsidRPr="00146BDA" w:rsidRDefault="006D217C" w:rsidP="006D217C">
      <w:pPr>
        <w:pStyle w:val="Bullet1G"/>
        <w:numPr>
          <w:ilvl w:val="0"/>
          <w:numId w:val="0"/>
        </w:numPr>
        <w:tabs>
          <w:tab w:val="left" w:pos="1701"/>
        </w:tabs>
        <w:ind w:left="1701" w:hanging="170"/>
        <w:rPr>
          <w:lang w:val="fr-SN" w:eastAsia="es-ES"/>
        </w:rPr>
      </w:pPr>
      <w:r w:rsidRPr="00146BDA">
        <w:rPr>
          <w:lang w:val="fr-SN" w:eastAsia="es-ES"/>
        </w:rPr>
        <w:t>•</w:t>
      </w:r>
      <w:r w:rsidRPr="00146BDA">
        <w:rPr>
          <w:lang w:val="fr-SN" w:eastAsia="es-ES"/>
        </w:rPr>
        <w:tab/>
      </w:r>
      <w:r w:rsidR="00146BDA" w:rsidRPr="00146BDA">
        <w:rPr>
          <w:lang w:val="fr-SN" w:eastAsia="es-ES"/>
        </w:rPr>
        <w:t>Le Sénégal, en accord avec les dirigeants de l’ordre des avocats, a décidé d’instaurer désormais l’annualisation du recrutement d’un nombre significatif de jeunes dans la profession d’avocat et l’accompagnement de leur installation, à l’intérieur du pays avec les fonds dédiés à l’aide juridictionnelle</w:t>
      </w:r>
      <w:r w:rsidR="00794E0E">
        <w:rPr>
          <w:lang w:val="fr-SN" w:eastAsia="es-ES"/>
        </w:rPr>
        <w:t>.</w:t>
      </w:r>
    </w:p>
    <w:p w14:paraId="79D8535B" w14:textId="43CE6044" w:rsidR="003959C6" w:rsidRDefault="004B7B07" w:rsidP="00794E0E">
      <w:pPr>
        <w:pStyle w:val="SingleTxtG"/>
        <w:rPr>
          <w:lang w:val="fr-SN" w:eastAsia="es-ES"/>
        </w:rPr>
      </w:pPr>
      <w:r>
        <w:rPr>
          <w:lang w:val="fr-SN" w:eastAsia="es-ES"/>
        </w:rPr>
        <w:t>165.</w:t>
      </w:r>
      <w:r>
        <w:rPr>
          <w:lang w:val="fr-SN" w:eastAsia="es-ES"/>
        </w:rPr>
        <w:tab/>
      </w:r>
      <w:r w:rsidR="00146BDA" w:rsidRPr="00146BDA">
        <w:rPr>
          <w:lang w:val="fr-SN" w:eastAsia="es-ES"/>
        </w:rPr>
        <w:t>Le Comité</w:t>
      </w:r>
      <w:r w:rsidR="003562DE">
        <w:rPr>
          <w:lang w:val="fr-SN" w:eastAsia="es-ES"/>
        </w:rPr>
        <w:t xml:space="preserve"> </w:t>
      </w:r>
      <w:r w:rsidR="00146BDA" w:rsidRPr="00146BDA">
        <w:rPr>
          <w:lang w:val="fr-SN" w:eastAsia="es-ES"/>
        </w:rPr>
        <w:t>Sénégalais</w:t>
      </w:r>
      <w:r w:rsidR="003562DE">
        <w:rPr>
          <w:lang w:val="fr-SN" w:eastAsia="es-ES"/>
        </w:rPr>
        <w:t xml:space="preserve"> </w:t>
      </w:r>
      <w:r w:rsidR="00146BDA" w:rsidRPr="00146BDA">
        <w:rPr>
          <w:lang w:val="fr-SN" w:eastAsia="es-ES"/>
        </w:rPr>
        <w:t>des</w:t>
      </w:r>
      <w:r w:rsidR="003562DE">
        <w:rPr>
          <w:lang w:val="fr-SN" w:eastAsia="es-ES"/>
        </w:rPr>
        <w:t xml:space="preserve"> </w:t>
      </w:r>
      <w:r w:rsidR="00146BDA" w:rsidRPr="00146BDA">
        <w:rPr>
          <w:lang w:val="fr-SN" w:eastAsia="es-ES"/>
        </w:rPr>
        <w:t>Droits de l</w:t>
      </w:r>
      <w:r w:rsidR="00546497">
        <w:rPr>
          <w:lang w:val="fr-SN" w:eastAsia="es-ES"/>
        </w:rPr>
        <w:t>’</w:t>
      </w:r>
      <w:r w:rsidR="00146BDA" w:rsidRPr="00146BDA">
        <w:rPr>
          <w:lang w:val="fr-SN" w:eastAsia="es-ES"/>
        </w:rPr>
        <w:t>Homme (CSDH) de par son mandat légal formule un avis sur les rapports périodiques, interagit avec tous les acteurs étatiques et non-étatiques dans le cadre des sessions du Conseil consultatif national des droits de l’</w:t>
      </w:r>
      <w:r w:rsidR="0013795C">
        <w:rPr>
          <w:lang w:val="fr-SN" w:eastAsia="es-ES"/>
        </w:rPr>
        <w:t>h</w:t>
      </w:r>
      <w:r w:rsidR="00146BDA" w:rsidRPr="00146BDA">
        <w:rPr>
          <w:lang w:val="fr-SN" w:eastAsia="es-ES"/>
        </w:rPr>
        <w:t>omme et du droit international humanitaire. Le projet de loi actuellement en relecture au niveau du SGG devrait permettre au Sénégal de retrouver le statut A avec un budget de 100 millions en 2021.</w:t>
      </w:r>
    </w:p>
    <w:p w14:paraId="0BE61A2A" w14:textId="7BF6BFA6" w:rsidR="004B7B07" w:rsidRPr="004B7B07" w:rsidRDefault="004B7B07" w:rsidP="004B7B07">
      <w:pPr>
        <w:pStyle w:val="SingleTxtG"/>
        <w:spacing w:before="240" w:after="0"/>
        <w:jc w:val="center"/>
        <w:rPr>
          <w:bCs/>
          <w:iCs/>
          <w:color w:val="000000"/>
          <w:u w:val="single"/>
          <w:lang w:val="fr-FR"/>
        </w:rPr>
      </w:pPr>
      <w:r>
        <w:rPr>
          <w:u w:val="single"/>
          <w:lang w:val="fr-SN" w:eastAsia="es-ES"/>
        </w:rPr>
        <w:tab/>
      </w:r>
      <w:r>
        <w:rPr>
          <w:u w:val="single"/>
          <w:lang w:val="fr-SN" w:eastAsia="es-ES"/>
        </w:rPr>
        <w:tab/>
      </w:r>
      <w:r>
        <w:rPr>
          <w:u w:val="single"/>
          <w:lang w:val="fr-SN" w:eastAsia="es-ES"/>
        </w:rPr>
        <w:tab/>
      </w:r>
      <w:r w:rsidR="00546497">
        <w:rPr>
          <w:u w:val="single"/>
          <w:lang w:val="fr-SN" w:eastAsia="es-ES"/>
        </w:rPr>
        <w:tab/>
      </w:r>
    </w:p>
    <w:sectPr w:rsidR="004B7B07" w:rsidRPr="004B7B07" w:rsidSect="00AE223A">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645BE" w14:textId="77777777" w:rsidR="00A2624D" w:rsidRDefault="00A2624D">
      <w:pPr>
        <w:spacing w:line="240" w:lineRule="auto"/>
      </w:pPr>
    </w:p>
  </w:endnote>
  <w:endnote w:type="continuationSeparator" w:id="0">
    <w:p w14:paraId="44F50B2B" w14:textId="77777777" w:rsidR="00A2624D" w:rsidRDefault="00A2624D">
      <w:pPr>
        <w:pStyle w:val="Pieddepage"/>
      </w:pPr>
    </w:p>
  </w:endnote>
  <w:endnote w:type="continuationNotice" w:id="1">
    <w:p w14:paraId="11291E25" w14:textId="77777777" w:rsidR="00A2624D" w:rsidRDefault="00A262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935BC" w14:textId="0A9A9FD2" w:rsidR="00A234CA" w:rsidRDefault="009F23C6" w:rsidP="005926AE">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65404C">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11BF6" w14:textId="5C006EE2" w:rsidR="00A234CA" w:rsidRPr="005926AE" w:rsidRDefault="00037019" w:rsidP="005926AE">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65404C">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BB371" w14:textId="082C0826" w:rsidR="00A353F9" w:rsidRPr="00A353F9" w:rsidRDefault="00A353F9" w:rsidP="00A353F9">
    <w:pPr>
      <w:pStyle w:val="Pieddepage"/>
      <w:tabs>
        <w:tab w:val="left" w:pos="6520"/>
        <w:tab w:val="right" w:pos="9638"/>
      </w:tabs>
      <w:spacing w:before="120"/>
      <w:rPr>
        <w:sz w:val="20"/>
      </w:rPr>
    </w:pPr>
    <w:r>
      <w:rPr>
        <w:sz w:val="20"/>
      </w:rPr>
      <w:t>GE.22-28663  (F)</w:t>
    </w:r>
    <w:bookmarkStart w:id="20" w:name="_GoBack"/>
    <w:bookmarkEnd w:id="20"/>
    <w:r>
      <w:rPr>
        <w:sz w:val="20"/>
      </w:rPr>
      <w:tab/>
    </w:r>
    <w:r w:rsidRPr="00A353F9">
      <w:rPr>
        <w:noProof/>
        <w:sz w:val="20"/>
        <w:lang w:eastAsia="fr-CH"/>
      </w:rPr>
      <w:drawing>
        <wp:inline distT="0" distB="0" distL="0" distR="0" wp14:anchorId="66001536" wp14:editId="2C3A98C0">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D36D0EB" wp14:editId="269AC94A">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BA937" w14:textId="77777777" w:rsidR="00A2624D" w:rsidRDefault="00A2624D">
      <w:pPr>
        <w:pStyle w:val="Pieddepage"/>
        <w:tabs>
          <w:tab w:val="right" w:pos="2155"/>
        </w:tabs>
        <w:spacing w:after="80" w:line="240" w:lineRule="atLeast"/>
        <w:ind w:left="680"/>
        <w:rPr>
          <w:u w:val="single"/>
        </w:rPr>
      </w:pPr>
      <w:r>
        <w:rPr>
          <w:u w:val="single"/>
        </w:rPr>
        <w:tab/>
      </w:r>
    </w:p>
  </w:footnote>
  <w:footnote w:type="continuationSeparator" w:id="0">
    <w:p w14:paraId="7BD333E4" w14:textId="77777777" w:rsidR="00A2624D" w:rsidRDefault="00A2624D">
      <w:pPr>
        <w:pStyle w:val="Pieddepage"/>
        <w:tabs>
          <w:tab w:val="right" w:pos="2155"/>
        </w:tabs>
        <w:spacing w:after="80" w:line="240" w:lineRule="atLeast"/>
        <w:ind w:left="680"/>
        <w:rPr>
          <w:u w:val="single"/>
        </w:rPr>
      </w:pPr>
      <w:r>
        <w:rPr>
          <w:u w:val="single"/>
        </w:rPr>
        <w:tab/>
      </w:r>
    </w:p>
  </w:footnote>
  <w:footnote w:type="continuationNotice" w:id="1">
    <w:p w14:paraId="2CF5DB46" w14:textId="77777777" w:rsidR="00A2624D" w:rsidRDefault="00A2624D">
      <w:pPr>
        <w:spacing w:line="240" w:lineRule="auto"/>
        <w:rPr>
          <w:sz w:val="2"/>
          <w:szCs w:val="2"/>
        </w:rPr>
      </w:pPr>
    </w:p>
  </w:footnote>
  <w:footnote w:id="2">
    <w:p w14:paraId="26A92A2D" w14:textId="77777777" w:rsidR="000B6E96" w:rsidRPr="00A318C1" w:rsidRDefault="009F23C6" w:rsidP="000B6E96">
      <w:pPr>
        <w:pStyle w:val="Notedebasdepage"/>
      </w:pPr>
      <w:r>
        <w:rPr>
          <w:rStyle w:val="Appelnotedebasdep"/>
        </w:rPr>
        <w:tab/>
      </w:r>
      <w:r w:rsidRPr="00A318C1">
        <w:rPr>
          <w:rStyle w:val="Appelnotedebasdep"/>
          <w:sz w:val="20"/>
          <w:vertAlign w:val="baseline"/>
        </w:rPr>
        <w:t>*</w:t>
      </w:r>
      <w:r>
        <w:rPr>
          <w:rStyle w:val="Appelnotedebasdep"/>
          <w:sz w:val="20"/>
          <w:vertAlign w:val="baseline"/>
        </w:rPr>
        <w:tab/>
      </w:r>
      <w:r w:rsidR="00FE2F8A">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AA9EC" w14:textId="77777777" w:rsidR="003959C6" w:rsidRDefault="00037019">
    <w:pPr>
      <w:pStyle w:val="En-tte"/>
    </w:pPr>
    <w:r>
      <w:t>CAT/C/SEN/5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B7F0" w14:textId="77777777" w:rsidR="003959C6" w:rsidRDefault="00037019">
    <w:pPr>
      <w:pStyle w:val="En-tte"/>
      <w:jc w:val="right"/>
    </w:pPr>
    <w:r>
      <w:t>CAT/C/SEN/5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5A2CBC18"/>
    <w:lvl w:ilvl="0" w:tplc="4120C4DA">
      <w:start w:val="1"/>
      <w:numFmt w:val="bullet"/>
      <w:lvlText w:val="-"/>
      <w:lvlJc w:val="left"/>
      <w:pPr>
        <w:tabs>
          <w:tab w:val="num" w:pos="720"/>
        </w:tabs>
        <w:ind w:left="720" w:hanging="360"/>
      </w:pPr>
      <w:rPr>
        <w:rFonts w:ascii="Times New Roman" w:hAnsi="Times New Roman" w:hint="default"/>
      </w:rPr>
    </w:lvl>
    <w:lvl w:ilvl="1" w:tplc="58C03614">
      <w:start w:val="1"/>
      <w:numFmt w:val="bullet"/>
      <w:lvlRestart w:val="0"/>
      <w:lvlText w:val="-"/>
      <w:lvlJc w:val="left"/>
      <w:pPr>
        <w:tabs>
          <w:tab w:val="num" w:pos="1440"/>
        </w:tabs>
        <w:ind w:left="1440" w:hanging="360"/>
      </w:pPr>
      <w:rPr>
        <w:rFonts w:ascii="Times New Roman" w:hAnsi="Times New Roman" w:hint="default"/>
      </w:rPr>
    </w:lvl>
    <w:lvl w:ilvl="2" w:tplc="03A8AB2A">
      <w:start w:val="1"/>
      <w:numFmt w:val="bullet"/>
      <w:lvlRestart w:val="0"/>
      <w:lvlText w:val="-"/>
      <w:lvlJc w:val="left"/>
      <w:pPr>
        <w:tabs>
          <w:tab w:val="num" w:pos="2160"/>
        </w:tabs>
        <w:ind w:left="2160" w:hanging="360"/>
      </w:pPr>
      <w:rPr>
        <w:rFonts w:ascii="Times New Roman" w:hAnsi="Times New Roman" w:hint="default"/>
      </w:rPr>
    </w:lvl>
    <w:lvl w:ilvl="3" w:tplc="1D9E987E">
      <w:start w:val="1"/>
      <w:numFmt w:val="bullet"/>
      <w:lvlRestart w:val="0"/>
      <w:lvlText w:val="-"/>
      <w:lvlJc w:val="left"/>
      <w:pPr>
        <w:tabs>
          <w:tab w:val="num" w:pos="2880"/>
        </w:tabs>
        <w:ind w:left="2880" w:hanging="360"/>
      </w:pPr>
      <w:rPr>
        <w:rFonts w:ascii="Times New Roman" w:hAnsi="Times New Roman" w:hint="default"/>
      </w:rPr>
    </w:lvl>
    <w:lvl w:ilvl="4" w:tplc="A2BC9618">
      <w:start w:val="1"/>
      <w:numFmt w:val="bullet"/>
      <w:lvlRestart w:val="0"/>
      <w:lvlText w:val="-"/>
      <w:lvlJc w:val="left"/>
      <w:pPr>
        <w:tabs>
          <w:tab w:val="num" w:pos="3600"/>
        </w:tabs>
        <w:ind w:left="3600" w:hanging="360"/>
      </w:pPr>
      <w:rPr>
        <w:rFonts w:ascii="Times New Roman" w:hAnsi="Times New Roman" w:hint="default"/>
      </w:rPr>
    </w:lvl>
    <w:lvl w:ilvl="5" w:tplc="8B3E63D8">
      <w:start w:val="1"/>
      <w:numFmt w:val="bullet"/>
      <w:lvlRestart w:val="0"/>
      <w:lvlText w:val="-"/>
      <w:lvlJc w:val="left"/>
      <w:pPr>
        <w:tabs>
          <w:tab w:val="num" w:pos="4320"/>
        </w:tabs>
        <w:ind w:left="4320" w:hanging="360"/>
      </w:pPr>
      <w:rPr>
        <w:rFonts w:ascii="Times New Roman" w:hAnsi="Times New Roman" w:hint="default"/>
      </w:rPr>
    </w:lvl>
    <w:lvl w:ilvl="6" w:tplc="B448E13A">
      <w:start w:val="1"/>
      <w:numFmt w:val="bullet"/>
      <w:lvlRestart w:val="0"/>
      <w:lvlText w:val="-"/>
      <w:lvlJc w:val="left"/>
      <w:pPr>
        <w:tabs>
          <w:tab w:val="num" w:pos="5040"/>
        </w:tabs>
        <w:ind w:left="5040" w:hanging="360"/>
      </w:pPr>
      <w:rPr>
        <w:rFonts w:ascii="Times New Roman" w:hAnsi="Times New Roman" w:hint="default"/>
      </w:rPr>
    </w:lvl>
    <w:lvl w:ilvl="7" w:tplc="0538779C">
      <w:start w:val="1"/>
      <w:numFmt w:val="bullet"/>
      <w:lvlRestart w:val="0"/>
      <w:lvlText w:val="-"/>
      <w:lvlJc w:val="left"/>
      <w:pPr>
        <w:tabs>
          <w:tab w:val="num" w:pos="5760"/>
        </w:tabs>
        <w:ind w:left="5760" w:hanging="360"/>
      </w:pPr>
      <w:rPr>
        <w:rFonts w:ascii="Times New Roman" w:hAnsi="Times New Roman" w:hint="default"/>
      </w:rPr>
    </w:lvl>
    <w:lvl w:ilvl="8" w:tplc="3D3442A6">
      <w:start w:val="1"/>
      <w:numFmt w:val="bullet"/>
      <w:lvlRestart w:val="0"/>
      <w:lvlText w:val="-"/>
      <w:lvlJc w:val="left"/>
      <w:pPr>
        <w:tabs>
          <w:tab w:val="num" w:pos="6480"/>
        </w:tabs>
        <w:ind w:left="6480" w:hanging="360"/>
      </w:pPr>
      <w:rPr>
        <w:rFonts w:ascii="Times New Roman" w:hAnsi="Times New Roman" w:hint="default"/>
      </w:rPr>
    </w:lvl>
  </w:abstractNum>
  <w:abstractNum w:abstractNumId="11" w15:restartNumberingAfterBreak="0">
    <w:nsid w:val="01457252"/>
    <w:multiLevelType w:val="hybridMultilevel"/>
    <w:tmpl w:val="F08AA0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BEC13C5"/>
    <w:multiLevelType w:val="hybridMultilevel"/>
    <w:tmpl w:val="54603D7C"/>
    <w:lvl w:ilvl="0" w:tplc="280C0005">
      <w:start w:val="1"/>
      <w:numFmt w:val="bullet"/>
      <w:lvlText w:val=""/>
      <w:lvlJc w:val="left"/>
      <w:pPr>
        <w:ind w:left="780" w:hanging="360"/>
      </w:pPr>
      <w:rPr>
        <w:rFonts w:ascii="Wingdings" w:hAnsi="Wingdings" w:hint="default"/>
      </w:rPr>
    </w:lvl>
    <w:lvl w:ilvl="1" w:tplc="040C0003">
      <w:start w:val="1"/>
      <w:numFmt w:val="bullet"/>
      <w:lvlText w:val="o"/>
      <w:lvlJc w:val="left"/>
      <w:pPr>
        <w:ind w:left="1500" w:hanging="360"/>
      </w:pPr>
      <w:rPr>
        <w:rFonts w:ascii="Courier New" w:hAnsi="Courier New" w:cs="Courier New" w:hint="default"/>
      </w:rPr>
    </w:lvl>
    <w:lvl w:ilvl="2" w:tplc="040C0005">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15:restartNumberingAfterBreak="0">
    <w:nsid w:val="0D954887"/>
    <w:multiLevelType w:val="hybridMultilevel"/>
    <w:tmpl w:val="00C261A2"/>
    <w:lvl w:ilvl="0" w:tplc="E20A2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2E9AA8" w:tentative="1">
      <w:start w:val="1"/>
      <w:numFmt w:val="lowerLetter"/>
      <w:lvlText w:val="%2."/>
      <w:lvlJc w:val="left"/>
      <w:pPr>
        <w:tabs>
          <w:tab w:val="num" w:pos="1440"/>
        </w:tabs>
        <w:ind w:left="1440" w:hanging="360"/>
      </w:pPr>
    </w:lvl>
    <w:lvl w:ilvl="2" w:tplc="B4024666" w:tentative="1">
      <w:start w:val="1"/>
      <w:numFmt w:val="lowerRoman"/>
      <w:lvlText w:val="%3."/>
      <w:lvlJc w:val="right"/>
      <w:pPr>
        <w:tabs>
          <w:tab w:val="num" w:pos="2160"/>
        </w:tabs>
        <w:ind w:left="2160" w:hanging="180"/>
      </w:pPr>
    </w:lvl>
    <w:lvl w:ilvl="3" w:tplc="38044A50" w:tentative="1">
      <w:start w:val="1"/>
      <w:numFmt w:val="decimal"/>
      <w:lvlText w:val="%4."/>
      <w:lvlJc w:val="left"/>
      <w:pPr>
        <w:tabs>
          <w:tab w:val="num" w:pos="2880"/>
        </w:tabs>
        <w:ind w:left="2880" w:hanging="360"/>
      </w:pPr>
    </w:lvl>
    <w:lvl w:ilvl="4" w:tplc="691265A4" w:tentative="1">
      <w:start w:val="1"/>
      <w:numFmt w:val="lowerLetter"/>
      <w:lvlText w:val="%5."/>
      <w:lvlJc w:val="left"/>
      <w:pPr>
        <w:tabs>
          <w:tab w:val="num" w:pos="3600"/>
        </w:tabs>
        <w:ind w:left="3600" w:hanging="360"/>
      </w:pPr>
    </w:lvl>
    <w:lvl w:ilvl="5" w:tplc="C30E9924" w:tentative="1">
      <w:start w:val="1"/>
      <w:numFmt w:val="lowerRoman"/>
      <w:lvlText w:val="%6."/>
      <w:lvlJc w:val="right"/>
      <w:pPr>
        <w:tabs>
          <w:tab w:val="num" w:pos="4320"/>
        </w:tabs>
        <w:ind w:left="4320" w:hanging="180"/>
      </w:pPr>
    </w:lvl>
    <w:lvl w:ilvl="6" w:tplc="6286361E" w:tentative="1">
      <w:start w:val="1"/>
      <w:numFmt w:val="decimal"/>
      <w:lvlText w:val="%7."/>
      <w:lvlJc w:val="left"/>
      <w:pPr>
        <w:tabs>
          <w:tab w:val="num" w:pos="5040"/>
        </w:tabs>
        <w:ind w:left="5040" w:hanging="360"/>
      </w:pPr>
    </w:lvl>
    <w:lvl w:ilvl="7" w:tplc="7700C4C6" w:tentative="1">
      <w:start w:val="1"/>
      <w:numFmt w:val="lowerLetter"/>
      <w:lvlText w:val="%8."/>
      <w:lvlJc w:val="left"/>
      <w:pPr>
        <w:tabs>
          <w:tab w:val="num" w:pos="5760"/>
        </w:tabs>
        <w:ind w:left="5760" w:hanging="360"/>
      </w:pPr>
    </w:lvl>
    <w:lvl w:ilvl="8" w:tplc="69F8BA1C" w:tentative="1">
      <w:start w:val="1"/>
      <w:numFmt w:val="lowerRoman"/>
      <w:lvlText w:val="%9."/>
      <w:lvlJc w:val="right"/>
      <w:pPr>
        <w:tabs>
          <w:tab w:val="num" w:pos="6480"/>
        </w:tabs>
        <w:ind w:left="6480" w:hanging="180"/>
      </w:pPr>
    </w:lvl>
  </w:abstractNum>
  <w:abstractNum w:abstractNumId="14" w15:restartNumberingAfterBreak="0">
    <w:nsid w:val="13BE1143"/>
    <w:multiLevelType w:val="hybridMultilevel"/>
    <w:tmpl w:val="DA42A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F85003"/>
    <w:multiLevelType w:val="multilevel"/>
    <w:tmpl w:val="7322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131BF0"/>
    <w:multiLevelType w:val="hybridMultilevel"/>
    <w:tmpl w:val="E7BC9DBC"/>
    <w:lvl w:ilvl="0" w:tplc="A78AC6DA">
      <w:start w:val="1"/>
      <w:numFmt w:val="bullet"/>
      <w:lvlText w:val="•"/>
      <w:lvlJc w:val="left"/>
      <w:pPr>
        <w:tabs>
          <w:tab w:val="num" w:pos="720"/>
        </w:tabs>
        <w:ind w:left="720" w:hanging="360"/>
      </w:pPr>
      <w:rPr>
        <w:rFonts w:ascii="Arial" w:hAnsi="Arial" w:hint="default"/>
      </w:rPr>
    </w:lvl>
    <w:lvl w:ilvl="1" w:tplc="4DDA2956" w:tentative="1">
      <w:start w:val="1"/>
      <w:numFmt w:val="bullet"/>
      <w:lvlText w:val="•"/>
      <w:lvlJc w:val="left"/>
      <w:pPr>
        <w:tabs>
          <w:tab w:val="num" w:pos="1440"/>
        </w:tabs>
        <w:ind w:left="1440" w:hanging="360"/>
      </w:pPr>
      <w:rPr>
        <w:rFonts w:ascii="Arial" w:hAnsi="Arial" w:hint="default"/>
      </w:rPr>
    </w:lvl>
    <w:lvl w:ilvl="2" w:tplc="0CAA4702" w:tentative="1">
      <w:start w:val="1"/>
      <w:numFmt w:val="bullet"/>
      <w:lvlText w:val="•"/>
      <w:lvlJc w:val="left"/>
      <w:pPr>
        <w:tabs>
          <w:tab w:val="num" w:pos="2160"/>
        </w:tabs>
        <w:ind w:left="2160" w:hanging="360"/>
      </w:pPr>
      <w:rPr>
        <w:rFonts w:ascii="Arial" w:hAnsi="Arial" w:hint="default"/>
      </w:rPr>
    </w:lvl>
    <w:lvl w:ilvl="3" w:tplc="9D0EC70A" w:tentative="1">
      <w:start w:val="1"/>
      <w:numFmt w:val="bullet"/>
      <w:lvlText w:val="•"/>
      <w:lvlJc w:val="left"/>
      <w:pPr>
        <w:tabs>
          <w:tab w:val="num" w:pos="2880"/>
        </w:tabs>
        <w:ind w:left="2880" w:hanging="360"/>
      </w:pPr>
      <w:rPr>
        <w:rFonts w:ascii="Arial" w:hAnsi="Arial" w:hint="default"/>
      </w:rPr>
    </w:lvl>
    <w:lvl w:ilvl="4" w:tplc="5156AEC6" w:tentative="1">
      <w:start w:val="1"/>
      <w:numFmt w:val="bullet"/>
      <w:lvlText w:val="•"/>
      <w:lvlJc w:val="left"/>
      <w:pPr>
        <w:tabs>
          <w:tab w:val="num" w:pos="3600"/>
        </w:tabs>
        <w:ind w:left="3600" w:hanging="360"/>
      </w:pPr>
      <w:rPr>
        <w:rFonts w:ascii="Arial" w:hAnsi="Arial" w:hint="default"/>
      </w:rPr>
    </w:lvl>
    <w:lvl w:ilvl="5" w:tplc="9382865E" w:tentative="1">
      <w:start w:val="1"/>
      <w:numFmt w:val="bullet"/>
      <w:lvlText w:val="•"/>
      <w:lvlJc w:val="left"/>
      <w:pPr>
        <w:tabs>
          <w:tab w:val="num" w:pos="4320"/>
        </w:tabs>
        <w:ind w:left="4320" w:hanging="360"/>
      </w:pPr>
      <w:rPr>
        <w:rFonts w:ascii="Arial" w:hAnsi="Arial" w:hint="default"/>
      </w:rPr>
    </w:lvl>
    <w:lvl w:ilvl="6" w:tplc="2306F400" w:tentative="1">
      <w:start w:val="1"/>
      <w:numFmt w:val="bullet"/>
      <w:lvlText w:val="•"/>
      <w:lvlJc w:val="left"/>
      <w:pPr>
        <w:tabs>
          <w:tab w:val="num" w:pos="5040"/>
        </w:tabs>
        <w:ind w:left="5040" w:hanging="360"/>
      </w:pPr>
      <w:rPr>
        <w:rFonts w:ascii="Arial" w:hAnsi="Arial" w:hint="default"/>
      </w:rPr>
    </w:lvl>
    <w:lvl w:ilvl="7" w:tplc="460EFDB2" w:tentative="1">
      <w:start w:val="1"/>
      <w:numFmt w:val="bullet"/>
      <w:lvlText w:val="•"/>
      <w:lvlJc w:val="left"/>
      <w:pPr>
        <w:tabs>
          <w:tab w:val="num" w:pos="5760"/>
        </w:tabs>
        <w:ind w:left="5760" w:hanging="360"/>
      </w:pPr>
      <w:rPr>
        <w:rFonts w:ascii="Arial" w:hAnsi="Arial" w:hint="default"/>
      </w:rPr>
    </w:lvl>
    <w:lvl w:ilvl="8" w:tplc="472CE9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99B48CD"/>
    <w:multiLevelType w:val="multilevel"/>
    <w:tmpl w:val="489C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9F766D"/>
    <w:multiLevelType w:val="hybridMultilevel"/>
    <w:tmpl w:val="F47CEA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B51786C"/>
    <w:multiLevelType w:val="hybridMultilevel"/>
    <w:tmpl w:val="4740E5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391E04EF"/>
    <w:multiLevelType w:val="hybridMultilevel"/>
    <w:tmpl w:val="ED20648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3ACF4EB2"/>
    <w:multiLevelType w:val="hybridMultilevel"/>
    <w:tmpl w:val="DE367D72"/>
    <w:lvl w:ilvl="0" w:tplc="335251BA">
      <w:start w:val="1"/>
      <w:numFmt w:val="bullet"/>
      <w:pStyle w:val="Bullet2G"/>
      <w:lvlText w:val="•"/>
      <w:lvlJc w:val="left"/>
      <w:pPr>
        <w:tabs>
          <w:tab w:val="num" w:pos="2268"/>
        </w:tabs>
        <w:ind w:left="2268" w:hanging="170"/>
      </w:pPr>
      <w:rPr>
        <w:rFonts w:ascii="Times New Roman" w:hAnsi="Times New Roman" w:cs="Times New Roman" w:hint="default"/>
      </w:rPr>
    </w:lvl>
    <w:lvl w:ilvl="1" w:tplc="C6EE2FDA" w:tentative="1">
      <w:start w:val="1"/>
      <w:numFmt w:val="bullet"/>
      <w:lvlText w:val="o"/>
      <w:lvlJc w:val="left"/>
      <w:pPr>
        <w:tabs>
          <w:tab w:val="num" w:pos="3708"/>
        </w:tabs>
        <w:ind w:left="3708" w:hanging="360"/>
      </w:pPr>
      <w:rPr>
        <w:rFonts w:ascii="Courier New" w:hAnsi="Courier New" w:hint="default"/>
      </w:rPr>
    </w:lvl>
    <w:lvl w:ilvl="2" w:tplc="1CD2E47A" w:tentative="1">
      <w:start w:val="1"/>
      <w:numFmt w:val="bullet"/>
      <w:lvlText w:val=""/>
      <w:lvlJc w:val="left"/>
      <w:pPr>
        <w:tabs>
          <w:tab w:val="num" w:pos="4428"/>
        </w:tabs>
        <w:ind w:left="4428" w:hanging="360"/>
      </w:pPr>
      <w:rPr>
        <w:rFonts w:ascii="Wingdings" w:hAnsi="Wingdings" w:hint="default"/>
      </w:rPr>
    </w:lvl>
    <w:lvl w:ilvl="3" w:tplc="C7443618" w:tentative="1">
      <w:start w:val="1"/>
      <w:numFmt w:val="bullet"/>
      <w:lvlText w:val=""/>
      <w:lvlJc w:val="left"/>
      <w:pPr>
        <w:tabs>
          <w:tab w:val="num" w:pos="5148"/>
        </w:tabs>
        <w:ind w:left="5148" w:hanging="360"/>
      </w:pPr>
      <w:rPr>
        <w:rFonts w:ascii="Symbol" w:hAnsi="Symbol" w:hint="default"/>
      </w:rPr>
    </w:lvl>
    <w:lvl w:ilvl="4" w:tplc="82080B1C" w:tentative="1">
      <w:start w:val="1"/>
      <w:numFmt w:val="bullet"/>
      <w:lvlText w:val="o"/>
      <w:lvlJc w:val="left"/>
      <w:pPr>
        <w:tabs>
          <w:tab w:val="num" w:pos="5868"/>
        </w:tabs>
        <w:ind w:left="5868" w:hanging="360"/>
      </w:pPr>
      <w:rPr>
        <w:rFonts w:ascii="Courier New" w:hAnsi="Courier New" w:hint="default"/>
      </w:rPr>
    </w:lvl>
    <w:lvl w:ilvl="5" w:tplc="7FB8594A" w:tentative="1">
      <w:start w:val="1"/>
      <w:numFmt w:val="bullet"/>
      <w:lvlText w:val=""/>
      <w:lvlJc w:val="left"/>
      <w:pPr>
        <w:tabs>
          <w:tab w:val="num" w:pos="6588"/>
        </w:tabs>
        <w:ind w:left="6588" w:hanging="360"/>
      </w:pPr>
      <w:rPr>
        <w:rFonts w:ascii="Wingdings" w:hAnsi="Wingdings" w:hint="default"/>
      </w:rPr>
    </w:lvl>
    <w:lvl w:ilvl="6" w:tplc="BFCEBDDC" w:tentative="1">
      <w:start w:val="1"/>
      <w:numFmt w:val="bullet"/>
      <w:lvlText w:val=""/>
      <w:lvlJc w:val="left"/>
      <w:pPr>
        <w:tabs>
          <w:tab w:val="num" w:pos="7308"/>
        </w:tabs>
        <w:ind w:left="7308" w:hanging="360"/>
      </w:pPr>
      <w:rPr>
        <w:rFonts w:ascii="Symbol" w:hAnsi="Symbol" w:hint="default"/>
      </w:rPr>
    </w:lvl>
    <w:lvl w:ilvl="7" w:tplc="4D38E3AC" w:tentative="1">
      <w:start w:val="1"/>
      <w:numFmt w:val="bullet"/>
      <w:lvlText w:val="o"/>
      <w:lvlJc w:val="left"/>
      <w:pPr>
        <w:tabs>
          <w:tab w:val="num" w:pos="8028"/>
        </w:tabs>
        <w:ind w:left="8028" w:hanging="360"/>
      </w:pPr>
      <w:rPr>
        <w:rFonts w:ascii="Courier New" w:hAnsi="Courier New" w:hint="default"/>
      </w:rPr>
    </w:lvl>
    <w:lvl w:ilvl="8" w:tplc="EE524AB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38034C"/>
    <w:multiLevelType w:val="hybridMultilevel"/>
    <w:tmpl w:val="3EF470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709331D"/>
    <w:multiLevelType w:val="hybridMultilevel"/>
    <w:tmpl w:val="467A1B82"/>
    <w:lvl w:ilvl="0" w:tplc="040C0005">
      <w:start w:val="1"/>
      <w:numFmt w:val="bullet"/>
      <w:lvlText w:val=""/>
      <w:lvlJc w:val="left"/>
      <w:pPr>
        <w:ind w:left="1468" w:hanging="360"/>
      </w:pPr>
      <w:rPr>
        <w:rFonts w:ascii="Wingdings" w:hAnsi="Wingdings" w:hint="default"/>
      </w:rPr>
    </w:lvl>
    <w:lvl w:ilvl="1" w:tplc="040C0003" w:tentative="1">
      <w:start w:val="1"/>
      <w:numFmt w:val="bullet"/>
      <w:lvlText w:val="o"/>
      <w:lvlJc w:val="left"/>
      <w:pPr>
        <w:ind w:left="2188" w:hanging="360"/>
      </w:pPr>
      <w:rPr>
        <w:rFonts w:ascii="Courier New" w:hAnsi="Courier New" w:cs="Courier New" w:hint="default"/>
      </w:rPr>
    </w:lvl>
    <w:lvl w:ilvl="2" w:tplc="040C0005" w:tentative="1">
      <w:start w:val="1"/>
      <w:numFmt w:val="bullet"/>
      <w:lvlText w:val=""/>
      <w:lvlJc w:val="left"/>
      <w:pPr>
        <w:ind w:left="2908" w:hanging="360"/>
      </w:pPr>
      <w:rPr>
        <w:rFonts w:ascii="Wingdings" w:hAnsi="Wingdings" w:hint="default"/>
      </w:rPr>
    </w:lvl>
    <w:lvl w:ilvl="3" w:tplc="040C0001" w:tentative="1">
      <w:start w:val="1"/>
      <w:numFmt w:val="bullet"/>
      <w:lvlText w:val=""/>
      <w:lvlJc w:val="left"/>
      <w:pPr>
        <w:ind w:left="3628" w:hanging="360"/>
      </w:pPr>
      <w:rPr>
        <w:rFonts w:ascii="Symbol" w:hAnsi="Symbol" w:hint="default"/>
      </w:rPr>
    </w:lvl>
    <w:lvl w:ilvl="4" w:tplc="040C0003" w:tentative="1">
      <w:start w:val="1"/>
      <w:numFmt w:val="bullet"/>
      <w:lvlText w:val="o"/>
      <w:lvlJc w:val="left"/>
      <w:pPr>
        <w:ind w:left="4348" w:hanging="360"/>
      </w:pPr>
      <w:rPr>
        <w:rFonts w:ascii="Courier New" w:hAnsi="Courier New" w:cs="Courier New" w:hint="default"/>
      </w:rPr>
    </w:lvl>
    <w:lvl w:ilvl="5" w:tplc="040C0005" w:tentative="1">
      <w:start w:val="1"/>
      <w:numFmt w:val="bullet"/>
      <w:lvlText w:val=""/>
      <w:lvlJc w:val="left"/>
      <w:pPr>
        <w:ind w:left="5068" w:hanging="360"/>
      </w:pPr>
      <w:rPr>
        <w:rFonts w:ascii="Wingdings" w:hAnsi="Wingdings" w:hint="default"/>
      </w:rPr>
    </w:lvl>
    <w:lvl w:ilvl="6" w:tplc="040C0001" w:tentative="1">
      <w:start w:val="1"/>
      <w:numFmt w:val="bullet"/>
      <w:lvlText w:val=""/>
      <w:lvlJc w:val="left"/>
      <w:pPr>
        <w:ind w:left="5788" w:hanging="360"/>
      </w:pPr>
      <w:rPr>
        <w:rFonts w:ascii="Symbol" w:hAnsi="Symbol" w:hint="default"/>
      </w:rPr>
    </w:lvl>
    <w:lvl w:ilvl="7" w:tplc="040C0003" w:tentative="1">
      <w:start w:val="1"/>
      <w:numFmt w:val="bullet"/>
      <w:lvlText w:val="o"/>
      <w:lvlJc w:val="left"/>
      <w:pPr>
        <w:ind w:left="6508" w:hanging="360"/>
      </w:pPr>
      <w:rPr>
        <w:rFonts w:ascii="Courier New" w:hAnsi="Courier New" w:cs="Courier New" w:hint="default"/>
      </w:rPr>
    </w:lvl>
    <w:lvl w:ilvl="8" w:tplc="040C0005" w:tentative="1">
      <w:start w:val="1"/>
      <w:numFmt w:val="bullet"/>
      <w:lvlText w:val=""/>
      <w:lvlJc w:val="left"/>
      <w:pPr>
        <w:ind w:left="7228" w:hanging="360"/>
      </w:pPr>
      <w:rPr>
        <w:rFonts w:ascii="Wingdings" w:hAnsi="Wingdings" w:hint="default"/>
      </w:rPr>
    </w:lvl>
  </w:abstractNum>
  <w:abstractNum w:abstractNumId="24" w15:restartNumberingAfterBreak="0">
    <w:nsid w:val="583C30BD"/>
    <w:multiLevelType w:val="hybridMultilevel"/>
    <w:tmpl w:val="37E81C56"/>
    <w:lvl w:ilvl="0" w:tplc="A3E62A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9B714B6"/>
    <w:multiLevelType w:val="hybridMultilevel"/>
    <w:tmpl w:val="96C226C8"/>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26" w15:restartNumberingAfterBreak="0">
    <w:nsid w:val="64596F6B"/>
    <w:multiLevelType w:val="hybridMultilevel"/>
    <w:tmpl w:val="5F8CD9E2"/>
    <w:lvl w:ilvl="0" w:tplc="4A2E3DF8">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18DAD04E"/>
    <w:lvl w:ilvl="0" w:tplc="3C4E0ADE">
      <w:start w:val="1"/>
      <w:numFmt w:val="bullet"/>
      <w:pStyle w:val="Bullet1G"/>
      <w:lvlText w:val="•"/>
      <w:lvlJc w:val="left"/>
      <w:pPr>
        <w:tabs>
          <w:tab w:val="num" w:pos="1701"/>
        </w:tabs>
        <w:ind w:left="1701" w:hanging="170"/>
      </w:pPr>
      <w:rPr>
        <w:rFonts w:ascii="Times New Roman" w:hAnsi="Times New Roman" w:cs="Times New Roman" w:hint="default"/>
      </w:rPr>
    </w:lvl>
    <w:lvl w:ilvl="1" w:tplc="247ACDB8" w:tentative="1">
      <w:start w:val="1"/>
      <w:numFmt w:val="bullet"/>
      <w:lvlText w:val="o"/>
      <w:lvlJc w:val="left"/>
      <w:pPr>
        <w:tabs>
          <w:tab w:val="num" w:pos="3141"/>
        </w:tabs>
        <w:ind w:left="3141" w:hanging="360"/>
      </w:pPr>
      <w:rPr>
        <w:rFonts w:ascii="Courier New" w:hAnsi="Courier New" w:hint="default"/>
      </w:rPr>
    </w:lvl>
    <w:lvl w:ilvl="2" w:tplc="A356894E" w:tentative="1">
      <w:start w:val="1"/>
      <w:numFmt w:val="bullet"/>
      <w:lvlText w:val=""/>
      <w:lvlJc w:val="left"/>
      <w:pPr>
        <w:tabs>
          <w:tab w:val="num" w:pos="3861"/>
        </w:tabs>
        <w:ind w:left="3861" w:hanging="360"/>
      </w:pPr>
      <w:rPr>
        <w:rFonts w:ascii="Wingdings" w:hAnsi="Wingdings" w:hint="default"/>
      </w:rPr>
    </w:lvl>
    <w:lvl w:ilvl="3" w:tplc="EAA2E550" w:tentative="1">
      <w:start w:val="1"/>
      <w:numFmt w:val="bullet"/>
      <w:lvlText w:val=""/>
      <w:lvlJc w:val="left"/>
      <w:pPr>
        <w:tabs>
          <w:tab w:val="num" w:pos="4581"/>
        </w:tabs>
        <w:ind w:left="4581" w:hanging="360"/>
      </w:pPr>
      <w:rPr>
        <w:rFonts w:ascii="Symbol" w:hAnsi="Symbol" w:hint="default"/>
      </w:rPr>
    </w:lvl>
    <w:lvl w:ilvl="4" w:tplc="C2D4F140" w:tentative="1">
      <w:start w:val="1"/>
      <w:numFmt w:val="bullet"/>
      <w:lvlText w:val="o"/>
      <w:lvlJc w:val="left"/>
      <w:pPr>
        <w:tabs>
          <w:tab w:val="num" w:pos="5301"/>
        </w:tabs>
        <w:ind w:left="5301" w:hanging="360"/>
      </w:pPr>
      <w:rPr>
        <w:rFonts w:ascii="Courier New" w:hAnsi="Courier New" w:hint="default"/>
      </w:rPr>
    </w:lvl>
    <w:lvl w:ilvl="5" w:tplc="EED29258" w:tentative="1">
      <w:start w:val="1"/>
      <w:numFmt w:val="bullet"/>
      <w:lvlText w:val=""/>
      <w:lvlJc w:val="left"/>
      <w:pPr>
        <w:tabs>
          <w:tab w:val="num" w:pos="6021"/>
        </w:tabs>
        <w:ind w:left="6021" w:hanging="360"/>
      </w:pPr>
      <w:rPr>
        <w:rFonts w:ascii="Wingdings" w:hAnsi="Wingdings" w:hint="default"/>
      </w:rPr>
    </w:lvl>
    <w:lvl w:ilvl="6" w:tplc="DF4C0C2C" w:tentative="1">
      <w:start w:val="1"/>
      <w:numFmt w:val="bullet"/>
      <w:lvlText w:val=""/>
      <w:lvlJc w:val="left"/>
      <w:pPr>
        <w:tabs>
          <w:tab w:val="num" w:pos="6741"/>
        </w:tabs>
        <w:ind w:left="6741" w:hanging="360"/>
      </w:pPr>
      <w:rPr>
        <w:rFonts w:ascii="Symbol" w:hAnsi="Symbol" w:hint="default"/>
      </w:rPr>
    </w:lvl>
    <w:lvl w:ilvl="7" w:tplc="58E49EC2" w:tentative="1">
      <w:start w:val="1"/>
      <w:numFmt w:val="bullet"/>
      <w:lvlText w:val="o"/>
      <w:lvlJc w:val="left"/>
      <w:pPr>
        <w:tabs>
          <w:tab w:val="num" w:pos="7461"/>
        </w:tabs>
        <w:ind w:left="7461" w:hanging="360"/>
      </w:pPr>
      <w:rPr>
        <w:rFonts w:ascii="Courier New" w:hAnsi="Courier New" w:hint="default"/>
      </w:rPr>
    </w:lvl>
    <w:lvl w:ilvl="8" w:tplc="29A28A1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C1367C3"/>
    <w:multiLevelType w:val="hybridMultilevel"/>
    <w:tmpl w:val="B9C67552"/>
    <w:lvl w:ilvl="0" w:tplc="4A2E3DF8">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E5D2584"/>
    <w:multiLevelType w:val="multilevel"/>
    <w:tmpl w:val="D0C4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AE685E"/>
    <w:multiLevelType w:val="hybridMultilevel"/>
    <w:tmpl w:val="6FFC70B6"/>
    <w:lvl w:ilvl="0" w:tplc="63FC3F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D957AF"/>
    <w:multiLevelType w:val="multilevel"/>
    <w:tmpl w:val="556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0646EC"/>
    <w:multiLevelType w:val="hybridMultilevel"/>
    <w:tmpl w:val="3684CEAA"/>
    <w:lvl w:ilvl="0" w:tplc="040C0001">
      <w:start w:val="1"/>
      <w:numFmt w:val="bullet"/>
      <w:lvlText w:val=""/>
      <w:lvlJc w:val="left"/>
      <w:pPr>
        <w:ind w:left="2138" w:hanging="360"/>
      </w:pPr>
      <w:rPr>
        <w:rFonts w:ascii="Symbol" w:hAnsi="Symbol"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3" w15:restartNumberingAfterBreak="0">
    <w:nsid w:val="7B165245"/>
    <w:multiLevelType w:val="hybridMultilevel"/>
    <w:tmpl w:val="F0E63434"/>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num w:numId="1">
    <w:abstractNumId w:val="27"/>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1"/>
  </w:num>
  <w:num w:numId="16">
    <w:abstractNumId w:val="13"/>
  </w:num>
  <w:num w:numId="17">
    <w:abstractNumId w:val="30"/>
  </w:num>
  <w:num w:numId="18">
    <w:abstractNumId w:val="10"/>
  </w:num>
  <w:num w:numId="19">
    <w:abstractNumId w:val="19"/>
  </w:num>
  <w:num w:numId="20">
    <w:abstractNumId w:val="20"/>
  </w:num>
  <w:num w:numId="21">
    <w:abstractNumId w:val="18"/>
  </w:num>
  <w:num w:numId="22">
    <w:abstractNumId w:val="23"/>
  </w:num>
  <w:num w:numId="23">
    <w:abstractNumId w:val="32"/>
  </w:num>
  <w:num w:numId="24">
    <w:abstractNumId w:val="11"/>
  </w:num>
  <w:num w:numId="25">
    <w:abstractNumId w:val="16"/>
  </w:num>
  <w:num w:numId="26">
    <w:abstractNumId w:val="22"/>
  </w:num>
  <w:num w:numId="27">
    <w:abstractNumId w:val="12"/>
  </w:num>
  <w:num w:numId="28">
    <w:abstractNumId w:val="33"/>
  </w:num>
  <w:num w:numId="29">
    <w:abstractNumId w:val="26"/>
  </w:num>
  <w:num w:numId="30">
    <w:abstractNumId w:val="28"/>
  </w:num>
  <w:num w:numId="31">
    <w:abstractNumId w:val="25"/>
  </w:num>
  <w:num w:numId="32">
    <w:abstractNumId w:val="24"/>
  </w:num>
  <w:num w:numId="33">
    <w:abstractNumId w:val="31"/>
  </w:num>
  <w:num w:numId="34">
    <w:abstractNumId w:val="17"/>
  </w:num>
  <w:num w:numId="35">
    <w:abstractNumId w:val="15"/>
  </w:num>
  <w:num w:numId="36">
    <w:abstractNumId w:val="29"/>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9C6"/>
    <w:rsid w:val="00037019"/>
    <w:rsid w:val="000B6E96"/>
    <w:rsid w:val="000F7D10"/>
    <w:rsid w:val="001209CF"/>
    <w:rsid w:val="00132E09"/>
    <w:rsid w:val="0013795C"/>
    <w:rsid w:val="00146BDA"/>
    <w:rsid w:val="00171EF4"/>
    <w:rsid w:val="00222C31"/>
    <w:rsid w:val="002E0541"/>
    <w:rsid w:val="002E4D94"/>
    <w:rsid w:val="002F6E06"/>
    <w:rsid w:val="003562DE"/>
    <w:rsid w:val="003959C6"/>
    <w:rsid w:val="003A4CB8"/>
    <w:rsid w:val="004724A7"/>
    <w:rsid w:val="004B7B07"/>
    <w:rsid w:val="00546497"/>
    <w:rsid w:val="0057079C"/>
    <w:rsid w:val="005926AE"/>
    <w:rsid w:val="005A2872"/>
    <w:rsid w:val="00601B22"/>
    <w:rsid w:val="00607090"/>
    <w:rsid w:val="0065404C"/>
    <w:rsid w:val="00664BB7"/>
    <w:rsid w:val="00686E82"/>
    <w:rsid w:val="00690FEF"/>
    <w:rsid w:val="006D217C"/>
    <w:rsid w:val="006E015E"/>
    <w:rsid w:val="00714222"/>
    <w:rsid w:val="007371F9"/>
    <w:rsid w:val="007606D4"/>
    <w:rsid w:val="00794E0E"/>
    <w:rsid w:val="007F5E8F"/>
    <w:rsid w:val="008329B0"/>
    <w:rsid w:val="00832A7B"/>
    <w:rsid w:val="008A5262"/>
    <w:rsid w:val="008F2675"/>
    <w:rsid w:val="009020D8"/>
    <w:rsid w:val="00923003"/>
    <w:rsid w:val="00977818"/>
    <w:rsid w:val="009A11FB"/>
    <w:rsid w:val="009A1AEE"/>
    <w:rsid w:val="009A3326"/>
    <w:rsid w:val="009F23C6"/>
    <w:rsid w:val="009F3C58"/>
    <w:rsid w:val="009F4F84"/>
    <w:rsid w:val="00A234CA"/>
    <w:rsid w:val="00A2624D"/>
    <w:rsid w:val="00A318C1"/>
    <w:rsid w:val="00A353F9"/>
    <w:rsid w:val="00A73706"/>
    <w:rsid w:val="00A76FAA"/>
    <w:rsid w:val="00AD6876"/>
    <w:rsid w:val="00AE223A"/>
    <w:rsid w:val="00B118A7"/>
    <w:rsid w:val="00B54287"/>
    <w:rsid w:val="00B57449"/>
    <w:rsid w:val="00BE4971"/>
    <w:rsid w:val="00BF3ED1"/>
    <w:rsid w:val="00C51269"/>
    <w:rsid w:val="00C55D22"/>
    <w:rsid w:val="00C9311F"/>
    <w:rsid w:val="00CB11C3"/>
    <w:rsid w:val="00CD4DC5"/>
    <w:rsid w:val="00D06DFE"/>
    <w:rsid w:val="00D747DE"/>
    <w:rsid w:val="00D7677E"/>
    <w:rsid w:val="00D9572E"/>
    <w:rsid w:val="00E466E2"/>
    <w:rsid w:val="00E53AF4"/>
    <w:rsid w:val="00EE140D"/>
    <w:rsid w:val="00EE310A"/>
    <w:rsid w:val="00EE4263"/>
    <w:rsid w:val="00EE6414"/>
    <w:rsid w:val="00F74010"/>
    <w:rsid w:val="00FE2F8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E49403"/>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E015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E015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E015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E015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E015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E015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ftrefCharCharChar"/>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customStyle="1" w:styleId="ftrefCharCharChar">
    <w:name w:val="ftref Char Char Char"/>
    <w:aliases w:val="Heading 2 Char Char Char Char Char1 Char Char,Heading 2 Char1 Char Char Char Char,Heading 2 Char2 Char Char Char Char Char"/>
    <w:basedOn w:val="Normal"/>
    <w:link w:val="Appelnotedebasdep"/>
    <w:pPr>
      <w:suppressAutoHyphens w:val="0"/>
      <w:spacing w:after="160" w:line="240" w:lineRule="exact"/>
    </w:pPr>
    <w:rPr>
      <w:rFonts w:cstheme="minorBidi"/>
      <w:sz w:val="18"/>
      <w:szCs w:val="22"/>
      <w:vertAlign w:val="superscript"/>
    </w:rPr>
  </w:style>
  <w:style w:type="table" w:customStyle="1" w:styleId="Grilledutableau1">
    <w:name w:val="Grille du tableau1"/>
    <w:basedOn w:val="TableauNormal"/>
    <w:next w:val="Grilledutableau"/>
    <w:uiPriority w:val="39"/>
    <w:rsid w:val="00146BDA"/>
    <w:pPr>
      <w:spacing w:after="0" w:line="240" w:lineRule="auto"/>
    </w:pPr>
    <w:rPr>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auNormal"/>
    <w:next w:val="Grilledutableau"/>
    <w:uiPriority w:val="39"/>
    <w:rsid w:val="00146BD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auNormal"/>
    <w:next w:val="Grilledutableau"/>
    <w:uiPriority w:val="39"/>
    <w:rsid w:val="00146BDA"/>
    <w:pPr>
      <w:spacing w:after="0" w:line="240" w:lineRule="auto"/>
    </w:pPr>
    <w:rPr>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auNormal"/>
    <w:next w:val="Grilledutableau"/>
    <w:uiPriority w:val="39"/>
    <w:rsid w:val="00146BD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62E1F0-1DAE-4092-97A9-F367F83807D6}">
  <ds:schemaRefs>
    <ds:schemaRef ds:uri="http://schemas.microsoft.com/sharepoint/v3/contenttype/forms"/>
  </ds:schemaRefs>
</ds:datastoreItem>
</file>

<file path=customXml/itemProps2.xml><?xml version="1.0" encoding="utf-8"?>
<ds:datastoreItem xmlns:ds="http://schemas.openxmlformats.org/officeDocument/2006/customXml" ds:itemID="{020EB292-82A1-4999-A668-36B59928E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75ED4A-FD2C-4717-960E-6075C35055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13807</Words>
  <Characters>71248</Characters>
  <Application>Microsoft Office Word</Application>
  <DocSecurity>0</DocSecurity>
  <Lines>1515</Lines>
  <Paragraphs>904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84151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CAT/C/SEN/5</dc:title>
  <dc:subject/>
  <dc:creator>Gloria</dc:creator>
  <cp:keywords/>
  <cp:lastModifiedBy>Valerie Bertin</cp:lastModifiedBy>
  <cp:revision>3</cp:revision>
  <cp:lastPrinted>2022-12-16T13:40:00Z</cp:lastPrinted>
  <dcterms:created xsi:type="dcterms:W3CDTF">2022-12-16T13:40:00Z</dcterms:created>
  <dcterms:modified xsi:type="dcterms:W3CDTF">2022-12-16T13:42:00Z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du Sénégal</vt:lpwstr>
  </property>
  <property fmtid="{D5CDD505-2E9C-101B-9397-08002B2CF9AE}" pid="9" name="countw">
    <vt:lpwstr>Sénégal</vt:lpwstr>
  </property>
  <property fmtid="{D5CDD505-2E9C-101B-9397-08002B2CF9AE}" pid="10" name="countwd">
    <vt:lpwstr>le Sénégal</vt:lpwstr>
  </property>
  <property fmtid="{D5CDD505-2E9C-101B-9397-08002B2CF9AE}" pid="11" name="date">
    <vt:lpwstr>13 décembre 2022</vt:lpwstr>
  </property>
  <property fmtid="{D5CDD505-2E9C-101B-9397-08002B2CF9AE}" pid="12" name="Date-Generated">
    <vt:filetime>2022-12-12T15:46:52Z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186800</vt:r8>
  </property>
  <property fmtid="{D5CDD505-2E9C-101B-9397-08002B2CF9AE}" pid="22" name="Org">
    <vt:lpwstr>OHCHR</vt:lpwstr>
  </property>
  <property fmtid="{D5CDD505-2E9C-101B-9397-08002B2CF9AE}" pid="23" name="prep">
    <vt:lpwstr>cinquième rapport périodique du Sénégal</vt:lpwstr>
  </property>
  <property fmtid="{D5CDD505-2E9C-101B-9397-08002B2CF9AE}" pid="24" name="preps">
    <vt:lpwstr>cinquième rapport périodique du Sénégal</vt:lpwstr>
  </property>
  <property fmtid="{D5CDD505-2E9C-101B-9397-08002B2CF9AE}" pid="25" name="prepw">
    <vt:lpwstr>cinquième rapport périodique</vt:lpwstr>
  </property>
  <property fmtid="{D5CDD505-2E9C-101B-9397-08002B2CF9AE}" pid="26" name="prepwc">
    <vt:lpwstr>Cinquième rapport périodique </vt:lpwstr>
  </property>
  <property fmtid="{D5CDD505-2E9C-101B-9397-08002B2CF9AE}" pid="27" name="prepws">
    <vt:lpwstr>cinquième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C/SEN/5</vt:lpwstr>
  </property>
  <property fmtid="{D5CDD505-2E9C-101B-9397-08002B2CF9AE}" pid="32" name="symh">
    <vt:lpwstr>CAT/C/SEN/5</vt:lpwstr>
  </property>
  <property fmtid="{D5CDD505-2E9C-101B-9397-08002B2CF9AE}" pid="33" name="Title">
    <vt:lpwstr>CAT/C/SEN/5</vt:lpwstr>
  </property>
  <property fmtid="{D5CDD505-2E9C-101B-9397-08002B2CF9AE}" pid="34" name="tlang">
    <vt:lpwstr/>
  </property>
  <property fmtid="{D5CDD505-2E9C-101B-9397-08002B2CF9AE}" pid="35" name="virs">
    <vt:lpwstr>Anglais, espagnol et français seulement</vt:lpwstr>
  </property>
</Properties>
</file>